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25-TA-2090: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ietekmes uz vidi novērtējumu"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veikt sākotnējo izvērtējumu līdz šim likumā ietverta, lai rastu veidus, kā mazināt saimnieciskās darbības, šajā gadījumā meliorācijas, ietekmi uz vidi. Neatkarīgi no politiskā un ekonomiskā klimata apstākļi dabā nav mainījušies, joprojām pastāv iespēja, pārbūvējot meliorācijas sistēmu, nodarīt būtisku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Ekosistēmas, kas bijušas atkarīgas no paaugstināta augsnes mitruma, ļoti iespējams ir jau paguvušas atjaunoties vai to stāvoklis uzlaboties vietās, kur meliorācijas sistēmas jau ilgi aizaugušas vai aizsērējušas. Daudz šādu atjaunojušos dabas vērtībām bagātu teritoriju atrodas arī ārpus Natura 2000 teritorijām. Vienlaikus meliorācijas sistēmu pārbūve tik plašā platībā, virs 500 ha, var atstāt nelabvēlīgu ietekmi arī uz netālu esošām Natura 2000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likumprojekts var apdraudēt arī ES Bioloģiskās daudzveidības stratēģijas 2030. gadam un Dabas atjaunošanas regulas ieviešanu Latvijā, ņemot vērā, ka var pasliktināt ES nozīmes biotopu stāvokli Latvijā, it sevišķi slapjo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Ekosistēmas, kas bijušas atkarīgas no paaugstināta augsnes mitruma var  būt ekoloģisks ieguvums, bet rada ekonomiskus zaudējumus un nav labvēlīga vide cilvēka dzīvošanai,  rekreācijai.  Pārplūdušās  un pārmitrās teritorijās nav labvēlīga vide augu un dzīvnieku attīstībai, kurā var pastāvēt tikai atsevišķas mitrumu izturīgas augu sugas. Slapjajos mežos koki zaudē noturību, it īpaši egle šādos ekoloģiskos apstākļos nav izturīga pret vēja ietekmi un var notikt vējgāzes. Lai arī slapjos mežos koku ciršanai izvēlas mērķa caurmēru sasniegušos, atpalikušos un bojātos kokus,  tomēr koku ciršanu var veikt tikai ziemas sasaluma periodā. Tā kā Latvijā ziemas sasaluma periods ir īsu laiku vai pēdējos gadus sasalusi augsne veidojas reti, tad koki pārmitrās augsnēs strauji zaudēt saimniecisko un ekoloģisko vērtību. Līdz ar to šādi slapjie  un pārmitrie meži nav pievilcīgi ne cilvēku rekreācijai, dzīvnieku eksistencei.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ir iepazinies un </w:t>
            </w:r>
            <w:r w:rsidR="00000000" w:rsidRPr="00000000" w:rsidDel="00000000">
              <w:rPr>
                <w:b w:val="1"/>
                <w:rtl w:val="0"/>
              </w:rPr>
              <w:t xml:space="preserve">iebilst </w:t>
            </w:r>
            <w:r w:rsidR="00000000" w:rsidRPr="00000000" w:rsidDel="00000000">
              <w:rPr>
                <w:rtl w:val="0"/>
              </w:rPr>
              <w:t xml:space="preserve">pret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2011/92/ES </w:t>
            </w:r>
            <w:r w:rsidR="00000000" w:rsidRPr="00000000" w:rsidDel="00000000">
              <w:rPr>
                <w:i w:val="1"/>
                <w:rtl w:val="0"/>
              </w:rPr>
              <w:t xml:space="preserve">cembris</w:t>
            </w:r>
            <w:r w:rsidR="00000000" w:rsidRPr="00000000" w:rsidDel="00000000">
              <w:rPr>
                <w:rtl w:val="0"/>
              </w:rPr>
              <w:t xml:space="preserve"> par dažu sabiedrisku un privātu projektu ietekmes uz vidi novērtējumu nosaka pienākumu izvērtēt projektus, kuriem var būt būtiska ietekme uz vidi. Esošu meliorācijas sistēmu pārbūve, ja to zemes platība ir lielāka par 500 hektāriem ir apjomīga darbība, kas var būtiski ietekmēt vidi atkarībā no atrašanās vietas vides apstākļiem (piemēram, notece caur ezeriem) un dabas vērtību teriotoriālās koncentrācijas (piemēram, ES nozīmes biotopi, aizsargājamu sugu dzīvotnes). Saskaņā ar Biotopu direktīvu un Ūdeņu struktūrdirektīvu Latvijai ir pienākums nodrošināt sugu un biotopu labvēlīgu aizsardzības stāvokli un labu ūdeņu kvalitāti. Apjomīgiem meliorācijas projektiem </w:t>
            </w:r>
            <w:r w:rsidR="00000000" w:rsidRPr="00000000" w:rsidDel="00000000">
              <w:rPr>
                <w:u w:val="single"/>
                <w:rtl w:val="0"/>
              </w:rPr>
              <w:t xml:space="preserve">nepieciešams izvērtēt vismaz ietekmi uz ES nozīmes biotopiem un aizsargājamu sugu dzīvotnēm un ūdeņu kvalitāti arī ārpus Natura 2000 teritorijām.</w:t>
            </w:r>
            <w:r w:rsidR="00000000" w:rsidRPr="00000000" w:rsidDel="00000000">
              <w:rPr>
                <w:rtl w:val="0"/>
              </w:rPr>
              <w:t xml:space="preserve"> Vēršam uzmanību, ka prasība neattiecas uz darbojošos meliorācijas sistēmu uzturēšanu un atjaunošanu, bet tikai uz pārbūvi, kas ir daudz lielāka mēroga iejaukšanās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vienpusīgi apskatīta tikai meliorācijas pozitivā ietekme, taču vēršam uzmanību, ka </w:t>
            </w:r>
            <w:r w:rsidR="00000000" w:rsidRPr="00000000" w:rsidDel="00000000">
              <w:rPr>
                <w:u w:val="single"/>
                <w:rtl w:val="0"/>
              </w:rPr>
              <w:t xml:space="preserve">meliorācijas sistēmas fragmentē dzīvotnes, kā arī paātrinātā notece no meliorētajām platībām var pastiprināt ūdeņu eitrofikāciju un ietekmēt plašākas teritorijas hidroloģisko režīmu. </w:t>
            </w:r>
            <w:r w:rsidR="00000000" w:rsidRPr="00000000" w:rsidDel="00000000">
              <w:rPr>
                <w:rtl w:val="0"/>
              </w:rPr>
              <w:t xml:space="preserve">Šie aspekti ir izvērtējami meliorācijas projektu plānošanas stadijā, izvēloties atbilstošus risinājumus, tostarp zaļo infrastruktūru (piemēram, dabisku pārmitru un applūstošu teritoriju saglabāšanu), lai mazinātu ietekmi uz vidi un novērstu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Nepiekrītam anotācijas 6. punktā minētajam, ka </w:t>
            </w:r>
            <w:r w:rsidR="00000000" w:rsidRPr="00000000" w:rsidDel="00000000">
              <w:rPr>
                <w:i w:val="1"/>
                <w:rtl w:val="0"/>
              </w:rPr>
              <w:t xml:space="preserve">“grozījums izskatāms kā steidzams, jo ātri nepieciešams atrast papildus finansējumu valsts pienākumu un pakalpojumu izpildei nepieciešamos finanšu līdzekļus”</w:t>
            </w:r>
            <w:r w:rsidR="00000000" w:rsidRPr="00000000" w:rsidDel="00000000">
              <w:rPr>
                <w:rtl w:val="0"/>
              </w:rPr>
              <w:t xml:space="preserve">, un norādām, ka dabas vērtību iznīcināšana un vides kvalitātes pasliktināšana (piemēram, ūdeņu) radīs lielas izmaksas nākotnē. Vēršam uzmanību, ka saskaņā ar Ministru kabineta Noteikumiem par valsts nodevu par paredzētās darbības ietekmes uz vidi sākotnējo izvērtējumu, v</w:t>
            </w:r>
            <w:r w:rsidR="00000000" w:rsidRPr="00000000" w:rsidDel="00000000">
              <w:rPr>
                <w:i w:val="1"/>
                <w:rtl w:val="0"/>
              </w:rPr>
              <w:t xml:space="preserve">alsts nodeva par sākotnējo izvērtējumu ir 213,43 euro, kas ir niecīgas izmaksas, salīdzinot ar izmaksām meliorācijas sistēmu pārbūvei 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8.1.6. punktā nav iekļauts vispusīgs un argumentēts ietekmes uz vidi izvērtējums un </w:t>
            </w:r>
            <w:r w:rsidR="00000000" w:rsidRPr="00000000" w:rsidDel="00000000">
              <w:rPr>
                <w:u w:val="single"/>
                <w:rtl w:val="0"/>
              </w:rPr>
              <w:t xml:space="preserve">nav skaidrotas alternatīvas, kā, atceļot sākotnējo izvērtējumu, turpmāk plānots izvērtēt šādu apjomīgu meliorācijas projektu ietekmi uz vidi un noteikt, un projektos iestrādāt ietekmi uz vidi mazinošus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gan Zemkopības ministrija likumprojekta anotācijā atsaucas uz Ministru kabineta 2025. gada 2. septembra sēdes protokola Nr. 34, 31. §, 4. punktu, vēršam uzmanību, ka minētajā protokolā nav uzdots sagatavot un iesniegt llikumprojektu, bet gan “priekšlikumus par grozījumiem” ar  rīkojumu Nr. 42  "Par koku ciršanas maksimāli pieļaujamo apjomu 2026.–2030. gadam" saistītajos normatīvajos aktos. </w:t>
            </w:r>
            <w:r w:rsidR="00000000" w:rsidRPr="00000000" w:rsidDel="00000000">
              <w:rPr>
                <w:u w:val="single"/>
                <w:rtl w:val="0"/>
              </w:rPr>
              <w:t xml:space="preserve">Minētā protokola 4.2. punktā nav minēts un nav saprotams, kā grozījumi likumā Par ietekmes uz vidi novērtējumu varētu būt saistīti ar rīkojumu par maksimāli pieļaujamā ciršanas apjoma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Ministru kabineta 2025. gada 2. septembra sēdes protokola Nr. 34, 31. §, 4.2. punkts ar uzdevumu, pat nenorādot pamatojumu, Zemkopības ministrijai sniegt priekšlikumus grozījumiem vairākos ar vides aizsardzības jomu saistītos normatīvos, n</w:t>
            </w:r>
            <w:r w:rsidR="00000000" w:rsidRPr="00000000" w:rsidDel="00000000">
              <w:rPr>
                <w:u w:val="single"/>
                <w:rtl w:val="0"/>
              </w:rPr>
              <w:t xml:space="preserve">eatbilst Vides aizsardzības likuma 12. pantā noteiktajam</w:t>
            </w:r>
            <w:r w:rsidR="00000000" w:rsidRPr="00000000" w:rsidDel="00000000">
              <w:rPr>
                <w:rtl w:val="0"/>
              </w:rPr>
              <w:t xml:space="preserve">, ka </w:t>
            </w:r>
            <w:r w:rsidR="00000000" w:rsidRPr="00000000" w:rsidDel="00000000">
              <w:rPr>
                <w:i w:val="1"/>
                <w:rtl w:val="0"/>
              </w:rPr>
              <w:t xml:space="preserve">“iestāde nodrošina savlaicīgu un efektīvu sabiedrības informēšanu un līdzdalību šā likuma 8.panta pirmajā daļā minēto lēmumu vai dokumentu sagatavošanā"</w:t>
            </w:r>
            <w:r w:rsidR="00000000" w:rsidRPr="00000000" w:rsidDel="00000000">
              <w:rPr>
                <w:rtl w:val="0"/>
              </w:rPr>
              <w:t xml:space="preserve">. Attiecīgi saskaņā ar Vides aizsardzības likuma 8. pantu “</w:t>
            </w:r>
            <w:r w:rsidR="00000000" w:rsidRPr="00000000" w:rsidDel="00000000">
              <w:rPr>
                <w:i w:val="1"/>
                <w:rtl w:val="0"/>
              </w:rPr>
              <w:t xml:space="preserve">sabiedrībai ir tiesības piedalīties tādu lēmumu pieņemšanā un plānošanas dokumentu sagatavošanā, arī grozījumu sagatavošanā tajos (turpmāk šajā pantā — dokumenta sagatavošana), kuri var ietekmēt vidi. Sabiedrība šīs tiesības var īstenot, pirms ir pieņemts attiecīgais lēmums vai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2011. gada 13. decembra direktīva  2011/92/ES par dažu sabiedrisku un privātu projektu ietekmes uz vidi novērtējumu 1.panta 1 punkts norāda, ka direktīva šī direktīva attiecas uz to valsts un privāto projektu ietekmes uz vidi novērtējumu, kuriem, iespējams, ir būtiska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tieši to arī akcentē un nosaka, ka obligāti jāveic meliorācijas projektu ietekmes uz vidi novērtējumu teritorijās, ja  tās atrodas Eiropas nozīmes aizsargājamā dabas teritorijā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Nevar piekrist apgalvojumam, ka meliorācija fragmentē dzīvotnes. Meliorācijas sistēma sausā laika periodā rada patvērumu dzīvotnēm ( piemēram, abiniekiem) un nodrošina mitrumu augiem un dzīvniekiem.  Meliorācijas sistēmu pārbūve var radīt jaunas attīstības iespējas mitrumu mīlošām dzīvniekiem un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nodeva par sākotnējo izvērtējumu ir 213,43 euro ir tikai projekta sākotnējās izmaksas. Būtiskas izmaksas rada vides ekspertu atzinumi, kas vienam ekspertam var sastādīt no 2500 eiro līdz 7500 eiro. Vienā meliorācijas projektā parasti ir nepieciešami 3 līdz 5 vides ekspertu atzinumi, kas var sastādīt no 20 000 eiro  līdz 37 000 eiro vienā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8.1.6. punkts ir papildināts ar ietekmes uz vidi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sabiedrība varētu izteikt savu viedokli, tad likumprojekts ir publicēts tiesību aktu portālā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grozījumiem. Šobrīd liela daļa aizsargājamo biotopu atrodas ārpus Natura 2000 teritorijām, turklāt meliorācijas vai apūdeņošanas sistēmu pārbūvei var būt ietekme uz Natura 2000 teritorijām arī tad, ja šīs sistēmas atrodas ārpus minētajām teritorijām, tāpēc sākotnējais ietekmes uz vidi novērtējums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Natura 2000 tīklā Latvijā ir iekļautas 333 teritorijas – 4 dabas rezervāti, 4 nacionālie parki, 239 dabas liegumi, 37 dabas parki, 9 aizsargājamo ainavu apvidi, 7 aizsargājamās jūras teritorijas, 9 dabas pieminekļi un 24 mikroliegumi. Sauszemes teritorijas aizņem 12% jeb 787 729 ha no Latvijas sauszemes kopplatības. Šīm teritorijām ir atšķirīgi aizsardzības un apsaimniekošanas režīmi – no minimāliem ierobežojumiem aizsargājamo ainavu apvidos līdz pat pilnīgam saimnieciskās darbības aizliegumam dabas rezervātos.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vadlīnijās (Eiropas Savienības nozīmes biotopu atbilstību Eiropas Komisijas 1997. gada 18. novembra vadlīniju Hab. 97/2, rev. 4 ) ir noteikts, ka ar aizsargājamām teritorijām Natura 2000 ir jāaizsargā vismaz 20 procentu no katra ES nozīmes biotopa kopējās platības, ja biotops ir plaši izplatīts, nav apdraudēts vai arī atrodas uz areāla robežas, un vismaz 60 procentu no katra ES nozīmes biotopa aizņemtās platības, ja biotops ir prioritārs, rets, ļoti apdraudēts vai tam ir nepieciešami īpaši apsaimniekošanas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kartēšanas rezultāti izriet no dabas skaitīšanas procesa, kas norisinājās no 2015. līdz 2020. gadam. Šajā laikā tika apsekoti  1 244 757 ha un konstatēti 670 481 ha ES nozīmes biotopu, kas aizņem 10,3% no valsts kopējās sauszemes teritorijas. Lielāko daļu, 50,1% no ES nozīmes biotopiem jeb 5% no kopējās valsts teritorijas aizņem ES nozīmes aizsargājami meži. Purvu un avotu ES nozīmes aizsargājamie biotopi no Latvijas teritorijas aizņem 2%, saldūdeņu aizsargājamie biotopi aizņem 2%, aizsargājamie zālāju biotopi – 1%, savukārt jūras piekrastes, smiltāju un virsāju aizsargājamie biotopi un arī atsegumu un alu aizsargājamie biotopi aizņem mazāk par procentu no kopējās valsts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meliorētās zemēs biotopi ir sastopami tikai retos gadījumos.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permakultūras biedrība" - 12.09.2025.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Zemkopības ministrijas ierosinātajiem grozījumiem likumā “Par ietekmes uz vidi novērtējumu”. Likumprojekts paredz, ka sākotnējais IVN meliorācijas sistēmu pārbūvei būs jāveic tikai tad, ja platība pārsniedz 500 ha un darbi notiek Natura 2000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izslēdz no izvērtēšanas ļoti lielus projektus ārpus Natura 2000. No anotācijas izriet, ka AS “Latvijas valsts meži” plāno gadā atjaunot meliorācijas sistēmas 25 000 ha jeb 250 km² platībā – tas nozīmē desmitiem lielapjoma projektu bez jebkādas ietekmes uz vidi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Finansiālie apsvērumi nav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minēts, ka valsts mežu apsaimniekotājs ietaupīs apmēram 375 000 eiro gadā, neveicot sākotnējos IVN. Tomēr šis ietaupījums nepalielinās valsts budžeta ieņēmumus, bet tikai samazinās AS “Latvijas valsts meži” izdevumus. Savukārt iespējamais vides un ekosistēmu zaudējums ilgtermiņā var radīt būtiskas izmaksas sabiedrībai kopumā – biotopu atjaunošanai, ūdens režīma problēmu novēršanai un klimata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Procedūras pārkāpums likumu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grozījumi tiek diskutēti jau kopš 2024. gada, ir sagatavoti vairāki priekšlikumi, bet diskusijas nav tikušas tālāk par 1. redakciju. Līdz šim tika solīts plašs un sabiedrībā izdiskutēts risinājums. Taču tagad viena ministrija atsevišķi virza būtisku grozījumu “pa gabaliņam”, bez jebkādas sabiedriskās apspriešanas un ārpus kopējās likuma grozījumu paketes. Šāda prakse neatbilst kvalitatīva normatīvo aktu izstrādes principiem un pārkāpj likumu veidošanas caurspīdīguma un līdzdalības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Ietekme uz vidi un ES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Ekosistēmas, kas atjaunojušās pamestās meliorācijas teritorijās (slapjie meži, mitrāji), tiktu iznīcinātas, un ietekme varētu skart arī blakus esošās Natura 2000 teritorijas. Grozījumi ir pretrunā ES direktīvai par IVN, kas paredz izvērtēt būtisku ietekmi neatkarīgi no tā, vai darbi notiek Natura 2000 teritorijā, un apdraud ES Bioloģiskās daudzveidības stratēģijas un Dabas atjaunošanas regulas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noraidīt šos grozījumus un nodrošināt, ka IVN procedūra tiek piemērota visiem lieliem meliorācijas projektiem virs 500 ha neatkarīgi no to atrašanās vietas, kā arī ievērot normatīvo aktu izstrādes labas prakses principus, paredzot plašu sabiedrības līdzdalību un apspriedi vienotā likuma grozījumu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Anotācijas 3 sadaļā 6.1.apakšpunktā, finansiālais ieguvums ir no diviem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 milj.euro - ieņēmumi veidojas AS “Latvijas valsts meži” darbības rezultātā, pārvaldot un apsaimniekojot Zemkopības ministrijas valdījumā esošo valsts meža zemi, un rezultātā valsts gūst ieņēmumus no AS LVM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kas saistītas ar ietekmi uz valsts budžeta ieņēmumiem ir norādītas likumprojekta “Grozījumi Meža likumā" (25-TA-2086) anotācijā. ( AS “Latvijas valsts meži” meža meliorācijas sistēmu pārbūves izmaksu samazinājumu 2,3 milj. euro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0,375 milj. EUR gadā ietekme no ietaupījumiem par investīciju projektu izvērtējumiem valsts sabiedrībai ar ierobežotu atbildību "Zemkopības ministrijas nekustamie īpašumi", kas nozīmē izmaksu samazināšanos projektos, kas tiek īstenoti ES fondu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Anotācijas 3 sadaļā 6.1.apakšpunktā, finansiālais ieguvums ir no diviem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 milj.euro - ieņēmumi veidojas AS “Latvijas valsts meži” darbības rezultātā, pārvaldot un apsaimniekojot Zemkopības ministrijas valdījumā esošo valsts meža zemi, un rezultātā valsts gūst ieņēmumus no AS LVM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kas saistītas ar ietekmi uz valsts budžeta ieņēmumiem ir norādītas likumprojekta “Grozījumi Meža likumā" (25-TA-2086) anotācijā. ( AS “Latvijas valsts meži” meža meliorācijas sistēmu pārbūves izmaksu samazinājumu 2,3 milj. euro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0,375 milj. EUR gadā ietekme no ietaupījumiem par investīciju projektu izvērtējumiem valsts sabiedrībai ar ierobežotu atbildību "Zemkopības ministrijas nekustamie īpašumi", kas nozīmē izmaksu samazināšanos projektos, kas tiek īstenoti ES fondu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var radīt būtisku ietekmi uz vidi un tiem nav veikts atbilstošs izvērtējums. Ietekmi uz Natura  2000 teritoriju var radīt darbības blakus - īpaši meliorācijas sistēmu pārbūve. Norādāms, ka mitrāju ekosistēmas, kam noteikts Natura 2000 teritorijas statuss, negatīvi var ietekmēt meliorācijas sistēmu pārbūve un atjaunošana pat līdz 200 metru attālumam, ko pamato monitoringa dati no kūdras ieguves platībām blakus esošām aizsargājamām dabas teritorijām. Attiecīgi ar šiem grozījumiem var tikt radīta ietekme uz visu Natura 2000 teritoriju tīklu, bet minētais aspekts nav vērtēts. Tāpat priekšlikums ir pretrunā Dabas atjaunošanas regulai.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Purvu un avotu ES nozīmes aizsargājamie biotopi no Latvijas teritorijas aizņem tikai 2%, saldūdeņu aizsargājamie biotopi aizņem 2%, aizsargājamie zālāju biotopi – 1%, savukārt jūras piekrastes, smiltāju un virsāju aizsargājamie biotopi un arī atsegumu un alu aizsargājamie biotopi aizņem mazāk par procentu no kopējās valsts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šiem grozījumiem nevar tikt radīta ietekme uz visu Natura 2000 teritoriju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nepasliktinātu vai pat uzlabotu purvu biotopu aizsardzības stāvokli valstī kopumā, jāievēro princips, ka, plānojot jaunas ieguves teritorijas, vienlaicīgi rekultivē vēsturiskās atradnes un uzlabo vides stāvokli citos purvos. Degradētajos kūdrājos, īpaši ĪADT, izvērtējama to ekoloģiskā vērtība un turpmākie apsaimniekošanas pasākumi, primāri rekomendējot renaturalizācijas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1. aprīlī noteikumiem Nr. 213 "Valsts un Eiropas Savienības atbalsta piešķiršanas kārtība Eiropas Lauksaimniecības fonda lauku attīstībai intervencē "Mākslīgo mitrāju izveide" " Zemkopības ministrija atbalsta jaunu mitrāju izveidi, lai izveidotu mākslīgos mitrājus ūdens piesārņojuma piesaistīšanai ar virszemes, pazemes vai kombinētu ūdens plūsmu, tā uzlabojot bioloģisko daudzveidību un atjaunojot ekosistēmas.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w:t>
            </w:r>
            <w:r w:rsidR="00000000" w:rsidRPr="00000000" w:rsidDel="00000000">
              <w:rPr>
                <w:b w:val="1"/>
                <w:rtl w:val="0"/>
              </w:rPr>
              <w:t xml:space="preserve">onceptuāli neatbalsta (iebilst)</w:t>
            </w:r>
            <w:r w:rsidR="00000000" w:rsidRPr="00000000" w:rsidDel="00000000">
              <w:rPr>
                <w:rtl w:val="0"/>
              </w:rPr>
              <w:t xml:space="preserve"> tik būtiskām, neapspriestām un neizvērtētām regulējuma izmaiņām attiecībā uz lielo meliorācijas sistēmu pārbūvēm.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ietekmes uz vidi novērtējumu" (turpmāk - IVN) likuma 3</w:t>
            </w:r>
            <w:r w:rsidR="00000000" w:rsidRPr="00000000" w:rsidDel="00000000">
              <w:rPr>
                <w:vertAlign w:val="superscript"/>
                <w:rtl w:val="0"/>
              </w:rPr>
              <w:t xml:space="preserve">.2</w:t>
            </w:r>
            <w:r w:rsidR="00000000" w:rsidRPr="00000000" w:rsidDel="00000000">
              <w:rPr>
                <w:rtl w:val="0"/>
              </w:rPr>
              <w:t xml:space="preserve"> pants noteic, ka sākotnējais ietekmes uz vidi izvērtējums nepieciešams ne tikai darbībām, kas minētas likuma 2. pielikumā, bet arī citām paredzētajām darbībām, kuras var būtiski ietekmēt vidi, ņemot vērā šā likuma 11.pantā minētos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11.panta otrajā daļā noteikti kritēriji, pēc kuriem novērtējama paredzētās darbības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pie paredzētās darbības vietu un šīs vietas ģeogrāfiskās īpatnības raksturojošie faktoriem ir tostarp attiecīgajā teritorijā esošo dabas resursu [tostarp augsnes, zemes dzīļu, ūdens un </w:t>
            </w:r>
            <w:r w:rsidR="00000000" w:rsidRPr="00000000" w:rsidDel="00000000">
              <w:rPr>
                <w:u w:val="single"/>
                <w:rtl w:val="0"/>
              </w:rPr>
              <w:t xml:space="preserve">bioloģiskās daudzveidības (īpaši ņemot vērā aizsargājamās sugas, to dzīvotnes, īpaši aizsargājamos un Eiropas Savienības nozīmes biotopus</w:t>
            </w:r>
            <w:r w:rsidR="00000000" w:rsidRPr="00000000" w:rsidDel="00000000">
              <w:rPr>
                <w:rtl w:val="0"/>
              </w:rPr>
              <w:t xml:space="preserve">)] relatīvais daudzums, pieejamība un pietiekamība, kvalitāte un atjaunošanās iespējas, neatkarīgi no tā, vai paredzētā darbības vieta ir iekšpus </w:t>
            </w:r>
            <w:r w:rsidR="00000000" w:rsidRPr="00000000" w:rsidDel="00000000">
              <w:rPr>
                <w:i w:val="1"/>
                <w:rtl w:val="0"/>
              </w:rPr>
              <w:t xml:space="preserve">Natura 2000 </w:t>
            </w:r>
            <w:r w:rsidR="00000000" w:rsidRPr="00000000" w:rsidDel="00000000">
              <w:rPr>
                <w:rtl w:val="0"/>
              </w:rPr>
              <w:t xml:space="preserve">teritorijām vai ārpus.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pie raksturojošajiem faktoriem ir dabiskās vides absorbcijas spēja, kas vērtējama, </w:t>
            </w:r>
            <w:r w:rsidR="00000000" w:rsidRPr="00000000" w:rsidDel="00000000">
              <w:rPr>
                <w:u w:val="single"/>
                <w:rtl w:val="0"/>
              </w:rPr>
              <w:t xml:space="preserve">pievēršot īpašu uzmanību tostarp īpaši aizsargājamām dabas teritorijām un mikroliegumiem</w:t>
            </w:r>
            <w:r w:rsidR="00000000" w:rsidRPr="00000000" w:rsidDel="00000000">
              <w:rPr>
                <w:rtl w:val="0"/>
              </w:rPr>
              <w:t xml:space="preserve"> (3.punkta d) apakšpunkts), kas arī neaprobežojas tikai ar </w:t>
            </w:r>
            <w:r w:rsidR="00000000" w:rsidRPr="00000000" w:rsidDel="00000000">
              <w:rPr>
                <w:i w:val="1"/>
                <w:rtl w:val="0"/>
              </w:rPr>
              <w:t xml:space="preserve">Natura 2000</w:t>
            </w:r>
            <w:r w:rsidR="00000000" w:rsidRPr="00000000" w:rsidDel="00000000">
              <w:rPr>
                <w:rtl w:val="0"/>
              </w:rPr>
              <w:t xml:space="preserve"> teritorijām (kas ir tikai daļa no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rosinātais grozījums būtiski sašaurina ietekmes uz vidi novērtēšanas procesu meliorācijas vai apūdeņošanas sistēmu pārbūvei neatbilstoši 11.panta otrās daļas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nepieciešamību pēc ietekmes uz vidi novērtejuma, norādām, ka  purvu un avotu ES nozīmes aizsargājamie biotopi no Latvijas teritorijas aizņem tikai 2%. No tiem lielākā daļa purvu biotopu atrodas īpaši aizsargājamās dabas teritorijās, kurās meliorācijas sistēmu  pārbūve nav iespējama teritoriju īpašā statusa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w:t>
            </w:r>
            <w:r w:rsidR="00000000" w:rsidRPr="00000000" w:rsidDel="00000000">
              <w:rPr>
                <w:i w:val="1"/>
                <w:rtl w:val="0"/>
              </w:rPr>
              <w:t xml:space="preserve"> Natura 2000</w:t>
            </w:r>
            <w:r w:rsidR="00000000" w:rsidRPr="00000000" w:rsidDel="00000000">
              <w:rPr>
                <w:rtl w:val="0"/>
              </w:rPr>
              <w:t xml:space="preserve"> teritorijas ekoloģiskajām funkcijām, integritāti, tās izveidošanas un aizsardzības mērķiem var radīt ne tikai tieši </w:t>
            </w:r>
            <w:r w:rsidR="00000000" w:rsidRPr="00000000" w:rsidDel="00000000">
              <w:rPr>
                <w:i w:val="1"/>
                <w:rtl w:val="0"/>
              </w:rPr>
              <w:t xml:space="preserve">Natura 2000</w:t>
            </w:r>
            <w:r w:rsidR="00000000" w:rsidRPr="00000000" w:rsidDel="00000000">
              <w:rPr>
                <w:rtl w:val="0"/>
              </w:rPr>
              <w:t xml:space="preserve"> teritorijā paredzētas darbības, bet a</w:t>
            </w:r>
            <w:r w:rsidR="00000000" w:rsidRPr="00000000" w:rsidDel="00000000">
              <w:rPr>
                <w:u w:val="single"/>
                <w:rtl w:val="0"/>
              </w:rPr>
              <w:t xml:space="preserve">rī darbības, kas atrodas ārpus tās</w:t>
            </w:r>
            <w:r w:rsidR="00000000" w:rsidRPr="00000000" w:rsidDel="00000000">
              <w:rPr>
                <w:rtl w:val="0"/>
              </w:rPr>
              <w:t xml:space="preserve"> (un hidroloģiskā režīma izmaiņas ir ar augstu varbūtību), līdz ar to ir nepieciešams pienācīgs novērtējums (un tāds ir sākotnējais ietekmes uz vidi izvērtējums), lai novērtētu, vai ir/nav nepieciešams padziļināts ietekmes uz </w:t>
            </w:r>
            <w:r w:rsidR="00000000" w:rsidRPr="00000000" w:rsidDel="00000000">
              <w:rPr>
                <w:i w:val="1"/>
                <w:rtl w:val="0"/>
              </w:rPr>
              <w:t xml:space="preserve">Natura 2000</w:t>
            </w:r>
            <w:r w:rsidR="00000000" w:rsidRPr="00000000" w:rsidDel="00000000">
              <w:rPr>
                <w:rtl w:val="0"/>
              </w:rPr>
              <w:t xml:space="preserve"> novērtējums, lai izslēgtu negatīvo ietekmi uz  </w:t>
            </w:r>
            <w:r w:rsidR="00000000" w:rsidRPr="00000000" w:rsidDel="00000000">
              <w:rPr>
                <w:i w:val="1"/>
                <w:rtl w:val="0"/>
              </w:rPr>
              <w:t xml:space="preserve">Natura 2000</w:t>
            </w:r>
            <w:r w:rsidR="00000000" w:rsidRPr="00000000" w:rsidDel="00000000">
              <w:rPr>
                <w:rtl w:val="0"/>
              </w:rPr>
              <w:t xml:space="preserve"> teritoriju (ES Tiesas 2011. gada 24. novembra spriedums lietā C-409/09). Līdz ar to grozījums būtiski izslēdz šādu gadījumu savlaicīgu novērtēšanu un tas tikt pieprasīts vēlākā posmā (pieprasot tehniskos noteikumus), tādejādi tieši pagarinot kopējā projekta realizācijas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likumprojektā norādīts, ka ietekmi uz vidi novērtējums ir nepieciešams tieši Natura 2000 teritorijās, bet nav nepieciešams ārpus 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Tiesas spriedums 2011.gada lietā C-409/09 "Mehānisko transportlīdzekļu īpašnieku civiltiesiskās atbildības apdrošināšana – Direktīva 72/166/EEK, 84/5/EEK un 90/232/EEK – Tiesības uz atlīdzību, pamatojoties uz mehānisko transportlīdzekļu īpašnieku civiltiesiskās atbildības obligāto apdrošināšanu – Ierobežojuma nosacījumi – Cietušā līdzdalība tam nodarītajā kaitējumā – Atbildība par risku – Satiksmes negadījumā cietušām nepilngadīgām trešām personām piemērojamie noteikumi" nav attiecināms uz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likumprojektā "Grozījums likumā "Par ietekmes uz vidi novērtējumu"" (turpmāk – projekts) ietvertais regulējums var radīt ietekmi uz vidi, ņemot vērā to, ka likuma "Par ietekmes uz vidi" 2. pielikuma 1. punkta 3. apakšpunkta b) apakšpunkts spēkā esošajā redakcijā paredz, ka sākotnējais izvērtējums ir nepieciešams esošu meliorācijas vai apūdeņošanas sistēmu pārbūvei, ja to zemes platība ir lielāka par 500 hektāriem. Proti, no projektā ietvertā regulējuma izriet, ka visām esošu meliorācijas vai apūdeņošanas sistēmu pārbūvēm, ja to zemes platība ir lielāka par 500 hektāriem, bet tās neatrodas Eiropas nozīmes aizsargājamā dabas teritorijā (Natura 2000), pēc projekta spēkā stāšanās nebūs jāveic sākotnējais izvērtējums, kas šobrīd saskaņā ar spēkā esošo regulējumu ir jāveic. Ievērojot minēto, lūdzam papildināt projekta sākotnējās ietekmes novērtējuma ziņojumu (anotāciju) ar pamatojumu, kā projektā paredzētais regulējums ietekmēs vidi, vai šāda regulējuma noteikšana atbilst politikas plānošanas dokumentos, piemēram, vides politikas pamatnostādnēs, noteiktajiem rīcības virzieniem un politikas mērķiem un kā projektā ietvertā regulējuma ietekme uz vidi ir vērtēta attiecīga stratēģiskā novērtējuma ietvaros. Ja projektā ietvertais regulējums neatbilst politikas plānošanas dokumentos, piemēram, vides politikas pamatnostādnēs, noteiktajiem rīcības virzieniem un politikas mērķiem un tam nav veikts stratēģiskais novērtējums, ņemot vērā piesardzības principu, lūdzam veikt projekta stratēģisko ietekmes uz vidi novērtējumu atbilstoši likumā "Par ietekmes uz vidi novērtējumu" un Ministru kabineta 2004. gada 23. marta noteikumos Nr. 157 "Kārtība, kādā veicams ietekmes uz vidi stratēģiskais novērtējums"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konstatējusi Satversmes tiesa, Eiropas Parlamenta un Padomes 2001. gada 27. jūnija direktīvā 2001/42/EK par noteiktu plānu un programmu ietekmes uz vidi novērtējumu ir lietoti jēdzieni "plāni un programmas". Eiropas Savienības Tiesa, interpretējot šos jēdzienus, atzinusi, ka, ņemot vērā šīs direktīvas mērķi nodrošināt augstu vides aizsardzības līmeni, minētie jēdzieni ir interpretējami plaši un var attiekties arī uz normatīvajiem aktiem, kuros regulēti attiecīgajā nozarē piemērojamie noteikumi, būtiskas prasības un detalizētu darbību kopums, lai atļautu un īstenotu projektus, kuriem var būt būtiska ietekme uz vidi (</w:t>
            </w:r>
            <w:r w:rsidR="00000000" w:rsidRPr="00000000" w:rsidDel="00000000">
              <w:rPr>
                <w:i w:val="1"/>
                <w:rtl w:val="0"/>
              </w:rPr>
              <w:t xml:space="preserve">sal. sk. Eiropas Savienības Tiesas 2016. gada 27. oktobra sprieduma lietā C-290/15 "D'Oultremont and Others" 49. un 52. punktu un 2018. gada 7. jūnija sprieduma C-671/16 "Inter-Environnement Bruxelles and Others" 60.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šos jēdzienus iztulkojot šauri, pienākumu veikt stratēģisko novērtējumu varētu apiet, attaisnojot novērtējuma neveikšanu tikai ar dokumenta juridisko dabu. </w:t>
            </w:r>
            <w:r w:rsidR="00000000" w:rsidRPr="00000000" w:rsidDel="00000000">
              <w:rPr>
                <w:u w:val="single"/>
                <w:rtl w:val="0"/>
              </w:rPr>
              <w:t xml:space="preserve">Turklāt tad, ja normatīvais akts, kas var būtiski ietekmēt vidi, ir pieņemts laikā, kad nav spēkā esošas politikas pamatnostādnes, kurām stratēģiskais novērtējums ir veicams obligāti, šāda novērtējuma neveikšana ir pretrunā ar ilgtspējības principu un piesardzības principu</w:t>
            </w:r>
            <w:r w:rsidR="00000000" w:rsidRPr="00000000" w:rsidDel="00000000">
              <w:rPr>
                <w:rtl w:val="0"/>
              </w:rPr>
              <w:t xml:space="preserve"> (</w:t>
            </w:r>
            <w:r w:rsidR="00000000" w:rsidRPr="00000000" w:rsidDel="00000000">
              <w:rPr>
                <w:i w:val="1"/>
                <w:rtl w:val="0"/>
              </w:rPr>
              <w:t xml:space="preserve">sk. Satversmes tiesas 2024. gada 8. aprīļa sprieduma lietā Nr. 2023-01-03 23.1.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Satversmes tiesa, pienācīgs plāna vai projekta ietekmes novērtējums ir jāveic, ja pastāv iespēja vai risks, ka šis plāns vai projekts var ievērojami ietekmēt attiecīgo teritoriju.</w:t>
            </w:r>
            <w:r w:rsidR="00000000" w:rsidRPr="00000000" w:rsidDel="00000000">
              <w:rPr>
                <w:u w:val="single"/>
                <w:rtl w:val="0"/>
              </w:rPr>
              <w:t xml:space="preserve"> Ievērojot it īpaši piesardzības principu, šāds risks pastāv tad, ja, pamatojoties uz objektīviem apstākļiem, nevar konstatēt, ka šis plāns vai projekts būtiski neietekmēs attiecīgo teritoriju</w:t>
            </w:r>
            <w:r w:rsidR="00000000" w:rsidRPr="00000000" w:rsidDel="00000000">
              <w:rPr>
                <w:rtl w:val="0"/>
              </w:rPr>
              <w:t xml:space="preserve"> (</w:t>
            </w:r>
            <w:r w:rsidR="00000000" w:rsidRPr="00000000" w:rsidDel="00000000">
              <w:rPr>
                <w:i w:val="1"/>
                <w:rtl w:val="0"/>
              </w:rPr>
              <w:t xml:space="preserve">sk. Eiropas Savienības Tiesas 2011. gada 6. maija sprieduma C-538/09 "Commission v Belgium" 39. punktu un 2018. gada 12. aprīļa sprieduma C-323/17 "People Over Wind and Sweetman" 34. punktu</w:t>
            </w:r>
            <w:r w:rsidR="00000000" w:rsidRPr="00000000" w:rsidDel="00000000">
              <w:rPr>
                <w:rtl w:val="0"/>
              </w:rPr>
              <w:t xml:space="preserve">). Ja pastāv šaubas par to, vai ir iespējama būtiska ietekme, ir veicama pārbaude, kas ļauj efektīvi izvairīties no tā, ka tiek atļauta plānu vai projektu īstenošana, kas būtiski ietekmē aizsargājamo teritoriju (</w:t>
            </w:r>
            <w:r w:rsidR="00000000" w:rsidRPr="00000000" w:rsidDel="00000000">
              <w:rPr>
                <w:i w:val="1"/>
                <w:rtl w:val="0"/>
              </w:rPr>
              <w:t xml:space="preserve">sk. Eiropas Savienības Tiesas 2004. gada 7. septembra sprieduma lietā C-127/02 "Waddenvereniging and Vogelsbeschermingvereniging" 44.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iebildumam papildināts projekta sākotnējās ietekmes novērtējuma ziņojuma (anotācijas) 8.1.6.apakšpunkts.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2004.gada 23.marta noteikumi Nr.157 “Kārtība, kādā veicams ietekmes uz vidi stratēģiskais novērtējums” (turpmāk – Noteikumi Nr. 157) 2. punktu “Saskaņā ar likuma “Par ietekmes uz vidi novērtējumu” 4.panta trešo daļu stratēģiskais novērtējums ir nepieciešams šādu veidu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nacionālā līmeņa attīstības plānošanas dokumentiem (turpmāk – valsts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nozaru politikas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nozaru politikas plāniem, ja tos izstrādā politikas ieviešanai vienā vai vairākās nozarēs vai pamatnostādņu vietā, ja vidējā termiņā netiek izvirzīti jauni attīstības virzieni attiecīgā nozaru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nacionālā līmeņa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reģionāla vai vietēja līmeņa plānošanas dokumentiem (turpmāk – reģionālais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valstspilsētu teritorijas plānojumiem;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reģionāla vai vietēja līmeņa nozaru politikas plānošanas dokumentiem, kuri attiecas uz visas nozares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ietekmes uz vidi novērtējumu” neatbilst nevienam no Noteikumi Nr. 157 2. punktā norādītajiem dokumentiem, jo likumā “Par ietekmes uz vidi novērtējumu” 2.pielikuma apakšpunkta grozījums attiecas tikai uz šauru vienu jomu – meliorāciju.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politikas pamatnostādnēm 2021.–2027. gadam” pamatnostādņu 29. Rīcības virzienu “Ilgtspējīgas lauksaimniecības, mežsaimniecības un zivsaimniecības un ostu politikas īstenošana, lai samazinātu ūdens vidē novadīto piesārņojumu” Zemkopības ministrija atbalsta tikai tādu meliorācijas sistēmu atjaunošanu, kurās pielietoti videi draudzīgi meliorācijas elementi. Bez tam “Vides politikas pamatnostādnēm 2021.–2027. gadam” 29.1.apakšpunktā ZMNĪ, Zemkopības ministrija atbalsta “LIFE Godwater IP” vides projektu “Videi draudzīgu meliorācijas risinājumu demonstrēšana un īstenošana”.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novērtēšanas regulējums (un tā atbilstība ES Ietekmes uz vidi Direktīvas 2011/92/ES nosacījumiem) ir Klimata un enerģētikas ministrijas kompetencē, līdz ar to IVN likuma izmaiņām (kas maina regulējumu pēc būtības) ir obligāti (saskaņā ar Ministru kabineta kārtības rulli) saņemams Klimata un enerģētikas ministrijas atzinums (kas šobrīd nepamatoti nav pieprasīts).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ietekmes uz vidi novērtējuma procedūrai Latvijā nosaka likums “Par ietekmes uz vidi novērtējumu”. Likuma 2.pielikumā „Darbības, kurām nepieciešams sākotnējais izvērtējums” uzskaitītas darbības, kurām jāveic sākotnējo izvērtējumu. Sākotnējo izvērtējumu veic Valsts vides dienests. Likumprojektā nav mainīta ietekmi uz vidi novērtēšanas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ir Klimata un enerģētikas ministrijas pakļautībā esoša tiešās pārvaldes iestāde, kas uzrauga normatīvo aktu ievērošanu vides aizsardzības jomā, radiācijas drošības un kodoldrošības jomā, kā arī dabas resursu izmantošanas jomā. Valsts vides dienests procedūru veic saskaņā ar spēkā esošajiem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(NAP2027) 291.punkts paredz pasākumu "Bioloģiskās daudzveidības saglabāšanas pasākumu integrēšana tautsaimniecības nozarēs, jo </w:t>
            </w:r>
            <w:r w:rsidR="00000000" w:rsidRPr="00000000" w:rsidDel="00000000">
              <w:rPr>
                <w:u w:val="single"/>
                <w:rtl w:val="0"/>
              </w:rPr>
              <w:t xml:space="preserve">īpaši lauksaimniecības, mežsaimniecības</w:t>
            </w:r>
            <w:r w:rsidR="00000000" w:rsidRPr="00000000" w:rsidDel="00000000">
              <w:rPr>
                <w:rtl w:val="0"/>
              </w:rPr>
              <w:t xml:space="preserve"> un zivsaimniecības </w:t>
            </w:r>
            <w:r w:rsidR="00000000" w:rsidRPr="00000000" w:rsidDel="00000000">
              <w:rPr>
                <w:u w:val="single"/>
                <w:rtl w:val="0"/>
              </w:rPr>
              <w:t xml:space="preserve">nozarēs</w:t>
            </w:r>
            <w:r w:rsidR="00000000" w:rsidRPr="00000000" w:rsidDel="00000000">
              <w:rPr>
                <w:rtl w:val="0"/>
              </w:rPr>
              <w:t xml:space="preserve">, īstenojot </w:t>
            </w:r>
            <w:r w:rsidR="00000000" w:rsidRPr="00000000" w:rsidDel="00000000">
              <w:rPr>
                <w:u w:val="single"/>
                <w:rtl w:val="0"/>
              </w:rPr>
              <w:t xml:space="preserve">ilgtspējīgu dabas resursu apsaimniekošanu un zaļās infrastruktūras izmantošan</w:t>
            </w:r>
            <w:r w:rsidR="00000000" w:rsidRPr="00000000" w:rsidDel="00000000">
              <w:rPr>
                <w:rtl w:val="0"/>
              </w:rPr>
              <w:t xml:space="preserve">u, vienlaikus nodrošinot </w:t>
            </w:r>
            <w:r w:rsidR="00000000" w:rsidRPr="00000000" w:rsidDel="00000000">
              <w:rPr>
                <w:u w:val="single"/>
                <w:rtl w:val="0"/>
              </w:rPr>
              <w:t xml:space="preserve">bioloģiskās </w:t>
            </w:r>
            <w:r w:rsidR="00000000" w:rsidRPr="00000000" w:rsidDel="00000000">
              <w:rPr>
                <w:rtl w:val="0"/>
              </w:rPr>
              <w:t xml:space="preserve">un ainavu </w:t>
            </w:r>
            <w:r w:rsidR="00000000" w:rsidRPr="00000000" w:rsidDel="00000000">
              <w:rPr>
                <w:u w:val="single"/>
                <w:rtl w:val="0"/>
              </w:rPr>
              <w:t xml:space="preserve">daudzveidības aizsardzību</w:t>
            </w:r>
            <w:r w:rsidR="00000000" w:rsidRPr="00000000" w:rsidDel="00000000">
              <w:rPr>
                <w:rtl w:val="0"/>
              </w:rPr>
              <w:t xml:space="preserve"> un vērtības celšanu, sekmējot ilgtspējīgu tūrisma attīstību". Minētais grozījums ir pretrunā NAP 2027 pasākumam, jo tiek vājināta bioloģiskās daudzveidības aspekta integrēšana (t.i. konkrētā grozījuma kontekstā - ietekmes neizvērtēšana, potenciāli negatīvās ietekmes mazināšana vai novēršana). Tāpat neizvērtējot potenciālo ietekmi uz ES nozīmes biotopiem (jo īpaši, mitrajiem tipiem, piemēram, Purvainajiem mežiem, Staignāju mežiem u.c.) un īpaši aizsargājamām sugām (to dzīvotnēm), kas ir saistītas ar sezonālu vai vispārēji paaugstinātu ūdenslīmeni, tiek apdraudēta to labvēlīga aizsardzības stāvokļa saglabāšana vai sasniegšana (atjaunošana), ko paredz dabas direktīvas (piemēram, Direktīva 92/43/EEK) un  Dabas atjaunošanas regulas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(NAP2027) 291.punkts  nosaka, ka atbildīgā institūcija ir VARAM un līdzatbildīgā institūcija ir Zemkopības ministrija un pašvaldības. Latvijas Nacionālā attīstības plāna 2021.–2027. gadam (NAP2027) 291.punkta indikators ir lauku putnu indekss un meža putnu indekss.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Zemju nosusināšana nevar būtiski ietekmēt lauku un meža putnu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Biotopi ir norādīti publiskajā dabas datu pārvaldības sistēmā "Ozols", līdz ar to nav nepieciešams atsevišķs vides ekspertu atzinums, lai konstatētu biotopa esamību.Līdz ar to jebkurš meliorācijas sistēmu projektētājs un būvnieks var pārliecināties par biotopa esamību/neesamību meliorācijas būvē.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ietekmes uz vidi izvērtēšana </w:t>
            </w:r>
            <w:r w:rsidR="00000000" w:rsidRPr="00000000" w:rsidDel="00000000">
              <w:rPr>
                <w:u w:val="single"/>
                <w:rtl w:val="0"/>
              </w:rPr>
              <w:t xml:space="preserve">nav aizliegums</w:t>
            </w:r>
            <w:r w:rsidR="00000000" w:rsidRPr="00000000" w:rsidDel="00000000">
              <w:rPr>
                <w:rtl w:val="0"/>
              </w:rPr>
              <w:t xml:space="preserve"> meliorācijas sistēmu pārbūvei, tikai novērtē potenciālo ietekmi un tālākā procesā (tehniskajos noteikumos) paredz nosacījumus negatīvo ietekmju novēršanai vai mazināšanai. Vēršam uzmanību, ka spēkā esošā norma attiecas uz </w:t>
            </w:r>
            <w:r w:rsidR="00000000" w:rsidRPr="00000000" w:rsidDel="00000000">
              <w:rPr>
                <w:b w:val="1"/>
                <w:rtl w:val="0"/>
              </w:rPr>
              <w:t xml:space="preserve">lielām</w:t>
            </w:r>
            <w:r w:rsidR="00000000" w:rsidRPr="00000000" w:rsidDel="00000000">
              <w:rPr>
                <w:rtl w:val="0"/>
              </w:rPr>
              <w:t xml:space="preserve"> (plašām) meliorācijas sistēmu pārbūvēm, nevis jebkurām. Līdz ar to VARAM iebilst rosinātajām izmaiņām, jo sākotnējais izvērtējums ir veicams (kā to paredz likuma 3.</w:t>
            </w:r>
            <w:r w:rsidR="00000000" w:rsidRPr="00000000" w:rsidDel="00000000">
              <w:rPr>
                <w:vertAlign w:val="superscript"/>
                <w:rtl w:val="0"/>
              </w:rPr>
              <w:t xml:space="preserve">2</w:t>
            </w:r>
            <w:r w:rsidR="00000000" w:rsidRPr="00000000" w:rsidDel="00000000">
              <w:rPr>
                <w:rtl w:val="0"/>
              </w:rPr>
              <w:t xml:space="preserve">pants) </w:t>
            </w:r>
            <w:r w:rsidR="00000000" w:rsidRPr="00000000" w:rsidDel="00000000">
              <w:rPr>
                <w:b w:val="1"/>
                <w:rtl w:val="0"/>
              </w:rPr>
              <w:t xml:space="preserve">ne tikai</w:t>
            </w:r>
            <w:r w:rsidR="00000000" w:rsidRPr="00000000" w:rsidDel="00000000">
              <w:rPr>
                <w:rtl w:val="0"/>
              </w:rPr>
              <w:t xml:space="preserve"> likuma </w:t>
            </w:r>
            <w:r w:rsidR="00000000" w:rsidRPr="00000000" w:rsidDel="00000000">
              <w:rPr>
                <w:b w:val="1"/>
                <w:rtl w:val="0"/>
              </w:rPr>
              <w:t xml:space="preserve">2.pielikumā </w:t>
            </w:r>
            <w:r w:rsidR="00000000" w:rsidRPr="00000000" w:rsidDel="00000000">
              <w:rPr>
                <w:rtl w:val="0"/>
              </w:rPr>
              <w:t xml:space="preserve">minētajām darbībām, bet </w:t>
            </w:r>
            <w:r w:rsidR="00000000" w:rsidRPr="00000000" w:rsidDel="00000000">
              <w:rPr>
                <w:u w:val="single"/>
                <w:rtl w:val="0"/>
              </w:rPr>
              <w:t xml:space="preserve">jebkurām darbībām</w:t>
            </w:r>
            <w:r w:rsidR="00000000" w:rsidRPr="00000000" w:rsidDel="00000000">
              <w:rPr>
                <w:rtl w:val="0"/>
              </w:rPr>
              <w:t xml:space="preserve">,  kuras var būtiski ietekmēt vidi, </w:t>
            </w:r>
            <w:r w:rsidR="00000000" w:rsidRPr="00000000" w:rsidDel="00000000">
              <w:rPr>
                <w:u w:val="single"/>
                <w:rtl w:val="0"/>
              </w:rPr>
              <w:t xml:space="preserve">ņemot vērā šā likuma 11.pantā minētos kritēriju</w:t>
            </w:r>
            <w:r w:rsidR="00000000" w:rsidRPr="00000000" w:rsidDel="00000000">
              <w:rPr>
                <w:rtl w:val="0"/>
              </w:rPr>
              <w:t xml:space="preserve">s (kas ietver ne tikai </w:t>
            </w:r>
            <w:r w:rsidR="00000000" w:rsidRPr="00000000" w:rsidDel="00000000">
              <w:rPr>
                <w:i w:val="1"/>
                <w:rtl w:val="0"/>
              </w:rPr>
              <w:t xml:space="preserve">Natura 2000</w:t>
            </w:r>
            <w:r w:rsidR="00000000" w:rsidRPr="00000000" w:rsidDel="00000000">
              <w:rPr>
                <w:rtl w:val="0"/>
              </w:rPr>
              <w:t xml:space="preserve"> teritorijas, bet arī ņem konkrētās teritotrijas vispārējo bioloģisko daudzveidību (īpaši ņemot vērā aizsargājamās sugas, to dzīvotnes, īpaši aizsargājamos un Eiropas Savienības nozīmes biotopus)).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nepieciešams papildināt ar informāciju, cik gadījumos (procentuāli), kad līdz šim veikts sākotnējais ietekmes uz vidi izvērtējums atbilstoši spēkā esošajai normai, </w:t>
            </w:r>
            <w:r w:rsidR="00000000" w:rsidRPr="00000000" w:rsidDel="00000000">
              <w:rPr>
                <w:u w:val="single"/>
                <w:rtl w:val="0"/>
              </w:rPr>
              <w:t xml:space="preserve">nav noteikti </w:t>
            </w:r>
            <w:r w:rsidR="00000000" w:rsidRPr="00000000" w:rsidDel="00000000">
              <w:rPr>
                <w:rtl w:val="0"/>
              </w:rPr>
              <w:t xml:space="preserve">nekādi ietekmju mazinošie nosacījumi vai būvniecības iecerei attiecīgo ekspertu atzinumos </w:t>
            </w:r>
            <w:r w:rsidR="00000000" w:rsidRPr="00000000" w:rsidDel="00000000">
              <w:rPr>
                <w:u w:val="single"/>
                <w:rtl w:val="0"/>
              </w:rPr>
              <w:t xml:space="preserve">nav konstatētas</w:t>
            </w:r>
            <w:r w:rsidR="00000000" w:rsidRPr="00000000" w:rsidDel="00000000">
              <w:rPr>
                <w:rtl w:val="0"/>
              </w:rPr>
              <w:t xml:space="preserve"> nekādas ietekmes, tostarp, uz bioloģisko daudzveidību (kas pamatotu nepamatotu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ietekmi uz vidi novērtējumu" 11.pantu nav pamatojuma mainīt, jo likuma 11.pants nosaka kopējos kritērijus, pēc kuriem novērtējama paredzētās darbības ietekme uz vidi. Likumprojekta 2.pielikuma 1. punkta 3. apakšpunkta “b” apakšpunkts attiecas vienīgi un konkrēti uz meliorācijas sistēmām, kas būtu precizējams.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pamatojums šo grozījumu steidzamībai un iepriekšējai sabiedriskai neapspriešanai norādīts Ministru kabineta 2025. gada 2. septembra sēdes protokola Nr. 34, 31. §, 4. punkts, kas izriet no informatīva ziņojuma "</w:t>
            </w:r>
            <w:r w:rsidR="00000000" w:rsidRPr="00000000" w:rsidDel="00000000">
              <w:rPr>
                <w:u w:val="single"/>
                <w:rtl w:val="0"/>
              </w:rPr>
              <w:t xml:space="preserve">Par valsts kapitālsabiedrību iespējamiem ienākumu palielinājumiem</w:t>
            </w:r>
            <w:r w:rsidR="00000000" w:rsidRPr="00000000" w:rsidDel="00000000">
              <w:rPr>
                <w:rtl w:val="0"/>
              </w:rPr>
              <w:t xml:space="preserve">"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šādām konceptuālām regulējuma izmaiņām, pie tam paātrinātā (steidzamības) procesā,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potenciālais grozījums skar ne tikai valsts kapitālsabiedrības un to ieņēmumus (kuru dēļ ir izstrādāts iepriekš minētais informatīvais ziņojums un pieņemts attiecīgais protokollēmuma 4.punkts), bet jebkuru lielo meliorācijas sistēmu pārbūvi, kam nav tiešas ietekmes uz valsts kapitālsabiedrību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ziņojums un protokollēmumā noteikto uzdevumu steidzamība saistīta ar likumprojekta "Par valsts budžetu 2026. gadam un vidēja termiņa budžeta ietvaru 2026., 2027. un 2028. gadam" izstrādāšanu, tas ir,</w:t>
            </w:r>
            <w:r w:rsidR="00000000" w:rsidRPr="00000000" w:rsidDel="00000000">
              <w:rPr>
                <w:u w:val="single"/>
                <w:rtl w:val="0"/>
              </w:rPr>
              <w:t xml:space="preserve"> tūlītēju (tuvāko gadu) un īstermiņa ienākumu (dividenžu) palielinājumu</w:t>
            </w:r>
            <w:r w:rsidR="00000000" w:rsidRPr="00000000" w:rsidDel="00000000">
              <w:rPr>
                <w:rtl w:val="0"/>
              </w:rPr>
              <w:t xml:space="preserve">. Savukārt meliorācijas sistēmu pārbūves darbi un vēl jo vairāk, tā ietekmes (</w:t>
            </w:r>
            <w:r w:rsidR="00000000" w:rsidRPr="00000000" w:rsidDel="00000000">
              <w:rPr>
                <w:i w:val="1"/>
                <w:rtl w:val="0"/>
              </w:rPr>
              <w:t xml:space="preserve">uz mežaudžu ražību un ikgadējo koksnes pieaugumu, kā norādīts likumprojekta anotācijā</w:t>
            </w:r>
            <w:r w:rsidR="00000000" w:rsidRPr="00000000" w:rsidDel="00000000">
              <w:rPr>
                <w:rtl w:val="0"/>
              </w:rPr>
              <w:t xml:space="preserve">) ir ar ilgtermiņa skatījumu (atdeve nav tūlītēja).  Turklāt jebkuri būvniecības darbi (īpaši, ja regulējums attiecas uz lielām meliorācijas sistēmām (zemes platībām) </w:t>
            </w:r>
            <w:r w:rsidR="00000000" w:rsidRPr="00000000" w:rsidDel="00000000">
              <w:rPr>
                <w:u w:val="single"/>
                <w:rtl w:val="0"/>
              </w:rPr>
              <w:t xml:space="preserve">&gt; 500 ha</w:t>
            </w:r>
            <w:r w:rsidR="00000000" w:rsidRPr="00000000" w:rsidDel="00000000">
              <w:rPr>
                <w:rtl w:val="0"/>
              </w:rPr>
              <w:t xml:space="preserve">) nav īstenojami ļoti īsā laikā (</w:t>
            </w:r>
            <w:r w:rsidR="00000000" w:rsidRPr="00000000" w:rsidDel="00000000">
              <w:rPr>
                <w:i w:val="1"/>
                <w:rtl w:val="0"/>
              </w:rPr>
              <w:t xml:space="preserve">t.sk., var būt tehnikas / cilvēkresursu pieejamības (un to izmaksu palielināšanās) problēma, ja vienlaikus tiek veiktas masveidīgas meliorācijas sistēmu pārbūves, tāpat ņemot vērā citus valstī notiekošos (nesaistītos) būvniecības procesu</w:t>
            </w:r>
            <w:r w:rsidR="00000000" w:rsidRPr="00000000" w:rsidDel="00000000">
              <w:rPr>
                <w:rtl w:val="0"/>
              </w:rPr>
              <w:t xml:space="preserve">s)). Tāpat būvniecības darbiem nepieciešams novirzīt attiecīgus finanšu līdzekļus, kas var samazināt peļņas (dividenžu) daļu, līdz ar to potenciālā regulējuma izmaiņu "pozitīvā" ietekme uz vidēja termiņa budžeta ietvaru 2026., 2027. un 2028. gadam var netikt sasniegta.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zinātniskiem pētījumiem, augot pārmitros apstākļos, koka fotosintēzes un citu fizioloģisko norišu intensitāte ir zema un spēj nodrošināt tikai niecīgu koksnes pieauguma un augstuma veidošanos. "Pēc nosusināšanas, uzlabojoties augsnes aerācijai sakņu darbības zonā, intensificējas visas koka dzīvības procesa norises. Tā rezultātā krasi palielinās koku augstuma pieaugums. Grāvja tuvumā (15 metru attālumā) eglītēm augstuma pieaugums ir 2-3 reizes lielāks nekā vidū starp nosusinātiem grāvjiem. Tādā pat attālumā no grāvja priedes augstuma pieaugums samazinās tikai par apmēram 20 -30 %. (Pēteris Zālītis "Mežs un ūdens", Salaspils, 2012., 280.lpp.).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nosusināšanas pēc apmēram 20 gadiem meža ražības izmaiņas ir lielas: pirmās un  augstākās bonitātes atzīmētas 42% no nosusinātajām kokaudzēm, otrās un trešās bonitātes audzes - 50 % un zemas ražības kokaudzes - 8 % no meliorētajiem mežiem" (Pēteris Zālītis "Mežs un ūdens", Salaspils, 2012.,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kā īstermiņā, tā arī ilgtermiņā tiek sasniegta pozitīva ietekme uz koksnes resursu un finanšu līdzekļu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protokollēmums uzdod Zemkopības ministrijai izvērtēt iespējamās izmaiņas, nevis uzreiz veikt grozījumus. Lūdzam Anotāciju precizēt un norādīt informāciju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pamatots apgalvojums, ka "esošo meliorācijas sistēmu pārbūve </w:t>
            </w:r>
            <w:r w:rsidR="00000000" w:rsidRPr="00000000" w:rsidDel="00000000">
              <w:rPr>
                <w:u w:val="single"/>
                <w:rtl w:val="0"/>
              </w:rPr>
              <w:t xml:space="preserve">nerada</w:t>
            </w:r>
            <w:r w:rsidR="00000000" w:rsidRPr="00000000" w:rsidDel="00000000">
              <w:rPr>
                <w:rtl w:val="0"/>
              </w:rPr>
              <w:t xml:space="preserve"> potenciālu negatīvu ietekmi uz vidi", jo to, vai ir vai nav ietekme, vērtē tieši sākotnējā ietekmes uz vidi izvērtējumā.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ierosina, ka sākotnējā ietekme uz vidi obligāti nepieciešama teritorijās, kas atrodas Natura 2000 teritorijās.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norādīts un sniegts ne alternatīvu izvērtējums, ne skaidrojums, kā minētās izmaiņas ietekmēs vidi un kādas sekas radīs bioloģiskai daudzveidībai. Papildus norādāms, ka grozījumi ir pretrunā likuma "Par īpaši aizsargājamām dabas teritorijām" 43.pantam un Dzīvotņu direktīvai, jo ietekmi uz Natura 2000 teritorijām vērtē arī tādai paredzētajai darbībai, kas tiek plānota blakus Natura 2000 teritorijai, bet var ietekmēt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sniegto informāciju par ietekmi uz budžeta ieņēmumiem 375 000 </w:t>
            </w:r>
            <w:r w:rsidR="00000000" w:rsidRPr="00000000" w:rsidDel="00000000">
              <w:rPr>
                <w:i w:val="1"/>
                <w:rtl w:val="0"/>
              </w:rPr>
              <w:t xml:space="preserve">euro </w:t>
            </w:r>
            <w:r w:rsidR="00000000" w:rsidRPr="00000000" w:rsidDel="00000000">
              <w:rPr>
                <w:rtl w:val="0"/>
              </w:rPr>
              <w:t xml:space="preserve">apmērā ik gadu saistībā ar SIA "Zemkopības ministrijas nekustamie īpašumi" ietaupījumiem par investīciju projektu izvērtējumiem, skaidrojot, kāpēc ietekme tiek rādīta valsts budžeta ieņēmumos, vai tas ir līdzīgi kā AS “Latvijas valsts meži” gadījumā, ka saistībā ar izmaksu samazināšanos tiek plānots ieņēmumu palielinājums no SIA "Zemkopības ministrijas nekustamie īpašumi"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3.sadaļas 6.2.apakšpunktā tiek sniegta informācija, ka SIA "Zemkopības ministrijas nekustamie īpašumi" izmaksas saistībā ar ietekmes uz vidi novērtējumu saistītas ar meliorācijas investīciju projektu īstenošanu, sniedzot norādes, ka tās tiek segtas no valsts finansējuma, attiecīgi lūdzam skaidrot, vai minētais nozīmē izmaksu samazināšanos projektos, kas tiek īstenoti ES fondu ietvaros, vai arī tas nozīmē izmaksu samazinājumu Zemkopības ministrijas budžeta apakšprogrammā 26.03.00 “Meliorācijas kadastra uzturēšana, valsts meliorācijas sistēmu un valsts nozīmes meliorācijas sistēmu ekspluatācija un uzturēšana”, no kuras tiek segtas izmaksas par meliorācijas sistēmu uzturēšanu, tai skaitā informējot, vai attiecīgais samazinājums ir ņemts vērā ar Ministru kabineta 26.08.2025. sēdes protokola Nr.33 53.§ “Informatīvais ziņojums "Par valsts pamatbudžeta un valsts speciālā budžeta bāzi un izdevumu pārskatīšanas rezultātiem 2026., 2027., 2028. un 2029. gadam"” 14.punktā atbalstītajiem priekšlikumiem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situācijā, ja saistībā ar SIA "Zemkopības ministrijas nekustamie īpašumi" ietekme uz budžetu saistīta ar projektiem, ka tiek īstenoti ES fondu ietvaros, vai saistīta ar minēto Zemkopības ministrijas budžeta apakšprogrammu, tad tas vienlaikus nevar būt ieņēmumu palielinājums no SIA "Zemkopības ministrijas nekustamie īpašumi"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 sadaļas 6.2.apakšpunktā.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vienā gadā plānots īstenot 50 meliorācijas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salīdzinātu ar esošo situāciju, lūgums norādīt, cik projekti pie esošā regulējuma tiek īstenoti.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attiecas tikai uz lielajiem meliorācijas pārbūves projektiem, tad pie 500 hektāru sliekšņa potenciāli ietekmētā platība kopumā būtu 500x50= ≥ </w:t>
            </w:r>
            <w:r w:rsidR="00000000" w:rsidRPr="00000000" w:rsidDel="00000000">
              <w:rPr>
                <w:u w:val="single"/>
                <w:rtl w:val="0"/>
              </w:rPr>
              <w:t xml:space="preserve">25 000 ha</w:t>
            </w:r>
            <w:r w:rsidR="00000000" w:rsidRPr="00000000" w:rsidDel="00000000">
              <w:rPr>
                <w:rtl w:val="0"/>
              </w:rPr>
              <w:t xml:space="preserve">/gadā (papildus mazajiem meliorācijas pārbūves projektiem, uz kuriem jau šobrīd neattiecas likuma 2.pielikums), kas ir būtiska kumulatīvā ietekme uz vidi, tostarp ne tikai uz bioloģisko daudzveidību, bet arī uz lejteces ūdensobjektiem (to ūdens kvalitāti) u.c., summārajām ūdens plūsmas izmaiņām lejtecēs (aiz meliorācijas projekta (-u) robežām), kas pie klimata ekstrēmiem (ilgstošiem, spēcīgiem lietiem) var apdraudēt nākamās platības, apdzīvotās vietas (jo viss nomeliorētais ūdens nonāks vienlaikus), nevis palēnām akumulējas (tostarp, organiskās un neorganiskās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apakšpunkts papildināts ar informāciju par īstenoto investīciju projektu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esošā tiesiskā regulējuma vidēji vienā gadā īsteno 50 meliorācijas investīciju projektus un arī turpmāk nav plānots palielināt investīciju projektu skaitu - vienā gadā plānots īstenot 50 meliorācijas investīciju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informāciju, cik vidēji izmaksā viens virs 500 ha liels meliorācijas pārbūves projekts (ieskaitot būvprojektēšanas, būvniecības izmaksas), un attiecīgi cik procentuāli no tā sastāda norādīto vides ekspertu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ietekmes uz budžeta aprakstā ir minēti gan LVM ieņēmumi, gan ZMNĪ ietaupījumi, līdz ar to nav skaidrs, vai norādītie 50 meliorācijas investīciju projekti gadā ir LVM, ZMNĪ vai abu kopā saskaitītie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norādītais LVM ieņēmumu (pat ne dividenžu, kas nav minēts) apmērs - 2.3 milj. 2027. un 2028.gadā ir nesamērīgs (mazs) pret potenciālo regulējuma izmaiņu ietekmi uz vidi (ne tikai no tiešās meliorācijas sistēmu pārbūves, bet arī papildus koku ciršanas (jo būs labāka piekļūstamība, nosusināšana u.c., kā norādīts anotācijas 1.sadaļā)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vai ir ņemtas vērā investīciju (piemēram, LVM meliorācijas sistēmām) palielinājums (dēļ grozījumiem) un to radītās tiešās fiskālās ietekmes (ja pēc grozījumu veikšanas tiks ātrāk/vairāk veiktas meliorācijas pārbūves projekti (vienā gadā)), tās būs lielākas izmaksas tieši 2027. un 2028.gadā nekā ietaupījums no vides ekspertu nepiesaistīšanas.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3.sadaļa ar skaidrojumu par ietekmes uz vides novērtējuma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viens lielais meliorācijas pārbūves projekts (ieskaitot būvprojektēšanas, būvniecības izmaksas) vidēji izmaksā 500 000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2007. gada 9. oktobra noteikumiem Nr.689 "Noteikumi par valsts nodevu par paredzētās darbības ietekmes uz vidi sākotnējo izvērtējumu" 2.punktu valsts nodevas likme par sākotnējo izvērtējumu ir 213,43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projektā var būt nepieciešami 3-5 vides ekspertu atzinumi. Viens vides ekspertu atzinums maksā no 2500 līdz 7500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maksimāli viena projekta izmaksas var sasniegt  5 x 7500=37 500 eiro. No kopējām  projekta izmaksām 37 713, 43 eiro  sastāda vairāk nekā 7,5 % no kopējām projekta izmaksām. Gadījumā, ja meliorācijas pārbūves projekts tiek īstenots par mazāku summu, tad procentuālā attiecība par ietekmi uz vidi novērtējumu proporcionāli palielinās par vairāk nekā 7,5 %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projektos vienmēr ir noteikti ierobežojumi būves projektēšanas izmaksām, attiecinot pret būvdarbu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izdotajām "Vadlīnijām attiecināmo izmaksu noteikšanai Eiropas Savienības kohēzijas politikas programmas 2014.-2020. gada plānošanas periodā" 18.2. apakšpunktā norādīts, ka "būvuzraudzības, autoruzraudzības un būvprojekta tehniskā projekta vai skiču projekta stadijā izmaksas ir attiecināmas līdz 10% no būvdarbu līguma summas", kā arī 18.3.apakšpunktā noteikts, ka "projekta iesnieguma pamatojošās dokumentācijas sagatavošanas izmaksas, būvuzraudzības, autoruzraudzības un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izmaksas par ietekmi uz vidi novērtēšanu sastāda 7,5 %, tad par atlikušajiem 2,5% (no 10%) nav iespējams projektēt meliorācijas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norādīto ietekmi uz valsts budžeta ieņēmumiem, nedublējot izmaiņas, kas jau ir norādītas likumprojekta “Grozījumi Meža likumā" (25-TA-2086) anotācijā saistībā ar AS “Latvijas valsts meži” meža meliorācijas sistēmu pārbūves izmaksu samazinājumu 2 300 000 </w:t>
            </w:r>
            <w:r w:rsidR="00000000" w:rsidRPr="00000000" w:rsidDel="00000000">
              <w:rPr>
                <w:i w:val="1"/>
                <w:rtl w:val="0"/>
              </w:rPr>
              <w:t xml:space="preserve">euro </w:t>
            </w:r>
            <w:r w:rsidR="00000000" w:rsidRPr="00000000" w:rsidDel="00000000">
              <w:rPr>
                <w:rtl w:val="0"/>
              </w:rPr>
              <w:t xml:space="preserve">ik gadu, kā rezultātā tiek prognozēts, ka valsts gūst ieņēmumus no AS “Latvijas valsts meži” dividendēm. Tā vietā lūdzam informāciju par to norādīt anotācijas 3.sadaļas punktā “Cita informācija”, tai skaitā skaidrojot, ka šīs izmaiņas ir jau norādītas likumprojekta “Grozījumi Meža likumā” (25-TA-2086)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skaidrots, ka šīs izmaiņas ir jau norādītas likumprojekta “Grozījumi Meža likumā” (25-TA-2086)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kas saistītas ar ietekmi uz valsts budžeta ieņēmumiem ir norādītas likumprojekta “Grozījumi Meža likumā" (25-TA-2086) anotācijā. ( AS “Latvijas valsts meži” meža meliorācijas sistēmu pārbūves izmaksu samazinājumu 2,3 milj. euro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anotācijas ietekmes uz vidi aprakstam, jo tajā minēts administratīvā sloga mazinājums (ietekmes uz vidi novērtēšana un negatīvās ietekmes novēršana vai mazināšana nav administratīvais slogs), nevis aprakstīta faktiskā grozījuma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ietekme uz vidi un tā novērtēšana neaprobežojas tikai ar </w:t>
            </w:r>
            <w:r w:rsidR="00000000" w:rsidRPr="00000000" w:rsidDel="00000000">
              <w:rPr>
                <w:i w:val="1"/>
                <w:rtl w:val="0"/>
              </w:rPr>
              <w:t xml:space="preserve">Natura 2000</w:t>
            </w:r>
            <w:r w:rsidR="00000000" w:rsidRPr="00000000" w:rsidDel="00000000">
              <w:rPr>
                <w:rtl w:val="0"/>
              </w:rPr>
              <w:t xml:space="preserve"> teritorijām (tas ir tikai viens no kritērijiem ietekmes iespējamam būtiskumam), bet jāņem vērā visas ietekmes uz vidi, tostarp, ietekmi uz vispārējo bioloģisko daudzveidību (arī ārpus </w:t>
            </w:r>
            <w:r w:rsidR="00000000" w:rsidRPr="00000000" w:rsidDel="00000000">
              <w:rPr>
                <w:i w:val="1"/>
                <w:rtl w:val="0"/>
              </w:rPr>
              <w:t xml:space="preserve">Natura 2000</w:t>
            </w:r>
            <w:r w:rsidR="00000000" w:rsidRPr="00000000" w:rsidDel="00000000">
              <w:rPr>
                <w:rtl w:val="0"/>
              </w:rPr>
              <w:t xml:space="preserve"> teritorijām), kā tas minēts likuma "Par ietekmes uz vidi novērtējumu" 11.pantā pie definētajiem kritērijiem (tostarp, aizsargājamās sugas, to dzīvotnes, īpaši aizsargājamos un Eiropas Savienības nozīmes biotopus, to relatīvais daudzums, pieejamība un pietiekamība, kvalitāte un atjaunošanās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8.1.6. apakšpunktā svītrots administratīvā sloga samazinājums.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(Vides Aizsardzības Sabiedriskā Organizācija Kuršu Kopiena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Būvējot vēja ģeneratorus, to pamati tiek ierakti salīdzinoši dziļi zemē, kas var būtiski ietekmēt pazemes ūdeņu tecējumu un esošās meliorācijas sistēmas. Šī ietekme var kļūt īpaši nozīmīga, ja tiek plānots vēja parks ar daudziem ģeneratoriem. Tādēļ aicinām nodrošināt, lai, veicot šos grozījumus normatīvajā aktā, netiktu izveidota situācija, kurā vēja parku būvniecībai nav obligāti jāveic ietekmes uz vidi novērtējums attiecībā uz to ietekmi uz konkrēto pagastu meliorācijas sistēmām un pazemes ūdeņu plūsmu. Citādāk tiks sasniegts pretējais rezultāts kā norādīts šī likumprojekta anotācijā. Šāds vides izvērtējums ir būtisks, lai novērstu iespējamos riskus, tostarp teritoriju applūšanu un citus ar ūdens režīma izmaiņām saistītus negatīvus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attiecas tikai uz esošu meliorācijas vai apūdeņošanas sistēmu pārbūves gadījumiem un neietekmē ietekmes uz vidi novērtējuma laikā veikto izvērtējumu, tostarp uz meliorācijas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neietekmē ietekmi uz vidi novērtēšanas piemērošanu uz vēja parkiem. Saskaņā ar  Enerģētiskās drošības un neatkarības veicināšanai nepieciešamās atvieglotās energoapgādes būvju būvniecības kārtības likuma 5. pantu sākotnējais izvērtējums piemērojams vēja elektrostacijām, kuru kopējā jauda ir vismaz 50 MW un tās tiek plānotas ārpus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(LOSP - 09.09.2025.)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sistēmu darbība sniedz būtisku ietekmi uz lauksaimniecības un mežsaimniecības zemēm un to pilnvērtīgas izmantošanas iespējām. Meliorācijas sistēmas daudzviet ir novecojušas un prasa veikt atjaunošanas darbus. Šogad bija īpaši novērojama meliorācijas sistēmu ietekme uz lauksaimniecības un mežsaimniecības zemju spēju novadīt lietavu radītos plūdus. Tās teritorijas, kur meliorācijas sistēmas prasa ieguldījumus radīja īpaši lielus postījumus. Meliorācijas sistēmu atjaunošana ir prioritāra, lai lauksaimnieki un mežsaimnieki varētu pilnvērtīgi izmantot savus apsaimniekojamos īpašumus. Tādēļ svarīgi novērst jebkādus birokrātiskos šķēršļus, kas apgrūtina meliorācijas sistēmu uzturēšanu labā tehniskajā stāvoklī. Atbalstām iesniegtos normatīvo aktu grozījumus. Aicinām izvērtēt vai nepieciešams saglabāt birokrātiskos šķēršļus arī NATURA 2000 teritorijās. Aicinu svītrot no likuma 2.pielikuma 1.punkta 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meliorācijas sistēmu būvniecībai ir būtiska ietekme uz lauksaimniecības un mežsaimniecības zemēm.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LOSP priekšlikums attiecas un varētu skart Natura 2000 teritorijas, kas ir īpaši aizsargājamās dabas teritorijas, kurās būtu veicama ietekmes uz vides novērtējums jaunas būvniecības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projektu, nosakot tajā punktus, kas paredz atbalstīt iesniegto likumprojektu, kā arī noteikt, ka atbildīgais par likumprojekta turpmāko virzību Saeimā ir zemkopības ministrs, kā arī precizēt jau piedāvāto punktu, nosakot uzdevumu Valsts kancelejai sagatavot likumprojektu iesniegšanai Saeimā likumprojekta "Par valsts budžetu 2026. gadam un budžeta ietvaru 2026., 2027. un 2028. 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likumā "Par ietekmes uz vidi novērtējumu""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25-TA-2090</w:t>
    </w:r>
    <w:r>
      <w:br/>
    </w:r>
    <w:r w:rsidR="00000000" w:rsidRPr="00000000" w:rsidDel="00000000">
      <w:rPr>
        <w:rtl w:val="0"/>
      </w:rPr>
      <w:t xml:space="preserve">12.09.2025. 15.07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25-TA-2090</w:t>
    </w:r>
    <w:r>
      <w:br/>
    </w:r>
    <w:r w:rsidR="00000000" w:rsidRPr="00000000" w:rsidDel="00000000">
      <w:rPr>
        <w:rtl w:val="0"/>
      </w:rPr>
      <w:t xml:space="preserve">12.09.2025. 15.07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Izziņa_25-TA-2090.docx</dc:title>
</cp:coreProperties>
</file>

<file path=docProps/custom.xml><?xml version="1.0" encoding="utf-8"?>
<Properties xmlns="http://schemas.openxmlformats.org/officeDocument/2006/custom-properties" xmlns:vt="http://schemas.openxmlformats.org/officeDocument/2006/docPropsVTypes"/>
</file>