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sasniedzams šāds uzraudzības rādītājs – programmas iznākuma rādītājs – speciālistu, kuri piedalījušies mācībās bērnu tiesību aizsardzības jomā, skaits – 5 988.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rādītāja starpposma sasniedzamo vērtību līdz 2024.gada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MK noteikumu projekta 16.1. līdz 16.5. apakšpunktā minētajām atbalstāmajām darbībām paredzēti indikatīvi 1 626 062 EUR jeb 47% no 4.3.6.1. pasākumam pieejamā finansējuma. Lūdzam skaidrot, kādām darbībām paredzēts izmantot pārējos 53%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Skaidrojam, ka finansējums 1 418 938 </w:t>
            </w:r>
            <w:r w:rsidR="00000000" w:rsidRPr="00000000" w:rsidDel="00000000">
              <w:rPr>
                <w:i w:val="1"/>
                <w:rtl w:val="0"/>
              </w:rPr>
              <w:t xml:space="preserve">euro</w:t>
            </w:r>
            <w:r w:rsidR="00000000" w:rsidRPr="00000000" w:rsidDel="00000000">
              <w:rPr>
                <w:rtl w:val="0"/>
              </w:rPr>
              <w:t xml:space="preserve"> (jeb 53%) apmērā paredzēts noteikumu projekta 16.3. un 16.4. apakšpunktā (iepriekš 16.6. un 16.7. apakšpunktā) minēto atbalstāmo darbību īstenošanai (personāla izmaksas (atlīdzība, veselības apdrošināšana, darba vietas aprīkojums, komandējumi), izmaksas obligāto komunikācijas un vizuālās identitātes pasākumu par projektu īstenošanai un netiešās attiecināmās izmaksas 7% apmērā no projekta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saskaņošanas laikā minēto, ka LM kā ES fondu atbildīgā iestāde 4.3.6.1. pasākumam vērtēs iespēju izstrādāt savu vienības izmaksu standarta likmes aprēķina un piemērošanas metodiku atlīdzībai, t.sk. veselības apdrošināšanai, lūdzam paredzēt vienkāršoto izmaksu piemērošanu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 apakšpunkts precizēts, paredzot, ka atbildīgā iestāde izstrādās vienoto likmi un tās piemērošanas metodiku personāla izmaksām. Savukārt, līdz minētās metodikas apstiprināšanai finansējuma saņēmēja projekta vadības un sadarbības partnera projekta īstenošanas personāla izmaksas tiks veiktas atbilstoši faktisko izmaksu pieejai. Vienlaikus precizēts MK noteikumu projekta 18.3.3., 18.3.4. un 19.4. apakšpunkts un attiecīgi precizēta arī MK noteikumu projekta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iepirkuma līgumu izmaksas šo noteikumu 16.1., 16.2., 16.3., 16.4., 16.5. un 16.6. apakšpunktā minēto atbalstāmo darbību īstenošanai, kā arī 16.7. apakšpunktā minētas atbalstāmas darbības īstenošanai, ja finansējuma saņēmējs projekta vadības un īstenošanas personālu un sadarbības partneris projekta īstenošanas personālu piesaista uz iepirkumu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atšifrēt, kādas iepirkuma līguma izmaksas ir paredzētas 16.7.apakšpunktā minēto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16.4. apakšpunktā (iepriekš 16.7. apakšpunktā) minētās atbalstāmās darbības “projekta vadība un tā īstenošanas nodrošināšana” īstenošanai paredzētas iepirkuma līguma izmaksas finansējuma saņēmēja projekta vadības un īstenošanas personāla un sadarbības partnera projekta īstenošanas personāla (turpmāk – personāls) izmaksu nodrošināšanai, piemēram, darba vietas aprīkojuma iegādei, veselības apdrošināšanai u.tml. Tāpat iepirkuma līguma izmaksas varētu būt arī gadījumā, ja personālu piesaista uz iepirkumu līguma pamata, piemēram, gadījumā, ja to nav iespējams piesaistīt, nodibinot civildienesta vai darba tiesiskās attiecības un paredzot atlīdzības izmaksas saskaņā ar noteikumu projekta 18.1.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iepirkuma līgumu izmaksas šo noteikumu 16. 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darba vietas aprīkojuma iegādei vai nomai, tai skaitā aprīkojuma uzturēšanai un remontam, finansējuma saņēmēja projekta vadības un īstenošanas personālam un sadarbības partnera projekta īstenošanas personālam jaunu darba vietu radīšanai vai esošo darba vietu atjaunošanai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"vai esošo darba vietu atjaunošanai" uz "vai gadījumā,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19.5. 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aprīkojuma iegādes samērīguma vērtēšanu vēlamies atzīmēt, ka, lai arī Finanšu ministrijas vadlīnijas Nr.1.2. "Vadlīnijas attiecināmo izmaksu noteikšanai Eiropas Savienības kohēzijas politikas programmas 2021.-2027.gada plānošanas periodā” to neparedz, tomēr tiks ievēroti kopējie aprīkojuma iegādes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darba vietas aprīkojuma iegādei vai nomai, tai skaitā aprīkojuma uzturēšanai un remontam, finansējuma saņēmēja projekta vadības un īstenošanas personālam un sadarbības partnera projekta īstenošanas personālam jaunu darba vietu radīšanai vai esošo darba vietu atjaunošanai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19.5. apakšpunkta redakciju, ņemot vērā, ka nosacījums par darbinieka iesaistes periodu projektā attiecas tikai uz daļlaiku. Šobrīd MK noteikumu projektā ir iekļauta stingrāka prasība, nekā to paredz Vadošās iestādes Vadlīnijas attiecināmo izmaksu noteikšanai (Nr. 1.2.). Saskaņā ar vadlīniju 9.5.punktu darba vietas aprīkojuma izmaksas ir attiecināmas atbilstoši slodzes apmēram – darbiniekiem, kuri strādā normālo darba laiku, aprīkojuma izmaksas ir attiecināmas 100% apmērā, 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19.5.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17.2. apakšpunktā minētās netiešās attiecināmās izmaksas finansējuma saņēmējs plāno kā vienu izmaksu pozīciju septiņu procentu apmērā no projekta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veiktās izmaiņas, jo saskaņā ar apstiprināto informatīvo ziņojumu, paredzēta bija netiešo izmaksu likme 15 % apmērā no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izstrādes laikā, tāpat kā citiem ātrāk uzsākamajiem pasākumiem, balstoties uz ES fondu 2014.-2020. gada plānošanas perioda pieredzi, netiešo attiecināmo izmaksu likme tika noteikta 15% apmērā no projekta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pārskatītas netiešo attiecināmo izmaksu piemērošanas iespējas, un, lai ievērotu vienotu pieeju nozares projektu īstenošanā un vienkāršotu netiešo izmaksu administrēšanas/ aprēķināšanas procesu, minēto izmaksu likme noteikta 7% apmērā no projekta tiešajām attiecināmajām izmaksām. Pieejas maiņa neietekmēs 4.3.6.1. pasākuma uzraudzības rādītāju sasniegšanu un plānotās darbības tiks īstenotas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 uzskatām, ka netiešo attiecināmo izmaksu likme 7% apmērā no projekta tiešajām attiecināmajām izmaksām ir atbilstošāka pasākumā plānoto darbību specifikai.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17.2. apakšpunktā minētās netiešās attiecināmās izmaksas finansējuma saņēmējs plāno kā vienu izmaksu pozīciju septiņu procentu apmērā no projekta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atbalstāmo darbību ietvaros ir attiecināms pievienotās vērtības nodoklis šo noteikumu 17.1. apakšpunktā minētajām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 attiecībā uz PVN līdzekļu attiecināšanu/atgūšanu.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papildināts dubultfinansēšanas risku novēršanas apraksts paredzot, ka TA projektā ietvertais finansējuma saņēmēja pienākums nodrošināt dubultā finansējuma riska novēršanu t.sk. ietver pievienotās vērtības nodokļa dubultā finansējuma riska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atbalstāmo darbību ietvaros ir attiecināms pievienotās vērtības nodoklis šo noteikumu 17.1. apakšpunktā minētajām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 apakšpunktā minēto atbalstāmo darbību īstenošanu pārvalda Labklājības ministrijas izveidota Bērnu lietu sadarbības padome (turpmāk – padome). Padomes sastāvā ir finansējuma saņēmēja, Labklājības ministrijas, citu nozaru ministriju, Latvijas Pašvaldību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uz kāda tiesiska pamata tiek nodota atbalstāmo darbību īstenošana Labklājības ministrijas izveidotai padomei. Papildus lūdzu skaidrot, kas ir saprotams ar vārdu "pārvalda". Vēršam uzmanību, ka saskaņā ar Eiropas Savienības fondu 2021.-2027.gada plānošanas perioda vadības likumu un uz tā pamata izdotiem horizontāliem noteikumiem, šāda funkciju nodošana nav paredzēta. Projekta īstenošanu nodrošina finansējuma saņēmējs, kurš drīkst projekta īstenošanā piesaistīt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“Uzraudzība” papildināts. Skaidrojam, ka saskaņā ar MK 2004. gada 27. janvāra noteikumu Nr. 49 Labklājības ministrijas nolikums” 24.3 apakšpunktu finansējuma saņēmējs – VBTAI ir LM padotībā esoša iestāde. Attiecīgi VBTAI īstenotā 4.3.6.1. pasākuma projekta īstenošanas efektivitātes un uzraudzības nodrošināšanai (izvirzīto mērķu un rādītāju sasniegšanai) paredzēts, ka atsevišķu atbalstāmo darbību īstenošanu (detalizēts padomes pienākumu uzskatījums ir noteikumu projektā) pārvaldīs LM kā nozares ministrijas izveidota Bērnu lietu sadarbības padomes (turpmāk – padome) šim mērķim izveidota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kontekstā pārvaldība nozīmē atsevišķu projekta nodevumu kvalitātes nodrošināšanu ar mērķi veiksmīgi īstenot projektu. Noteikumu projekts neparedz atbalstāmo darbību īstenošanu nodot LM izveidotai padomei (turpmāk – padome). 4.3.6.1. pasākuma atbalstāmās darbības īstenos finansējuma saņēmējs – VBTAI. Papildus skaidrojam, ka padomes iesaiste paredzēta, lai nodrošinātu vairāku saistīto iestāžu viedokli un konsultatīvo atbalstu, tādējādi nodrošinot maksimāli kvalitatīvu un efektīvu pasākuma īstenošanu un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16.1.1. apakšpunktā minēto atbalstāmo darbību īstenošanu pārvalda Labklājības ministrijas izveidota Bērnu lietu sadarbības padome (turpmāk – padome).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 apakšpunktā minēto atbalstāmo darbību īstenošanu pārvalda Labklājības ministrijas izveidota Bērnu lietu sadarbības padome (turpmāk – padome). Padomes sastāvā ir finansējuma saņēmēja, Labklājības ministrijas, citu nozaru ministriju, Latvijas Pašvaldību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punktu, svītrojot regulējumu par Bērnu lietu sadarbības padomes sastāvu. Vēršam uzmanību uz to, ka saskaņā ar Ministru kabineta 2017. gada 12. septembra noteikumu Nr. 545 "Noteikumi par institūciju sadarbību bērnu tiesību aizsardzībā" 3. punktu Bērnu lietu sadarbības padomi izveido, tās uzdevumus un sastāvu nosaka un darbības nolikumu apstiprina labklājības ministrs. Savukārt ar labklājības ministres 2023. gada 10. marta rīkojumu Nr. 32 ir izpildīts Ministru kabineta dotais deleģējums un ir noteikts Bērnu lietu sadarbības padomes sastāvs.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16.1.1. apakšpunktā minēto atbalstāmo darbību īstenošanu pārvalda Labklājības ministrijas izveidota Bērnu lietu sadarbības padome (turpmāk – padome).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24.2.9. iesniedz finansējuma saņēmējam dokumentu, kas apliecina mācību dalībnieku dalību, kurā norāda dalībnieka vārdu, uzvārdu, darba vietas e-pasta adresi un citu informāciju, kas nepieciešama maksājuma pieprasījuma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24. punkta un anotācijas 8.1.13. apakšpunkta izriet, ka finansējuma saņēmēja izvēlēts pakalpojuma sniedzējs veic mācību dalībnieku datu apstrādi vairākiem mērķiem, savukārt konkrēts dalībnieku apstrādājamo datu apjoms ir norādīts tikai 24.2.9. apakšpunktā attiecībā uz datu nodošanu finansējuma saņēmējam dalībnieku pārskata un maksājuma pieprasījuma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Datu regulas 5. panta 1. punkta "a" apakšpunktā noteiktā  likumīguma, godprātības un pārredzamības principa ievērošanu, Datu valsts inspekcijas skatījumā noteikumu projektā nepieciešams skaidri noteikt, kas un kādiem nolūkiem apstrādā dalībnieku personas datus norādītā apjomā.  Piemēram, pakalpojuma sniedzējs, lai nodrošinātu dalībnieka atbilstību mērķa grupai izvērtēšanu, dalībnieku uzskaiti un datu nodošanu finansējuma saņēmējam dalībnieku pārskata un maksājuma pieprasījuma sagatavošanai, apstrādā personas vārdu, uzvārdu un darba vietas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skatījumā augstāk minētās informācijas norādīšana tikai anotācijā nenodrošina norādīto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vārdus "citu informāciju" aizstāt ar vārdiem "citu personu datus nesaturošu informāciju", lai skaidri nodalītu, ka šī informācija nesatur dalībnieku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24.2.9.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24.2.9. projekta īstenošanas, maksājuma pieprasījumu un dalībnieku pārskatu sagatavošanas nolūka veic šo noteikumu 3.1. un 3.2. apakšpunktā minēto mērķa grupas personu – mācību dalībnieku atbilstības pārbaudi, identificēšanu un uzskaiti, norādot personas datus atbilstoši 2023. gada 21. marta Ministru kabineta noteikumu Nr.135 “Eiropas Savienības fondu projektu pārbaužu veikšanas kārtība 2021.–2027. gada plānošanas periodā” 1.pielikumam un iesniedz tos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izstrādā bāriņtiesas amatpersonu sertifikācijas informācijas sistēmu vai pielāgo esošu informācijas sistēmu, papildinot ar bāriņtiesas amatpersonu sertifikācijas sistēmas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izstrādā bāriņtiesas amatpersonu sertifikācijas informācijas sistēmu vai pielāgo esošu informācijas sistēmu ar jaunu moduli. Vienlaikus anotācijā nav sniegts skaidrojums par šādas informācijas sistēmas tiesiskā ietvara esību ārējā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norāda, ka Datu regulas   5. panta 1. punkta “a” apakšpunkts paredz, ka personas dati tiek apstrādāti likumīgi, godprātīgi un datu subjektam pārredzamā veidā. Vienlaikus Datu regulas 6. panta 1. un 3. punkts paredz, ka publiska persona fiziskas personas datu apstrādi veic, pamatojoties uz Eiropas Savienības tiesību aktā vai dalībvalsts tiesību aktā, kas piemērojami pārzinim, noteiktu tiesisku pamatu un  personas datu apstrādes nolūku. Vienlaikus personas datu apstrādes juridiskajā pamatā būtu nosakāmas apstrādājamo personas datu kategorijas, datu subjekti, kurus skar attiecīgā personas datu apstrāde, vienības, kurām personas dati var tikt izpausti un mērķi, kādiem tie var tikt izpausti. Datu valsts inspekcijas ieskatā, izveidojot jaunu valsts informācijas sistēmu, visām šīm prasībā ir jābūt noteiktām likuma līmenī. Savukārt Ministru kabineta noteikumu līmenī būtu nosakāms konkrēts apstrādājamo datu apjoms, apstrādes procedūras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skaidrojumu, ja bāriņtiesas amatpersonu sertifikācijas informācijas sistēmas ietvars ir noteikts likuma līmenī. Savukārt, ja šāda regulējuma nav, lūdzam papildināt Ministru kabineta sēdes protokollēmuma projektu ar  uzdevumu Labklājības ministrijai izstrādāt un iesniegt izskatīšanai Ministru kabinetā grozījumus Bāriņtiesu likumā, kas paredz noteikt bāriņtiesas amatpersonu sertifikācijas informācijas sistēmas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plānotā projekta “Profesionālās kvalifikācijas pilnveide bērnu tiesību aizsardzības jautājumos un bērnu likumisko pārstāvju atbildības stiprināšana” ietvaros 2022. gada 15. decembrī izveidotās darba grupas “Bāriņtiesu amatpersonu sertifikācijas sistēmas izstrādei” secinājumiem (sk. izziņas 42. punktu), noteikumu projektā plānoto atbalstāmo darbību saturs ir pārskatīts un, gan noteikumu projektā, gan anotācijā veikti precizējumi, svītrojot normas, kas saistītas ar izpēti par bāriņtiesas amatpersonu sertifikācijas informācijas sistēmas ieviešanas risinājumiem, tās izstrādi vai pielāgošanu, un tās izmantošanu un ilgtspēju pēc projekta īstenošanas beigām, tādēļ papildinājumi saistībā ar informācijas sistēmas likumisko ietvaru anotācijā un Ministru kabineta sēdes protokollēmuma projektā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šo noteikumu 16.4 apakšpunktā minēto supervīziju pakalpojuma paredzamā līgumcena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27. punkta apakšpunktos noteikto līgumcenu atšķirīgo sadalījumu, t.i., kāpēc sertificētam pakalpojuma sniedzējam (27.1. apakšpunkts) līgumcena ir noteikta zemāka.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būtiski nodrošināt supervīzijas pakalpojuma sniedzēja darba kvalitāti, ko vērtē pēc speciālista kvalifikācijas, kas ietver iegūtās teorētiskās zināšanas un profesionālo pieredzi, vienotu izpratni par supervizora profesionālajām vērtībām, mērķiem un ētiku, regulāru profesionālās kompetences pilnveidi, akumulējot profesionālo pieredzi. Minēto supervizoru kvalitāti apliecina Eiropas nacionālo supervizoru organizāciju asociācijas (</w:t>
            </w:r>
            <w:r w:rsidR="00000000" w:rsidRPr="00000000" w:rsidDel="00000000">
              <w:rPr>
                <w:i w:val="1"/>
                <w:rtl w:val="0"/>
              </w:rPr>
              <w:t xml:space="preserve">Association of National Organisations for Supervision in Europe</w:t>
            </w:r>
            <w:r w:rsidR="00000000" w:rsidRPr="00000000" w:rsidDel="00000000">
              <w:rPr>
                <w:rtl w:val="0"/>
              </w:rPr>
              <w:t xml:space="preserve">) (turpmāk - ANSE) standartiem atbilstošs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Supervizora sertifikāts nozīmē supervizora profesionālās darbības savstarpējo atzīšanu Latvijas Supervizoru apvienības un ANSE kontekstā, un vienotu izpratni par supervizora profesionālajām vērtībām, mērķiem un ētiku. Latvijas Supervizoru apvienība ir izveidojusi arī Ētikas komisiju, kuras funkcijās, t.sk. ietilpst vispusīgi un objektīvi izvērtēt Ētikas kodeksā noteikto supervizoru profesionālās ētikas un uzvedības pamatprincipu pārkāpumus, sniegt atzinumus par Ētikas kodeksa pārkāpumiem, t.sk. arī atzinumu Sertifikācijas komisijai anulēt supervizora sertifikātu, kas ir papildu instruments supervizoru profesionalitātes uzturēšanai, kā arī strīdus jautājumu risināšanā starp supervizoru un supervīzijas pakalpojuma saņēmēju, pasūtītāju.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Supervizoru apvienība nodrošina arī dažādus supervizoru profesionālās kompetences pasākumus – seminārus, supervīzijas u.tml., kas jebkuram supervizoram ir nepieciešamas saskaņā ar Supervizora profesijas standartā un ANSE nosacījumos noteikto. Attiecīgi Latvijas Supervizoru apvienības izsniegtais sertifikāts apliecina supervizora pakalpojuma kvalitāti, augstu profesionalitāti un profesijas integritāti, kā arī to, ka supervizors tik tiešām īsteno supervīzijas praksi un regulāri pilnveido savu profesionālo kompetenci. Vienlaicīgi, nodrošinot sertifikāciju, resertifikāciju, ētikas komisijas darbu, supervizoru profesionālās kompetences pasākumus, Latvijas Supervizoru apvienība nodrošina sertificēto supervizoru profesionalitātes, kvalitātes uzraudzību un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Supervīzija atbilst Publisko iepirkumu likuma (PIL) 2. pielikuma “Veselības, sociālie un saistītie pakalpojumi’ sadaļā ietvertajam CPV kodam – 85121270-6 “Psihiatru vai psihologu pakalpojumi” (pakalpojums ir pietuvināts psihoterapijas un psihologa pakalpojumam, jo pēc būtības nodrošina līdzīgu atbalstu – garīgās veselības uzlabošana, iekšējā stresa mazināšana, emocionālā līdzsvara atgūšana, problēmsituāciju risināšana u.tml.), attiecīgi gadījumā, ja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PIL nav jāpiemēro. Savukārt, ja supervīzijas pakalpojuma paredzamā līgumcena ir 750 000 </w:t>
            </w:r>
            <w:r w:rsidR="00000000" w:rsidRPr="00000000" w:rsidDel="00000000">
              <w:rPr>
                <w:i w:val="1"/>
                <w:rtl w:val="0"/>
              </w:rPr>
              <w:t xml:space="preserve">euro</w:t>
            </w:r>
            <w:r w:rsidR="00000000" w:rsidRPr="00000000" w:rsidDel="00000000">
              <w:rPr>
                <w:rtl w:val="0"/>
              </w:rPr>
              <w:t xml:space="preserve"> un vairāk, ir jāveic iepirkums atbilstoši PIL 10.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paredzēts, ka gadījumā, ja supervīzijas pakalpojuma līgumcena ir mazāka par 750 000 </w:t>
            </w:r>
            <w:r w:rsidR="00000000" w:rsidRPr="00000000" w:rsidDel="00000000">
              <w:rPr>
                <w:i w:val="1"/>
                <w:rtl w:val="0"/>
              </w:rPr>
              <w:t xml:space="preserve">euro</w:t>
            </w:r>
            <w:r w:rsidR="00000000" w:rsidRPr="00000000" w:rsidDel="00000000">
              <w:rPr>
                <w:rtl w:val="0"/>
              </w:rPr>
              <w:t xml:space="preserve">, lai nodrošinātu supervīzijas pakalpojuma kvalitāti, supervīzijas pakalpojuma sniedzējs jāizvēlas no sertificētu supervizoru reģistra (pieejams Latvijas Supervizoru apvienības tīmekļa vietnē http://www.supervizija.lv/lv/sertificeti-supervizori/). Tajā uz 2023. gada 25. oktobri ir reģistrēts 151 sertificēts supervizors, kas garantē pašvaldībām plašas iespējas izvēlēties piemērotāko supervīzijas pakalpojuma 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nav piemērojama, ja supervīzijas pakalpojuma līgumcena ir lielāka par 750 000 </w:t>
            </w:r>
            <w:r w:rsidR="00000000" w:rsidRPr="00000000" w:rsidDel="00000000">
              <w:rPr>
                <w:i w:val="1"/>
                <w:rtl w:val="0"/>
              </w:rPr>
              <w:t xml:space="preserve">euro</w:t>
            </w:r>
            <w:r w:rsidR="00000000" w:rsidRPr="00000000" w:rsidDel="00000000">
              <w:rPr>
                <w:rtl w:val="0"/>
              </w:rPr>
              <w:t xml:space="preserve"> un tiek piemērots PIL.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16.2. apakšpunktā minēto atbalstāmo darbību īsteno finansējuma saņēmēja izvēlēts pakalpojuma sniedzējs, kas izstrādā un īsteno komunikācijas stratēģiju bērnu tiesību aizsardzības jomā strādājošo, bērnu likumisko pārstāvju un audžuģimeņu, un sabiedrības vienotas izpratnes veidošanai un informētības paaugstināšanai bērnu tiesību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mazāka par 750 000 </w:t>
            </w:r>
            <w:r w:rsidR="00000000" w:rsidRPr="00000000" w:rsidDel="00000000">
              <w:rPr>
                <w:i w:val="1"/>
                <w:rtl w:val="0"/>
              </w:rPr>
              <w:t xml:space="preserve">euro</w:t>
            </w:r>
            <w:r w:rsidR="00000000" w:rsidRPr="00000000" w:rsidDel="00000000">
              <w:rPr>
                <w:rtl w:val="0"/>
              </w:rPr>
              <w:t xml:space="preserve">, finansējuma saņēmējs šo noteikumu 18.2. apakšpunktā minētās izmaksas kompensē pašvaldībai, ja tā, veicot tirgus izpēti saskaņā ar normatīvajiem aktiem par publiskajiem iepirkumiem, īstenojot konkurenci nodrošinošu, pārredzamu, atklātu, nediskriminējošu un, kur tas ir attiecināms un atbilstošs projekta darbības specifikai, sociāli atbildīga konkursa procedūru, kas atbilst publiskā iepirkuma principiem, ir izvēlējusies supervīzijas pakalpojuma sniedzēju, kas ir sertificēts un iekļauts sertificētu supervīzijas pakalpojuma sniedzēju reģistrā, kas publicēts tās organizācijas tīmekļa vietnē, kura pārstāv Latviju Eiropas nacionālo supervizoru organizāciju asociācijā ANSE (Association of National Organisations for Supervision in Europe);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27.1. apakšpunktā noteikto prasību par supervīzijas pakalpojuma sniedzēja sertificēšanos ANSE, ņemot vērā, ka šī prasība var tikt uzskatīta par nesamērīgu un konkurenci ierobežojošu.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Supervīzija ir konsultatīvs atbalsts jautājumos, kas saistīti ar darbu un profesionālo darbību. Skaidrojam, ka Bāriņtiesu likuma 5. panta sestajā daļā pašvaldībām ir noteikts pienākums nodrošināt mērķtiecīgi organizētu konsultatīvu, izglītojošu un psiholoģisku atbalstu bāriņtiesas amatpersonām, lai pilnveidotu viņu profesionālo kompetenci un profesionālās darbības kvalitāti, taču līdz šim šāds atbalsts bāriņtiesas amatpersonām netiek sniegts. Lai veicinātu supervīzijas pakalpojuma ieviešanu bāriņtiesas amatpersonu profesionālajam atbalstam, 4.3.6.1. pasākumā paredzēts sniegt finansiālu atbalstu pašvaldībām supervīzijas nodrošināšanai, vienlaikus izvirzot kvalitātes prasības supervīzijas pakalpojuma nodrošināšanai, proti, sertificētu supervīzijas pakalpojuma sniedzēju piesaistei (sk. skaidrojumu izziņas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Analoģiskas prasības līdzšinēji tiek piemērotas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9.2.1.1/15/I/001 “Profesionāla sociālā darba attīstība pašvaldībās” ietvaros, sniedzot suprevīzijas pakalpojumu sociālajiem darbiniekiem (projekta īstenošanas periods no 21.04.2015.-31.12.2023.).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 2021.—2027. gada plānošanas perioda vadības likuma mērķī un finansējuma saņēmēja pienākumos noteikto – “nodrošināt efektīvu, pārskatāmu un pareizas finanšu pārvaldības principiem atbilstošu Eiropas Savienības fondu ieviešanu Latvijā”; “nodrošināt, lai projektam piešķirtais finansējums tiktu izlietots saskaņā ar pareizas finanšu pārvaldības principu, ievērojot saimnieciskuma, lietderības un efektivitātes principus”,  4.3.6.1. pasākumā bāriņtiesas amatpersonām plānots nodrošināt supervīzijas pakalpojuma līdzšinēji sociālajiem darbiniekiem sniegtā pakalpojuma kvalitātē, t.i. nesamazinot prasības supervīzijas pakalpojuma bāriņtiesas amatpersonām kvalitātei.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īsteno izpratnes un prakses veidošanas pasākumus bērnu tiesību aizsardzības jomā strādājošajiem;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informēti par korupcijas un interešu konflikta novēršanas jautājumiem, krāpšanas pazīmēm un pienākumu ziņot par konstatētājām aizdomām, kā arī ir informēti par ziņotāju aizsardzību atbilstoši Trauksmes celšanas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ka finansējuma saņēmējs izstrādā kārtību, kā pārliecinās par interešu konflikta, krāpšanas un korupcijas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kontroles sistēmas izveides, pilnveides un uzturēšanas pamatprasības (t.sk. to iekļaušana iekšējos normatīvajos aktos) korupcijas un interešu konflikta riska novēršanai publiskas personas institūcijā noteiktas 2017. gada 17. oktobra Ministru kabineta noteikumos Nr.630 “Noteikumi par iekšējās kontroles sistēmas pamatprasībām korupcijas un interešu konflikta riska novēršanai publiskas personas institūcijā” (turpmāk – MK Nr.630). Skaidrojam, ka pēc būtības iebildums ir ņemts vērā, tā kā finansējuma saņēmējs – VBTAI MK noteikumu Nr. 630 prasības izpildījis, tās horizontāli integrējot vairākos iekšējos institūcijas normatīvajos aktos (Ētikas kodekss, Pretkorupcijas pasākumu plāns, Darba kārtības noteikumi, kārtība par Valsts bērnu tiesību aizsardzības inspekcijas ierēdņu un darbinieku rīcību situācijās, kad tiek apdraudēta viņu rīcības brīvība, drošība un veselība, vai tiek piedāvāts kukulis), līdz ar to 4.3.6.1. pasākuma īstenošanas kontekstā nav nepieciešams izstrādāt jaunu specifisku iekšējo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informēti par korupcijas un interešu konflikta novēršanas jautājumiem, krāpšanas pazīmēm un pienākumu ziņot par konstatētājām aizdomām, kā arī ir informēti par ziņotāju aizsardzību atbilstoši Trauksmes celšanas 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LM kā atbildīgo iestādi izvērtēt vienkāršoto izmaksu piemērošanas iespējas pasākumā un nepiemērošanas gadījumā to argumentēti pamatot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kā ES fondu atbildīgā iestāde ir izvērtējusi vienkāršoto izmaksu piemērošanas iespējas un noteikumu projekts ir precizēts, paredzot vienkāršoto izmaksu piemērošanu atlīdzībai, t.i. atbildīgā iestāde izstrādās vienoto likmi un tās piemērošanas metodiku personāla izmaksām (sk. skaidrojumu izziņas 3. punktā).  Pārējās pasākuma izmaksas nav iespējams unificēt pēc vienas vienības izmaksu principa vai arī LM šobrīd nav pietiekamu datu citu vienkāršoto izmaksu metodiku izstrādei (piemēram, pasākumā paredzētajam mācībām). Tomēr iespējams, ka vienkāršoto izmaksu metodikas izstrāde iespējama projekta īstenošanas laikā, kad šādi dati būs uzkrāti. Attiecīgi papildināts anotācijas 1.3. apakšsadaļas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"Risinājuma apraksts" 1. punkta a) sadaļā dzēst atsauci uz Bērnu tiesību aizsarzdzības likuma 5.</w:t>
            </w:r>
            <w:r w:rsidR="00000000" w:rsidRPr="00000000" w:rsidDel="00000000">
              <w:rPr>
                <w:vertAlign w:val="superscript"/>
                <w:rtl w:val="0"/>
              </w:rPr>
              <w:t xml:space="preserve">1 </w:t>
            </w:r>
            <w:r w:rsidR="00000000" w:rsidRPr="00000000" w:rsidDel="00000000">
              <w:rPr>
                <w:rtl w:val="0"/>
              </w:rPr>
              <w:t xml:space="preserve">panta pirmās daļas </w:t>
            </w:r>
            <w:r w:rsidR="00000000" w:rsidRPr="00000000" w:rsidDel="00000000">
              <w:rPr>
                <w:u w:val="single"/>
                <w:rtl w:val="0"/>
              </w:rPr>
              <w:t xml:space="preserve">20.apakšpunktu</w:t>
            </w:r>
            <w:r w:rsidR="00000000" w:rsidRPr="00000000" w:rsidDel="00000000">
              <w:rPr>
                <w:rtl w:val="0"/>
              </w:rPr>
              <w:t xml:space="preserve">, ņemot vērā, ka tajā minētie speciālisti atbilstoši MK noteikumu projekta 3.punktā minētajam, nav pasākuma mērķa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apakšpunkts papildināts, iekļaujot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punktu, kas ietver ārpusģimenes aprūpes atbalsta centru vadītājus, to vietniekus un struktūrvienību vadītājus, kuriem plānots izstrādāt jaunu profesionālās kompetences pilnveides programmu par vadības jautājumiem un nodrošināt mācības, tādējādi veicinot kvalitatīvu lēmumu pieņemšanu bērna labākajās interesē. Atbilstoši Bērnu tiesību aizsardzības likuma 36.</w:t>
            </w:r>
            <w:r w:rsidR="00000000" w:rsidRPr="00000000" w:rsidDel="00000000">
              <w:rPr>
                <w:vertAlign w:val="superscript"/>
                <w:rtl w:val="0"/>
              </w:rPr>
              <w:t xml:space="preserve">1</w:t>
            </w:r>
            <w:r w:rsidR="00000000" w:rsidRPr="00000000" w:rsidDel="00000000">
              <w:rPr>
                <w:rtl w:val="0"/>
              </w:rPr>
              <w:t xml:space="preserve"> panta otrajā daļā ietvertajam deleģējumam ārpusģimenes aprūpes atbalsta centriem ir noteikta konkrēta atbildība par ārpusģimenes aprūpes sistēmā nonākušu bērnu pamattiesību uz ģimeni nodrošināšanu, attiecīgi ar ārpusģimenes aprūpes atbalsta centra faktisku rīcību (darbību vai bezdarbību), neizpildot attiecīgo deleģējumu, var rasties ārpusģimenes aprūpē esošo bērnu tiesību un tiesisko interešu aizskārums. Attiecīgi anotācijas 1.3. apakšsadaļas “Risinājuma apraksta” 1.punkta a) apakšpunktā informācija precizēta, konkretizējot kādu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15. un 20. punktā minēto speciālistu (vadītāju) profesionālās kompetences pilnveidei par vadības jautājumiem tiks izstrādāta jauna profesionālās kompetences pilnveides programmas un tās metodika un nodrošinātas minēto speciālistu mācības, tostarp norādot, ka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punkts aptver ārpusģimenes aprūpes atbalsta centru vadītājus, kas nav noteikti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1.-19.4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1.6.apakšsadaļas punktā “Ilgtspēja” norādīts, ka finansējuma saņēmējs nodrošinās 4.3.6.1.pasākuma projekta ilgtspēju, izmantojot valsts budžeta finansējumu atbilstoši MK 2023.gada 17.janvāra noteikumu Nr. 15 “Maksimāli pieļaujamā valsts budžeta izdevumu kopapjoma un katrai ministrijai un citai centrālajai valsts iestādei paredzētā izdevumu kopējā apjoma noteikšanas kārtība vidējam termiņam”  (turpmāk – MKN Nr.15) 9.4.apakšpunktā noteiktajam. Norādām, ka atbilstoši MKN Nr.15 9.4.apakšpunktam Labklājības ministrija (turpmāk  - LM) Finanšu ministrijā tikai iesniegs informāciju LM pamatbudžeta bāzes projekta sagatavošanai n+1, n+2 un n+3 gadam, kuru vienlaikus nepieciešams pamatot ar detalizētiem aprēķiniem. Savukārt, par finansējuma piešķiršanu Ministru kabinets lems valsts pamatbudžeta bāzes projekta apstiprināšanas procesā. Vienlaikus vēršam uzmanību, ka datiem par informācijas un komunikācijas tehnoloģiju projektu uzturēšanas izdevumiem jāpievieno Vides aizsardzības un reģionālās attīstības ministrijas atzinumu. Līdz ar to attiecīgi precizējama anotācijas 1.6.apakšsadaļas punktā “Ilgtspēja”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plānoto atbalstāmo darbību saturs ir pārskatīts un, gan noteikumu projektā, gan anotācijā veikti precizējumi, svītrojot normas un informāciju, kas saistīta ar bāriņtiesas amatpersonu sertifikācijas informācijas sistēmas izveidi (sk. izziņas 12. punktu), attiecīgi anotācijas 1.6. apakšsadaļas punktā “Ilgtspējā” svītrota informācija par bāriņtiesas amatpersonu informācijas sistēmas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6.punktā precizēt norādīto finansējumu 2026.gadam, jo atbilstoši Finanšu ministrijas 11.04.2023. vēstules 3.2-11/2-6/1179 “Par Labklājības ministrijas pamatbudžeta un valsts speciālā budžeta bāzes izdevumiem 2024.-2026.gadam” pielikumā “2024.,  2025. un  2026. gada valsts pamatbudžeta bāze” norādītajam budžeta apakšprogrammā 63.08.00 “Eiropas Sociālā fonda Plus (ESF+) projektu un pasākumu īstenošana (2021-2027)” projekta “Profesionālā pilnveide bērnu tiesību jautājumos un bērnu likumisko pārstāvju atbildības stiprināšana” īstenošanai 2026.gadam plānots finansējums 377 277 </w:t>
            </w:r>
            <w:r w:rsidR="00000000" w:rsidRPr="00000000" w:rsidDel="00000000">
              <w:rPr>
                <w:i w:val="1"/>
                <w:rtl w:val="0"/>
              </w:rPr>
              <w:t xml:space="preserve">euro  </w:t>
            </w:r>
            <w:r w:rsidR="00000000" w:rsidRPr="00000000" w:rsidDel="00000000">
              <w:rPr>
                <w:rtl w:val="0"/>
              </w:rPr>
              <w:t xml:space="preserve">apmērā, nevis  377 227 </w:t>
            </w:r>
            <w:r w:rsidR="00000000" w:rsidRPr="00000000" w:rsidDel="00000000">
              <w:rPr>
                <w:i w:val="1"/>
                <w:rtl w:val="0"/>
              </w:rPr>
              <w:t xml:space="preserve">euro</w:t>
            </w:r>
            <w:r w:rsidR="00000000" w:rsidRPr="00000000" w:rsidDel="00000000">
              <w:rPr>
                <w:rtl w:val="0"/>
              </w:rPr>
              <w:t xml:space="preserve"> apmērā, attiecīgi precizējot norādīto ESF Plus finansējumu un valsts budžeta finansējumu. Vienlaikus precizējams finansējums pa gadiem atbilstoši noteikumu projekta plānotajam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precizēts 2026. gadam plānotais finansējums atbilstoši LM 2024., 2025. un 2026. gada valsts pamatbudžeta bāzē valsts budžeta apakšprogrammā 63.08.00 “Eiropas Sociālā fonda Plus (ESF+) projektu un pasākumu īstenošana (2021-2027)” pasākuma projekta īstenošanai 2026. gadam plānotajam finansējumam, t.sk. precizēts finansējums pa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2023. gadam un budžeta ietvaru 2023., 2024. un 2025. gadam” ir stājies spēkā š.g. 9.martā, precizējama anotācijas 3.sadaļas 6.punktā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 punktā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 norādot plānotā projekta “Profesionālās kvalifikācijas pilnveide bērnu tiesību aizsardzības jautājumos un bērnu likumisko pārstāvju atbildības stiprināšana”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tabulas 1., 2., 3. un 5.punkta, kā arī 1.1., 2.1. un 3.1.apakšpunkta 8.aili, ņemot vērā, ka atbilstoši Valsts kancelejas izstrādātājām vadlīnijām tiesību akta projekta sākotnējās ietekmes novērtēšanai un novērtējuma ziņojuma sagatavošanai vienotājā tiesību aktu izstrādes un saskaņošanas portālā minētajā ailē tiek norādītas izmaiņas attiecībā pret 6.ailē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8. aile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tabulas 1., 2., 3. un 5.punkta, kā arī 1.1., 2.1. un 3.1.apakšpunkta 5. un 7.ailē norādīto finansējumu pārcelt uz minēto punktu un apakšpunktu 4. un 6.aili. Vienlaikus nepieciešams aizpildīt 5.1.apakšpunkta 4., 6. un 8.aili.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tabulas 4.-8. aile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"finansējuma saņēmējam" , ņemot vērā, ka projektā ir ietvertas prasības uz finansējuma saņēmēju (Sk. noteikumu projekta 14. un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punktā noteiktie subjekti – speciālisti, kuriem nepieciešamas speciālās zināšanas bērnu tiesību aizsardzības jomā, izņemot, ja to profesionālā darbība ir apturēta vai tie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apakšpunktā ietvertajā pasākuma mērķgrupā nav iekļauti  tādi speciālisti kā izglītības iestāžu pedagogi, sociālie pedagogi, vadītāji; pašvaldību sociālo dienestu sociālie darbinieki darbam ar ģimeni ar bērniem u.c., kas noteikti, piemēram,  Bērnu tiesību aizsardzības likuma (turpmāk - BTAL) 5.</w:t>
            </w:r>
            <w:r w:rsidR="00000000" w:rsidRPr="00000000" w:rsidDel="00000000">
              <w:rPr>
                <w:vertAlign w:val="superscript"/>
                <w:rtl w:val="0"/>
              </w:rPr>
              <w:t xml:space="preserve">1 </w:t>
            </w:r>
            <w:r w:rsidR="00000000" w:rsidRPr="00000000" w:rsidDel="00000000">
              <w:rPr>
                <w:rtl w:val="0"/>
              </w:rPr>
              <w:t xml:space="preserve">panta pirmās daļas  3., 4., 5., 6., 8., 10., 12., 13., 16., 18. punktā. Noteikumu projekta anotācijā, atsaucoties uz Valsts kontroles revīzijas ziņojumu, teikts, ka bāriņtiesas un sociālie dienesti ģimenes uzraudzību uzsāk novēloti. Pieminēts, ka institūcijas nepietiekami apmainās ar informāciju un problēmu risināšanā iesaiste ir novēlota. Norādīts, ka pietrūkst kompleksas pieejas un risinājumu, kas nodrošinātu visu iesaistīto institūciju, kuru darbība ir saistāma ar bērnu tiesību, aizsardzības, uzraudzības, drošības jautājumiem un palīdzības sniegšanu bērniem un citām institūcijām, speciālistu profesionālās kompetences pilnveidi. Vienlaikus anotācijā nav skaidrots, kādu iemeslu dēļ arī šajā projektā tomēr netiks nodrošināta kompleksa pieeja visu speciālistu zināšanu pilnveidei. Ievērojot minēto, lūdzam papildināt pasākuma mērķgrupas tvērumu vai vismaz anotācijā skaidrot, kādēļ noteikumu projekta 3.1. apakšpunktā ietvertajā mērķgrupā nav iekļauti izglītības iestāžu, sociālie dienestu u.c. speciālisti, lai aptvertu visas BTAL 5.1 panta pirmajā daļā minētā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“Pašreizējā situācija” ietver skaidrojumu, ka vienotas izpratnes par bērnu tiesībām un to aizstāvību veidošanai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ir noteikti speciālisti, kuriem nepieciešamas speciālās zināšanas bērnu tiesību aizsardzības jomā, no kuriem daļa ir administratīvā procesa, administratīvā pārkāpuma procesa, civilprocesa un kriminālprocesa dalībnieki, kuriem savās darbībās ir jānodrošina arīdzan bērna labāko interešu ievērošana, </w:t>
            </w:r>
            <w:r w:rsidR="00000000" w:rsidRPr="00000000" w:rsidDel="00000000">
              <w:rPr>
                <w:u w:val="single"/>
                <w:rtl w:val="0"/>
              </w:rPr>
              <w:t xml:space="preserve">pieņemot lēmumus vai veicot faktisko rīcību</w:t>
            </w:r>
            <w:r w:rsidR="00000000" w:rsidRPr="00000000" w:rsidDel="00000000">
              <w:rPr>
                <w:rtl w:val="0"/>
              </w:rPr>
              <w:t xml:space="preserve">. Kvalitatīvu lēmumu pieņemšana paredz arī kompleksas pieejas attīstību un savstarpēju institucionālu saskaņotību. Attiecīgi prioritāri 4.3.6.1. pasākumam pieejamā finansējuma ietvaros paredzētas mācības noteikumu projekta 3.1. apakšpunktā minētiem speciālistiem. Vienlaikus 4.3.6.1. pasākuma ietvaros tiks pilnveidotas profesionālās kompetences pilnveides programmas visiem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noteiktajiem speciālistiem. Anotācijas 1.3. apakšsadaļas “Risinājuma apraksts” apraksts ietver informāciju, ka citu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speciālistu (kas nav ietverti noteikumu projekta 3.1. apakšpunktā) profesionālās kompetences pilnveide veicama MK 01.04.2014. noteikumu Nr.173 "Noteikumi par kārtību, kādā apgūst speciālās zināšanas bērnu tiesību aizsardzības jomā, šo zināšanu saturu un apjomu" kārtībā pēc 4.3.6.1. pasākuma ietvaros pilnveidoto profesionālās kompetences pilnveides programmu paraugiem un metodikām, mācību maksu sedzot darba devējam vai speciālistam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noteiktie subjekti – speciālisti, kuriem nepieciešamas speciālās zināšanas bērnu tiesību aizsardzības jomā, izņemot, ja to profesionālā darbība ir apturēta vai tie ir atstādināti no darba vai amata pienākumu izpildes;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līdz brīdim, kad tiks apstiprināta atbildīgās iestādes izstrādātā personāla izmaksu vienotās likmes un tās piemērošanas metodika (turpmāk – personāla izmaksu metodika), – finansējuma saņēmēja projekta vadības un īstenošanas personāla atlīdzības izmaksas un sadarbības partnera projekta īstenošanas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MK noteikumos, gan anotācijā ar nosacījumu, ka personāla atlīdzības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 provizorisko termiņu, kādā tiks izstrādāta personāla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18.1.1. apakšpunkts un anotācijas 1.3. apakšsadaļas 11.zemsvītras atsauce ir papildināta, paredzot, ka personāla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ievērojot, ka nav paraugu šādu metodiku izstrādei un to, ka LM šobrīd prioritizē MK noteikumu izstrādi, lai nodrošinātu n+3 principa izpildi, šobrīd nav nosakāms termiņš metodikas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līdz brīdim, kad tiks apstiprināta ar vadošo iestādi saskaņota atbildīgās iestādes izstrādātā personāla izmaksu vienotās likmes un tās piemērošanas metodika (turpmāk – personāla izmaksu metodika), – finansējuma saņēmēja projekta vadības un īstenošanas personāla un sadarbības partnera projekta īstenošanas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kompensācija pašvaldībai par šo noteikumu 16.4. apakšpunktā minētās supervīzijas nodrošināšanu saskaņā ar atbildīgās iestādes izstrādāto un ar vadošo iestādi saskaņoto vienas vienības izmaksu standarta likmes aprēķina un piemērošanas metodiku supervīzijai, ko kompensē 70 procentu apmērā no minētajā metodikā noteiktās vienas vienības izmaksu standarta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"[..]saskaņā ar atbildīgās iestādes apstiprināto vienas vienības izmaksu standarta likmes aprēķina un piemērošanas metodiku supervīzijai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kompensācija pašvaldībai par šo noteikumu 16.1.2.3. apakšpunktā minētās supervīzijas nodrošināšanu saskaņā ar atbildīgās iestādes apstiprināto vienas vienības izmaksu standarta likmes aprēķina un piemērošanas metodiku supervīzijai, ko kompensē 70 procentu apmērā no minētajā metodikā noteiktās vienas vienības izmaksu standarta likmes;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iepirkuma līgumu izmaksas šo noteikumu 16.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skaidrojumu izziņā attiecībā uz iepriekš sniegto Finanšu ministrijas iebildumu, taču atkārtoti aicinām skaidri atrunāt MK noteikumos vai anotācijā, kādas iepirkumu līgumu izmaksas paredzētas  MK noteikumu projekta16.4.apakšpunktā minēto atbalstāmo darbību īstenošanai, nepieciešamības gadījumā atsaucoties uz MK noteikumu projekta 19.punktu.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iepirkuma līgumu izmaksas šo noteikumu 16. 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18.3.2.1. iekšzemes komandējumu un darba braucienu izmaksas šo noteikumu 16.1., 16.2., 16.5. un 16.7.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proti, ka atbilstoši Ministru kabineta 2009. gada 3. februāra noteikumu Nr. 108 "Normatīvo aktu projektu sagatavošanas noteikumi" 136. punktā noteiktajam, noteikumu projektā neietver atsauces uz zemāka juridiskā spēka normatīvo aktu un, lai nodrošinātu vienotu pieeju LM pārziņas specifisko atbalsta mērķu pasākumu īstenošanas noteikumos, metodiku pilnie nosaukumi minēti tikai noteikumu projekta anotācijā. Anotācijas 1.3. apakšsadaļā “Risinājuma apraksts” ir ietverta norāde par attiecīgo metodiku piemērošanu pasākuma īstenošanā, norādot to pilnus nosaukumus un pieejamību tīmekļa vietnē www.esfondi.lv.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18.3.2.1. iekšzemes komandējumu un darba braucienu izmaksas šo noteikumu 16.1.1., 16.1.2.1., 16.2. un 16.4.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šo noteikumu 19.4. apakšpunktā minētajās veselības apdrošināšanas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obligāto veselības pārbaužu izmaksas paredzēt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vadlīniju Nr.1.2. "Vadlīnijas attiecināmo izmaksu noteikšanai Eiropas Savienības kohēzijas politikas programmas 2021.-2027.gada plānošanas periodā" 39. punktā noteikto, obligātās veselības pārbaudes nodrošināšanas izmaksas projektos valsts pārvaldes iestādēm tiek plānotas kā tiešās attiecināmās izmaksas, ja tās ir nepieciešamas projekta vadības un īstenošanas personālam, kas nodrošina projekta mērķu sasniegšanu, un tas ir atrunāts MK noteikumos par SAM īstenošanu. Izvērtējot 4.3.6.1. pasākumā plānoto izmaksu saturu šobrīd nav identificēts iemesls, kāpēc finansējuma saņēmējam obligātās veselības pārbaudes nav iespējams segt no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18.3.4. līdz personāla izmaksu metodikas apstiprināšanai – redzes korekcijas līdzekļu kompensācija finansējuma saņēmēja projekta vadības un īstenošanas personālam un sadarbības partnera projekta īstenošanas personālam, ja tā nav iekļauta, šo noteikumu 19.4. apakšpunktā minētajās veselības apdrošināšanas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7.15.2.2.apakšpunktā ietverto atsauci redzes korekcijas līdzekļu kompensācijas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redakciju, līdz attiecīgās metodikas izstrādei šīs izmaksas iekļaujot pie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18.1.1. apakšpunkts precizēts un 18.3.4. un 19.4.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ēdināšanu, telpu nodrošināšanu, pasniedzēju piesaisti, tehnisko nodrošinājumu, kancelejas preču iegādi un šo noteikumu 14. punktā minētā sadarbības partnera mācību pārvaldības sistēmas (turpmāk – mācību pārvaldības sistēma) pilnveidi un uzturēšanu var paredzēt šo noteikumu 16.1.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kopumā plānots apmācīt 5988 personas, paredzot vairākas ar mācību nodrošināšanu saistītas izmaksas, lūdzam tomēr izvērtēt iespēju Valsts administrācijas skolas rīkoto mācību izmaksām piemērot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kā ES fondu atbildīga iestāde ir izvērtējusi vienkāršoto izmaksu piemērošanas iespējas 4.3.6.1. pasākumā, tostarp, plānotajām mācību izmaksām. Tā kā mācības plānots nodrošināt gan klātienes, gan attālinātu, gan e-mācību formā, izmaksas nav iespējams unificēt pēc vienas vienības principa, kā arī LM šobrīd nav pietiekamu datu vienas vienības metodikas izstrādei. Tomēr iespējams, ka vienas vienības izmaksu metodikas izstrāde būs iespējama projekta īstenošanas laikā, kad šādi dati būs uzkrāti. Sk. izziņas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ēdināšanu, telpu nodrošināšanu, pasniedzēju piesaisti, tehnisko nodrošinājumu, kancelejas preču iegādi un šo noteikumu 14. punktā minētā sadarbības partnera mācību pārvaldības sistēmas (turpmāk – mācību pārvaldības sistēma) pilnveidi un uzturēšanu var paredzēt šo noteikumu 16.1.1.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līdz personāla izmaksu metodikas apstiprināšanai veselības apdrošināšanu var paredzēt finansējuma saņēmēja projekta vadības un īstenošanas personālam un sadarbības partnera projekta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7.15.2.3.apakšpunktā ietverto atsauci apdrošināšanas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redakciju, līdz attiecīgās metodikas izstrādei šīs izmaksas iekļaujot pie Tiešajām attiecināmajās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18.1.1. apakšpunkts precizēts un 18.3.4. un 19.4.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horizontālā principa “Vienlīdzība, iekļaušana, nediskriminācija un pamattiesību ievērošana” darbību īstenošanu, tai skaitā zīmju valodas tulka, vieglās valodas tulkošanas, reāllaika transkripcijas, subtitru nodrošināšanu un bērnu uzraudzības pakalpojuma nodrošināšanu šo noteikumu 16.5. apakšpunktā minēto pasākumu dalībniekiem var paredzēt šo noteikumu 16.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horizontālā principa "Vienlīdzība, iekļaušana, nediskriminācija un pamattiesību ievērošana” darbību īstenošana ir attiecināma uz visām MK noteikumu projekta 16. punktā minētajām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ar horizontālā principa “Vienlīdzība, iekļaušana, nediskriminācija un pamattiesību ievērošana” darbības īstenošanu saistītu iepirkumu līgumu izmaksu piemērošanas iespējas pasākumā un uzskatām, ka projekta īstenošanas laikā nevar izslēgt to piemērošanas iespējamību nevienā no noteikumu projekta 16. punktā minētajām atbalstāmajam darbībām. Piemēram, īstenojot profesionālās kompetences pilnveides pasākumus, bāriņtiesu sertifikācijas sistēmas ieviešanu, supervīzijas bāriņtiesas amatpersonām iespējama subtitru nepieciešamība. Speciālistu un sabiedrības izpratnes un informētības paaugstināšanas pasākumu laikā iespējama pandusu vai pacēlāju noma. Projekta vadībā un īstenošanā iesaistītajam personālam un Bāriņtiesu likuma komentāru izstrādē iesaistītajiem ekspertiem iespējama zīmju valodas tulkošanas nepieciešamība.  Īstenojot komunikācijas un vizuālās indentitātes pasākumus par projekta īstenošanu tīmekļa vietnē un sociālajos tīklos ievietojot aktuālu informāciju par projekta īstenošanu, iespējama informācijas tulkošana vieglajā valodā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horizontālā principa “Vienlīdzība, iekļaušana, nediskriminācija un pamattiesību ievērošana” darbību īstenošanu, tai skaitā pandusu un pacēlāju nomas, konsultantu attiecīgajā jomā, zīmju valodas tulka, vieglās valodas tulkošanas, reāllaika transkripcijas, subtitru nodrošināšanu un bērnu uzraudzības pakalpojuma nodrošināšanu šo noteikumu 16.2. apakšpunktā minēto pasākumu dalībniekiem var paredzēt šo noteikumu 16. 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 apakšpunktā minēto atbalstāmo darbību īstenošanu pārvalda Labklājības ministrijas izveidota Bērnu lietu sadarbības padome (turpmāk – padome). Padomes sastāvā ir finansējuma saņēmēja, Labklājības ministrijas, citu nozaru ministriju, Latvijas Pašvaldību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Vadošās iestādes pārstāvjus no iespējamo novērotāju saraksta Labklājības ministrijas izveidotajā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16.1.1. apakšpunktā minēto atbalstāmo darbību īstenošanu pārvalda Labklājības ministrijas izveidota Bērnu lietu sadarbības padome (turpmāk – padome).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Padome saskaņo šo noteikumu 24.1.1. un 24.1.2. apakšpunktā minētās profesionālās kompetences pilnveides programmas un to mācību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noteikt citu institūciju, kas būtu atbildīga par profesionālās kompetences pilnveides programmu un to mācību metodiku saskaņošanu. Vēršam uzmanību uz to, ka Bērnu lietu sadarbības padomes mērķis ir nodrošināt saskaņotu politiku bērnu tiesību aizsardzības jomā, kā arī risināt konceptuāla rakstura starpnozaru jautājumus, par ko liecina padomes sastāvs, kurā ir  augstākās politiskās amatpersonas, kā arī valsts pārvaldes iestāžu augsta līmeņa vadītāji.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un secinājusi, ka 4.3.6.1. pasākumā pilnveidoto un izstrādāto profesionālās kompetences pilnveides programmu un to mācību metodiku kvalitātes novērtēšanai nepieciešams saņemt bērnu tiesību aizsardzībā iesaistīto nozaru institūciju, nevalstisko organizāciju saskaņojumu. Līdz ar to, minēto nodevumu kvalitātes uzraudzībā plānots iesaistīt Bērnu lietu sadarbības padomes šim mērķim izveidotu apakšgrupu, ko izveido un kas darbojas saskaņā ar Bērnu lietu sadarbības padomes nolikuma (pieejams: https://www.lm.gov.lv/lv/bernu-lietu-sadabibas-padome) 3.1. un 11.3.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Padome saskaņo šo noteikumu 24.1.1. un 24.1.2. apakšpunktā minētās profesionālās kompetences pilnveides programmas un to mācību metodikas.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16.4. apakšpunktā minētās atbalstāmās darbības īstenošanai finansējuma saņēmējs kompensē pašvaldībai izmaksas par ne vairāk kā 10 supervīzijas sesijām gadā bāriņtiesas amatpersonām, ja tās ir sniegtas: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26.punktu, norādot, ka izmaksas pašvaldībai tiek kompensētas par ne vairāk kā 10 supervīzijas sesijām gadā </w:t>
            </w:r>
            <w:r w:rsidR="00000000" w:rsidRPr="00000000" w:rsidDel="00000000">
              <w:rPr>
                <w:u w:val="single"/>
                <w:rtl w:val="0"/>
              </w:rPr>
              <w:t xml:space="preserve">vienai bāriņtiesas amatpersonai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26.1.1. apakšpunkts (iepriekš 26.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16.1.2.3.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16.4. apakšpunktā minētās atbalstāmās darbības īstenošanai finansējuma saņēmējs kompensē pašvaldībai izmaksas par ne vairāk kā 10 supervīzijas sesijām gadā bāriņtiesas amatpersonām, ja tās ir sniegtas: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kādiem līdzekļiem finansējuma saņēmējs kompensēs pašvaldībai noteikumu projekta 26.punktā minētās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supervīzijas bāriņtiesas amatpersonām izmaksas pašvaldībām tiks kompensētas no 4.3.6.1. pasākuma projekta līdzekļiem saskaņa ar noteikumu projekta 18.2. apakšpunktā minēto, t.i. 70% apmērā no atbildīgās iestādes (LM) apstiprinātās vienas vienības izmaksu standarta likmes aprēķina un piemērošanas metodikā (https://www.lm.gov.lv/lv/media/22576/download?attachment) supervīzijai noteiktās standarta likmes saskaņā ar minētajā metodikā noteiktajiem izmaksu attiecināšanas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2023. gadā plāno virzīt apstiprināšanai Saeimā grozījumus Bāriņtiesu likumā, nosakot, ka konsultatīvu un izglītojošu atbalstu – supervīziju bāriņtiesas amatpersonām finansē Eiropas Savienības politiku instrumentu pasākumu ietvaros līdz 2029. gada 30. septembrim. Attiecīgi, stājoties spēkā minētajiem likuma grozījumiem, kompensācijas pašvaldībām par bāriņtiesas amatpersonām nodrošinātām supervīzijām tiks veiktas atbilstoši normatīvajos aktos noteiktajam deleģējumam. Savukārt, līdz minēto Bāriņtiesu likuma grozījumu spēkā stāšanās, pašvaldības supervīzijas bāriņtiesas amatpersonām var finansēt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16.1.2.3.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26.2.1.1. tas ir sertificēts un iekļauts sertificētu supervīzijas pakalpojuma sniedzēju reģistrā, kas publicēts tās organizācijas tīmekļa 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būtu nosakāmas atšķirīgas prasības supervīzijas pakalpojumu sniedzējiem, piemērojot dažādu normatīvo aktu regulējumu, ņemot vērā, ka saskaņā ar profesionālo maģistra grāda kvalifikāciju šāda mācību programma atbilst Eiropas Nacionālo supervīzijas organizāciju asociācijas (ANSE) vadlīnijām un supervizora profesijas standarta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priekšlikumu. Skaidrojam, ka jau iepriekšējā plānošanas periodā, izstrādājot 9.2.1.1.pasākuma īstenošanas nosacījumus, pēc konsultēšanās ar Finanšu ministriju un Iepirkumu uzraudzības biroju 9.2.1.1. pasākuma ietvaros supervīzijas pakalpojuma sniedzējiem  prasība sertificēties Eiropas nacionālo supervizoru organizāciju asociācijā </w:t>
            </w:r>
            <w:r w:rsidR="00000000" w:rsidRPr="00000000" w:rsidDel="00000000">
              <w:rPr>
                <w:i w:val="1"/>
                <w:rtl w:val="0"/>
              </w:rPr>
              <w:t xml:space="preserve">ANSE (Association of National Organisations for Supervision in Europe)</w:t>
            </w:r>
            <w:r w:rsidR="00000000" w:rsidRPr="00000000" w:rsidDel="00000000">
              <w:rPr>
                <w:rtl w:val="0"/>
              </w:rPr>
              <w:t xml:space="preserve"> tika izvirzīta tikai gadījumos, kad  pakalpojuma līgumcena bija paredzama mazāka par 750 000 </w:t>
            </w:r>
            <w:r w:rsidR="00000000" w:rsidRPr="00000000" w:rsidDel="00000000">
              <w:rPr>
                <w:i w:val="1"/>
                <w:rtl w:val="0"/>
              </w:rPr>
              <w:t xml:space="preserve">euro</w:t>
            </w:r>
            <w:r w:rsidR="00000000" w:rsidRPr="00000000" w:rsidDel="00000000">
              <w:rPr>
                <w:rtl w:val="0"/>
              </w:rPr>
              <w:t xml:space="preserve">. Savukārt supervīzijas pakalpojuma iepirkumu līgumiem virs 750 000 </w:t>
            </w:r>
            <w:r w:rsidR="00000000" w:rsidRPr="00000000" w:rsidDel="00000000">
              <w:rPr>
                <w:i w:val="1"/>
                <w:rtl w:val="0"/>
              </w:rPr>
              <w:t xml:space="preserve">euro</w:t>
            </w:r>
            <w:r w:rsidR="00000000" w:rsidRPr="00000000" w:rsidDel="00000000">
              <w:rPr>
                <w:rtl w:val="0"/>
              </w:rPr>
              <w:t xml:space="preserve"> šāda prasība netika izvirzīta, t.i., to nebija pamata izvirzīt. Jāatzīmē, ka saskaņā ar 9.2.1.1. pasākuma projekta sniegto informāciju pašvaldības faktiski nav slēgušas tādus līgumus, kas pārsniegtu zemsliekšņa iepirkuma robežu, t.i. 750 000 </w:t>
            </w:r>
            <w:r w:rsidR="00000000" w:rsidRPr="00000000" w:rsidDel="00000000">
              <w:rPr>
                <w:i w:val="1"/>
                <w:rtl w:val="0"/>
              </w:rPr>
              <w:t xml:space="preserve">euro</w:t>
            </w:r>
            <w:r w:rsidR="00000000" w:rsidRPr="00000000" w:rsidDel="00000000">
              <w:rPr>
                <w:rtl w:val="0"/>
              </w:rPr>
              <w:t xml:space="preserve">. Arī 4.3.6.1. pasākuma projekta īstenošanā ir prognozējama zema šādas līgumcenas varbūtība. Tā kā prasība sertificēties ANSE MK noteikumos ir noteikta tikai zemsliekšņu iepirkumiem, LM plāno veikt attiecīgus grozījumus atbildīgās iestādes izstrādātajā vienas vienības izmaksu standarta likmes aprēķina un piemērošanas metodikā supervīzijas pakalpojumam. Attiecīgi tiks noteikts, ka gadījumā, ja likmi piemēro supervīzijām, kas tiek nodrošinātas iepirkumu līgumu virs 750 000 </w:t>
            </w:r>
            <w:r w:rsidR="00000000" w:rsidRPr="00000000" w:rsidDel="00000000">
              <w:rPr>
                <w:i w:val="1"/>
                <w:rtl w:val="0"/>
              </w:rPr>
              <w:t xml:space="preserve">euro</w:t>
            </w:r>
            <w:r w:rsidR="00000000" w:rsidRPr="00000000" w:rsidDel="00000000">
              <w:rPr>
                <w:rtl w:val="0"/>
              </w:rPr>
              <w:t xml:space="preserve"> ietvaros, prasība sertificēties </w:t>
            </w:r>
            <w:r w:rsidR="00000000" w:rsidRPr="00000000" w:rsidDel="00000000">
              <w:rPr>
                <w:i w:val="1"/>
                <w:rtl w:val="0"/>
              </w:rPr>
              <w:t xml:space="preserve">ANSE</w:t>
            </w:r>
            <w:r w:rsidR="00000000" w:rsidRPr="00000000" w:rsidDel="00000000">
              <w:rPr>
                <w:rtl w:val="0"/>
              </w:rPr>
              <w:t xml:space="preserve">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26.2.1.1. tas ir sertificēts un iekļauts sertificētu supervīzijas pakalpojuma sniedzēju reģistrā, kas publicēts tās organizācijas tīmekļa 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īsteno informēšanas pasākumus šo noteikumu 3.3. apakšpunktā minēto bērnu likumisko pārstāvju un audžuģimeņu līdzdalības un atbildības veicināšanai bērnu tiesību aizsardzības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28.2. apakšpunktu ir plānots īstenot informēšanas pasākumus bērnu likumisko pārstāvju un audžuģimeņu līdzdalības un atbildības veicināšanai bērnu tiesību aizsardzības jautājumos. Lūdzam papildināt noteikumu projekta anotāciju, detalizētāk aprakstot plānoto informatīvo pasākumu saturu, jo piedāvātais formulējums ir vispārīgs un nerada skaidru priekšstatu par to, kādā veidā bērnu likumiskie pārstāvji un audžuģimenes tiks iesaistītas informēšanas pasākumos un kāds būs šo informēšanas pasākumu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noteikumu projekta anotācijā paustajam viedoklim par to, ka bērna likumiskie pārstāvji (vecāki, aizbildņi) un audžuģimenes ir viens no būtiskākajiem bērnu tiesību aizsardzības sistēmas elementiem, un tieši no viņiem ir atkarīgs, cik lielā mērā bērns ikdienā var tikt pakļauts apdraudējumam vai cik lielā mērā tiek pieļauti bērnu tiesību aizsardzības pārkāpumi. Turklāt ir jāmin, ka ikdienā bērnu tiesību pārkāpumus nereti veic tieši bērnam tuvi cilvēki. Tādēļ mūsu ieskatā ir būtiski pievērsties bērna likumisko pārstāvju izglītošanai par bērna attīstību un bērna vajadzībām katrā attīstības posmā. Uzskatām, ka ir svarīgi nodrošināt profesionālās kompetences pilnveidošanu iestādēs strādājošajiem, bet tikpat svarīgi ir izglītot bērna likumiskos pārstāvjus. Esošā sistēma ir lielākoties vērsta uz publiskajā sektorā nodarbināto izglītošanu, taču liela loma bērnu tiesību pārkāpumu primārajā prevencijā ir tieši bērna likumisko pārstāvju izpratnes līmenim par pareizo attieksmi pret bērnu, kas tiek balstīta uz izpratni par bērna attīstības īpatnībām. Tādēļ ierosinām nākotnē attīstīt plašāku pakalpojumu klāstu, kas ir vērsts uz bērnu likumisko pārstāvju izglītošanu bērnu tiesību aizsardzības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likumiskajiem pārstāvjiem un audžuģimenēm plānotajos informēšanas un atbildības veicināšanas par bērnu tiesību aizsardzību pasākumos tiks sniegta aktuāla informācija gan par likumisko pārstāvju un audžuģimeņu, gan arī bērnu tiesībām, pienākumiem un atbildību. Tiks īstenotas inovatīvas informēšanas aktivitātes par dažādām aktuālām tēmām, t.sk. vecāku lomas nozīmi bērnu tiesību aizsardzībā un tās ietekmi uz bērna turpmāko nākotni, it īpaši risinot problēmsituācijas ģimenē. Tādējādi tiks veicināta sabiedrības domāšanas un attieksmes maiņa bērnu tiesību jautājumos, stiprināta atbildības sajūta par bērnu.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retāk kā reizi gadā izlases veidā pārbauda šo noteikumu 16.4. apakšpunktā minētās supervīzijas un ar tām saistītos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30.3. apakšpunkta redakciju, nosakot, ka pārbaudes tiek veiktas </w:t>
            </w:r>
            <w:r w:rsidR="00000000" w:rsidRPr="00000000" w:rsidDel="00000000">
              <w:rPr>
                <w:u w:val="single"/>
                <w:rtl w:val="0"/>
              </w:rPr>
              <w:t xml:space="preserve">ne retāk kā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30.3.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ne retāk kā reizi gadā izlases veidā pārbauda šo noteikumu 16.1.2.3. apakšpunktā minētās supervīzijas un ar tām saistītos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maksājuma pieprasījumu un dalībnieku pārskata sagatavošanas nolūkā saskaņā ar Eiropas Parlamenta un Padomes 2021. gada 24. jūnija regulas (ES) Nr. 2021/1057, ar ko izveido Eiropas Sociālo fondu Plus (ESF+) un atceļ Regulu (ES) Nr. 1296/2013 I pielikumu un Ministru kabineta 2023. gada 21. marta noteikumu Nr.135 “Eiropas Savienības fondu projektu pārbaužu veikšanas kārtība 2021.– 2027. gada plānošanas periodā” 1.pielikumu veic pēcpārbaudi sadarbības partnera veiktajai šo noteikumu 3.1. un 3.2. apakšpunktā minēto mērķa grupas personu atbilstības pārbaudei, apstrādājot sadarbības partnera iesniegtos šo noteikumu 24.2.9. apakšpunktā minētos personas datus, uzskaita un iesniedz sadarbības iestādē apkopotus datus par atbalstu saņēmušām šo noteikumu 3.1. un 3.2. apakšpunktā minētajām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30.5. apakšpunktu, lai būtu nepārprotami skaidrs no normas izrietošais pienākums finansējuma saņēmējam. No esošās redakcijas izriet, ka finansējuma saņēmējam jāveic pēcpārbaudes sadarbības partnera veiktajai mērķa grupas personu atbilstības pārbaudei saskaņā ar Eiropas Parlamenta un Padomes 2021. gada 24. jūnija Regulas (ES) 2021/1057, ar ko izveido Eiropas Sociālo fondu Plus (ESF+) un atceļ Regulu (ES) Nr. 1296/2013 (turpmāk - Regula 2021/1057). I pielikumu un Ministru kabineta 2023. gada 21. marta noteikumu Nr.135 “Eiropas Savienības fondu projektu pārbaužu veikšanas kārtība 2021.– 2027. gada plānošanas periodā” (turpmāk - MK noteikumi Nr. 135) 1. pielikumu. </w:t>
            </w:r>
            <w:r w:rsidR="00000000" w:rsidRPr="00000000" w:rsidDel="00000000">
              <w:rPr>
                <w:u w:val="single"/>
                <w:rtl w:val="0"/>
              </w:rPr>
              <w:t xml:space="preserve">Tomēr vēršam uzmanību, ka atbilstoši minētajiem normatīvajiem aktiem finansējuma saņēmējam jāiesniedz dati (dalībnieku pārskats) sadarbības iestādē</w:t>
            </w:r>
            <w:r w:rsidR="00000000" w:rsidRPr="00000000" w:rsidDel="00000000">
              <w:rPr>
                <w:rtl w:val="0"/>
              </w:rPr>
              <w:t xml:space="preserve">. Attiecīgi, lai nodrošinātu dalībnieku pārskata iesniegšanu sadarbības iestādē un maksājumu pieprasījumu atbilstošu sagatavošanu, finansējuma saņēmējs veic sadarbības partnera iesniegto datu pēcpārbaudi, </w:t>
            </w:r>
            <w:r w:rsidR="00000000" w:rsidRPr="00000000" w:rsidDel="00000000">
              <w:rPr>
                <w:u w:val="single"/>
                <w:rtl w:val="0"/>
              </w:rPr>
              <w:t xml:space="preserve">un atbilstoši Regulas 2021/1057 I pielikumam un MK noteikumu Nr.135 1.pielikumam iesniedz sadarbības iestādē apkopotus datus par noteikumu projekta 3.1. un 3.2. apakšpunktā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maksājuma pieprasījumu un dalībnieku pārskata sagatavošanas nolūkā veic pēcpārbaudi sadarbības partnera veiktajai šo noteikumu 3.1. un 3.2. apakšpunktā minēto mērķa grupas personu atbilstības pārbaudei, apstrādājot sadarbības partnera iesniegtos šo noteikumu 24.2.9. apakšpunktā minētos personas datus, un saskaņā ar Eiropas Parlamenta un Padomes 2021. gada 24. jūnija regulas (ES) Nr. 2021/1057, ar ko izveido Eiropas Sociālo fondu Plus (ESF+) un atceļ Regulu (ES) Nr. 1296/2013 I pielikumu un Ministru kabineta 2023. gada 21. marta noteikumu Nr.135 “Eiropas Savienības fondu projektu pārbaužu veikšanas kārtība 2021.– 2027. gada plānošanas periodā” 1.pielikumu uzskaita un iesniedz sadarbības iestādē apkopotus datus par atbalstu saņēmušām šo noteikumu 3.1. un 3.2. apakšpunktā minētajām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"Dubultfinansējuma riska kontroles matricu"</w:t>
            </w:r>
            <w:r w:rsidR="00000000" w:rsidRPr="00000000" w:rsidDel="00000000">
              <w:rPr>
                <w:b w:val="1"/>
                <w:rtl w:val="0"/>
              </w:rPr>
              <w:t xml:space="preserve">  </w:t>
            </w:r>
            <w:r w:rsidR="00000000" w:rsidRPr="00000000" w:rsidDel="00000000">
              <w:rPr>
                <w:rtl w:val="0"/>
              </w:rPr>
              <w:t xml:space="preserve">precizēt nosaukumu uz "Demarkācijas matrica".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apakšsadaļās “Risinājuma apraksts”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redakcionāli precizēt, ka netiešās izmaksas nevis nepārsniedz septiņus procentus, bet </w:t>
            </w:r>
            <w:r w:rsidR="00000000" w:rsidRPr="00000000" w:rsidDel="00000000">
              <w:rPr>
                <w:b w:val="1"/>
                <w:rtl w:val="0"/>
              </w:rPr>
              <w:t xml:space="preserve">ir </w:t>
            </w:r>
            <w:r w:rsidR="00000000" w:rsidRPr="00000000" w:rsidDel="00000000">
              <w:rPr>
                <w:rtl w:val="0"/>
              </w:rPr>
              <w:t xml:space="preserve">septiņi procenti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“Risinājuma apraksts” precizēta informācija paredzot, ka “Kopumā projektā netiešās izmaksas ir septiņi procenti no projekta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anotācijas apakšsadaļu "Risinājuma apraksts" "Mērķa grupas atbilstība iesaistei mācībās profesionālās kompetences pilnveidei"  ar informāciju par mērķa grupas atbilstības pārbaudes nepieciešamību atbilstoši MK 01.04.2014. noteikumu Nr.173 "</w:t>
            </w:r>
            <w:r w:rsidR="00000000" w:rsidRPr="00000000" w:rsidDel="00000000">
              <w:rPr>
                <w:i w:val="1"/>
                <w:rtl w:val="0"/>
              </w:rPr>
              <w:t xml:space="preserve">Noteikumi par kārtību, kādā apgūst speciālās zināšanas bērnu tiesību aizsardzības jomā, šo zināšanu saturu un apjomu</w:t>
            </w:r>
            <w:r w:rsidR="00000000" w:rsidRPr="00000000" w:rsidDel="00000000">
              <w:rPr>
                <w:rtl w:val="0"/>
              </w:rPr>
              <w:t xml:space="preserve">"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paredzot mācībām pieteikušos speciālistu atbilstības MK 01.04.2014. noteikumu Nr.173 “Noteikumi par kārtību, kādā apgūst speciālās zināšanas bērnu tiesību aizsardzības jomā, šo zināšanu saturu un apjomu” nosacījumiem attiecībā uz mācību regularitāti un periodiskumu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kompensācijas pašvaldībām par nodrošinātajām supervīzijām tiks veiktas atbilstoši Bāriņtiesu likumā noteiktajam deleģējumam, tomēr ņemot vērā, ka Bāriņtiesu likuma grozījumi ir plānošanas stadijā, lūdzam papildināt anotāciju ar skaidrojumu par supervīziju kompensēšanu līdz iepriekš minētā likuma grozījumu spēkā stāšanās brīdim (ja to sniegšana tiks uzsākta līdz grozījumiem Bāriņtiesu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ar informāciju, ka līdz Bāriņtiesu likuma grozījumu spēkā stāšanās pašvaldība var finansēt bāriņtiesas amatpersonu supervīzijas izmaksas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apakašsadaļas "Risinājuma apraksts" 1. punkta atkāpē "Sadarbības partneris - VAS...", ar informāciju par mācību nodrošināšanu arī speciālistiem, kas minēti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punktā  - ārpusģimenes aprūpes iestāžu vadītāji, sociālie darbinieki un sociālie rehabilitētāji.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precizējot, kādu Bērnu tiesību aizsardzības likuma 5.</w:t>
            </w:r>
            <w:r w:rsidR="00000000" w:rsidRPr="00000000" w:rsidDel="00000000">
              <w:rPr>
                <w:vertAlign w:val="superscript"/>
                <w:rtl w:val="0"/>
              </w:rPr>
              <w:t xml:space="preserve">1</w:t>
            </w:r>
            <w:r w:rsidR="00000000" w:rsidRPr="00000000" w:rsidDel="00000000">
              <w:rPr>
                <w:rtl w:val="0"/>
              </w:rPr>
              <w:t xml:space="preserve"> pantā minēto iestāžu vadītājiem tiks izstrādātā profesionālās kompetences pilnveides programma par vadības jautājumiem un nodrošinātas mācības. Proti,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punktā noteiktajiem ārpusģimenes aprūpes iestāžu (valsts un pašvaldību bērnu ilgstošas sociālās aprūpes un sociālās rehabilitācijas iestāžu) vadītājiem; 2. punktā noteiktajiem bāriņtiesas priekšsēdētājiem, bāriņtiesas priekšsēdētāju vietniekiem, bāriņtiesas struktūrvienību vadītājiem; 15. punktā noteiktajam VBTAI vadītājam, tā vietniekiem un struktūrvienību vadītājiem; 20. punktā noteiktajiem ārpusģimenes aprūpes atbalsta centru vadītājiem, to vietniekiem un struktūrvienību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bērna atbalsta speciālisti tiks nodarbināti VBTAI un to funkcijas aprobācija tiks nodrošināta 4.3.6.5. pasākuma “</w:t>
            </w:r>
            <w:r w:rsidR="00000000" w:rsidRPr="00000000" w:rsidDel="00000000">
              <w:rPr>
                <w:i w:val="1"/>
                <w:rtl w:val="0"/>
              </w:rPr>
              <w:t xml:space="preserve">Atbalsta pasākumi bērniem ar uzvedības un atkarību problēmām un to ģimenēm</w:t>
            </w:r>
            <w:r w:rsidR="00000000" w:rsidRPr="00000000" w:rsidDel="00000000">
              <w:rPr>
                <w:rtl w:val="0"/>
              </w:rPr>
              <w:t xml:space="preserve">” ietvaros. Lūdzam papildināt anotāciju ar informāciju, vai 4.3.6.1. pasākuma ietvaros varēs piedalīties tikai tie speciālisti, kas tiks nodarbināti VBTAI un aprobēti 4.3.6.5.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1.punkta b) apakšpunkts papildināts, paredzot, ka pasākuma ietvaros profesionālās kompetences programmas izstrāde, t.sk. izmēģinājumprojekta īstenošana, un mācības paredzētas VBTAI nodarbināto bērna atbalsta speciālistu profesionālajai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1.6.apakšsadaļas punktā “Ilgtspēja” aizstāt vārdus “gadskārtējā valsts budžeta likumprojekta un vidēja termiņa budžeta ietvara likumprojekta” ar vārdiem “likumprojekta par valsts budžetu kārtējam gadam un vidēja termiņa budžeta ietvaru”, ņemot vērā, ka 2022.gada 3.novembrī stājās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punktā “Ilgtspēja” veikts nepieciešamais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 apakšpunktā ietverta informācija, ka, izvērtējot plānoto bāriņtiesas amatpersonas sertifikācijas sistēmas ieviešanas ietekmi, secināts, ka bāriņtiesas darbības uzlabošanai nepieciešama plašāka darba kvalitātes novērtēšana nekā to paredz sertifikācija, kas ietver zināšanu pārbaudi, bet nesniedz izvērtējumu par kompetencēm. Līdz ar to jau pašlaik plānots, ka tiks veikti grozījumi programmā bāriņtiesas amatpersonu sertifikācijas sistēmas ieviešanas vietā paredzot citas sistēmas ieviešanu un attiecīgajos tiesību aktos. No Bāriņtiesu likuma 10.</w:t>
            </w:r>
            <w:r w:rsidR="00000000" w:rsidRPr="00000000" w:rsidDel="00000000">
              <w:rPr>
                <w:vertAlign w:val="superscript"/>
                <w:rtl w:val="0"/>
              </w:rPr>
              <w:t xml:space="preserve">1</w:t>
            </w:r>
            <w:r w:rsidR="00000000" w:rsidRPr="00000000" w:rsidDel="00000000">
              <w:rPr>
                <w:rtl w:val="0"/>
              </w:rPr>
              <w:t xml:space="preserve"> panta (piemērojams no 2025. gada 1. janvāra) trešās daļas 1. punktā noteiktā secināms, ka sertifikācija ir bāriņtiesas priekšsēdētāja, bāriņtiesas priekšsēdētāja vietnieka un bāriņtiesas locekļa profesionālās darbības novērtēšana. Vienlaikus ne bāriņtiesas darbību regulējošajos tiesību aktos, ne to anotācijās nav norādes, ka sertifikācija ietver zināšanu pārbaudi, bet nesniedz kompetenču izvērtējumu. Ievērojot minēto, lūdzam papildināt anotāciju, norādot uz pētījumu, kurā iepriekš minētais secinājums izdarīts. Vienlaikus, ievērojot nostāju par administratīvā sloga un normatīvisma mazināšanu (https://www.mk.gov.lv/lv/administrativa-sloga-un-normativisma-mazinasana), lūdzam izvērtēt, vai iecerēto mērķi nav iespējams sasniegt negrozot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“Piezīme par bāriņtiesas amatpersonu sertifikācijas sistēmas ieviešanu” papildināts, norādot, ka, balstoties uz bāriņtiesu amatpersonu sertifikācijas sistēmas ieviešanai izveidotās darba grupas darbā un domnīcās ar bāriņtiesas darbiniekiem gūtajiem secinājumiem, finansējuma saņēmējs (VBTAI) iesniedzis labklājības ministram informāciju (secinājumus un priekšlikumus) par nepieciešamajām izmaiņām plānotajā bāriņtiesas amatpersonu sertifikācijas sistēmas ieviešanā. Priekšlikumi sertifikācijas sistēmas aizstāšanai ar kompleksu atbalsta mehānismu bāriņtiesas darbiniekiem ir saskaņoti, vienlaikus uzdodot veikt to izpildi. Tāpat LM ir izvērtējusi Bāriņtiesu likumā ietvertās normas, kas noteic bāriņtiesas amatpersonu sertifikācijas sistēmas ieviešanu, un secina, ka to vietā plānotie atbalsta pasākumi bāriņtiesas darbiniekiem pēc būtības neietver procesus, kuri definējami kā sertifikācija. Līdz ar to nepieciešamās izmaņas Bāriņtiesu likumā tiks virzītas kopā ar citiem minētajā likumā nepieciešamajiem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tabulas 1., 2. un 3.punkta, kā arī 1.1., 2.1. un 3.1.apakšpunkta 5. un 7.ailē norādīto finansējumu pārcelt uz minēto punktu un apakšpunktu 4. un 6.aili. Vienlaikus nepieciešams aizpildīt 5.1.apakšpunkta 8.aili.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23-TA-167</w:t>
    </w:r>
    <w:r>
      <w:br/>
    </w:r>
    <w:r w:rsidR="00000000" w:rsidRPr="00000000" w:rsidDel="00000000">
      <w:rPr>
        <w:rtl w:val="0"/>
      </w:rPr>
      <w:t xml:space="preserve">22.11.2023. 15.42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23-TA-167</w:t>
    </w:r>
    <w:r>
      <w:br/>
    </w:r>
    <w:r w:rsidR="00000000" w:rsidRPr="00000000" w:rsidDel="00000000">
      <w:rPr>
        <w:rtl w:val="0"/>
      </w:rPr>
      <w:t xml:space="preserve">22.11.2023. 15.42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Izziņa_23-TA-167.docx</dc:title>
</cp:coreProperties>
</file>

<file path=docProps/custom.xml><?xml version="1.0" encoding="utf-8"?>
<Properties xmlns="http://schemas.openxmlformats.org/officeDocument/2006/custom-properties" xmlns:vt="http://schemas.openxmlformats.org/officeDocument/2006/docPropsVTypes"/>
</file>