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24-TA-482: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Vēlētāju reģistra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deklarētās, reģistrētās vai norādītās dzīvesvietas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uz kāda normatīvā akta pamata likumprojektā tiek ietverts jēdziens - "norādītās dzīvesvietas adrese" un kādēļ šāds precizējums tiek veikts tieši šobrīd, jo pēdējie grozījumi Vēlētāju reģistra likumā bijuši nesen- 2023.gadā un stājušies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Fizisko personu reģistra likuma 11.pantā ir ietverta norāde, ka "Personas norādītajai adresei ir informatīvs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projektā šāda norāde netiek ietverta, kas nebūtu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Dzīvesvietas deklarēšanas likums neparedz regulējumu par norādīto dzīvesvietu.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Vēlētāju reģistrā sākotnēji dati tiek iekļauti no Fizisko personu reģistra, tai skaitā tiek iekļautas ziņas par personas dzīvesvietas adresi. Saskaņā ar Fizisko personu reģistra likuma 11. panta pirmās daļas 12. punktu Fizisko personu reģistrā tiek iekļautas un aktualizētas ziņas par personas deklarētās, reģistrētās vai norādītās dzīvesvietas adresi. Ievērojot konsekvenci ar Fizisko personu reģistra likuma normām arī Vēlētāju reģistra likuma tiesību normas tiek precizētas, norādot pilnu dzīvesvietas adreses nosaukumu. Norādītā dzīvesvietas adrese ir arī personas norādītā dzīvesvietas adrese ārvalstī saskaņā ar Fizisko personu reģistra likuma 14. panta trešo daļu. Lai nodrošinātu korektu vēlētāju piesaisti vēlēšanu apgabalam Vēlētāju reģistrā ir nepieciešams arī datu saņemšanu par personas norādītās dzīvesvietas adresi ārvalstī.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deklarētās, reģistrētās vai norādītās dzīvesvietas adrese,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11. pantu ar jaunu grozījumu Vēlētāju reģistra likuma (turpmāk - Likums) 14. pantā, izsakot ceturtās daļas otro teikumu šādā redakcijā: “Personas, kurām kā drošības līdzeklis piemērots apcietinājums vai kuras izcieš ar brīvības atņemšanu saistītu sodu, iesniegumu par vēlēšanu apgabala maiņu iesniedz ieslodzījuma vietas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14. panta ceturtā daļa noteic, ka par savu vēlmi mainīt vēlēšanu apgabalu šā panta otrajā daļā minētajos gadījumos vēlētājs ne agrāk kā 70 dienas un ne vēlāk kā deviņas dienas pirms vēlēšanām pats personiski iesniedz iesniegumu jebkurai pašvaldībai vai tās dzīvesvietas deklarēšanas iestādei. Aizdomās turētās un apsūdzētās personas, kurām kā drošības līdzeklis piemērots apcietinājums, iesniegumu par vēlēšanu apgabala maiņu iesniedz ieslodzījuma vietas administrācijai.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domes vēlēšanu likuma 6. panta 2. punkts (redakcijā līdz 2022. gada 6. novembrim) noteica, ka Latvijas Republikā vēlēt pašvaldības domi nav tiesību personām, kuras izcieš sodu brīvības atņemšanas vietās. Ar Latvijas Republikas Satversmes tiesas 2022. gada 3. novembra spriedumu lietā Nr. 2021‑43‑01 "Par Pašvaldības domes vēlēšanu likuma 6. panta 2. punkta atbilstību Satversmes 101. panta otrās daļas pirmajam teikumam" Satversmes tiesa atzina apstrīdēto normu par neatbilstošu Satversmes 101. panta otrās daļas pirmajam 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2022. gada 20. oktobra likumu "Grozījumi Pašvaldības domes vēlēšanu likumā" (stājās spēkā 2022. gada 14. novembrī) tika izdarīti grozījumi Pašvaldības domes vēlēšanu likumā, nodrošinot visiem ieslodzītajiem iespēju balsot pašvaldības domes vēlēšanās.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tā kā atbilstoši Pašvaldības domes vēlēšanu likumam tiesības vēlēt domi ir arī ar brīvības atņemšanu notiesātajām personām, līdz ar to arī tiesības mainīt vēlēšanu apgabalu būtu attiecināmas uz minētajām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14.pantā: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Vēlētājs balso tajā vēlēšanu apgabalā, kura vēlētāju sarakstā viņš iekļauts saskaņā ar Tiešsaistes reģistrā ietvertajām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kā drošības līdzeklis piemērots apcietinājums vai kuras izcieš ar brīvības atņemšanu saistītu sodu, iesniegumu par vēlēšanu apgabala maiņu iesniedz ieslodzījuma vietas administrācijai.".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lūdz precizēt Anotācijas 2.pielikumā ietvertos aprēķinus, par pamatu visām amatu vietām izmantojot attiecīgās mēnešalgu grupas skalas intervāla viduspunktam paredzēto mēnešalgas apmēru (aprēķins precizējams saskaņā ar Vadlīnijām tiesību akta projekta sākotnējās ietekmes novērtēšanai un novērtējuma ziņojuma sagatavošanai (pieejamas: https://www.mk.gov.lv/lv/administrativa-sloga-un-normativisma-mazinasana) (turpmāk - Vadlīnijas).  Arī pārējos atlīdzības elementus lūdzam piemērot saskaņā ar minētajās vadlīnijās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1.un 2. pielikumā ietverto aprēķinu, par pamatu izmantojot attiecīgās mēnešalgu grupas skalas intervāla viduspunktam paredzēto mēnešalgas apmēru (aprēķins precizējams saskaņā ar Vadlīnijām tiesību akta projekta sākotnējās ietekmes novērtēšanai un novērtējuma ziņojuma sagatavošanai (pieejamas: https://www.mk.gov.lv/lv/administrativa-sloga-un-normativisma-mazinasana).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anotācijas pielikumos esošie aprēķini.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2 amata vietu ieviešana Pilsonības un migrācijas lietu pārvaldē tiek finansēta budžeta resora “74. Gadskārtējā valsts budžeta izpildes procesā pārdalāmais finansējums” programmā 21.00.00 “Finansējums vēlēšanu nodrošināšanai” 2024., 2025. un 2026.gadam plānotā finansējuma ietvaros. Jautājumu par finansējuma piešķiršanu citiem pasākumiem, kuriem finansējums ir rezervēts programmā 21.00.00 “Finansējums vēlēšanu nodrošināšanai”, skatīt budžeta izpildes procesā, ņemot vērā faktiski nepieciešamā finansējuma apmēru un ievērojot likuma “Par valsts budžetu 2024. gadam un budžeta ietvaru 2024., 2025. un 2026. gadam” 73.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budžeta resora “74. Gadskārtējā valsts budžeta izpildes procesā pārdalāmais finansējums” programmā 21.00.00 “Finansējums vēlēšanu nodrošināšanai” rezervētais finansējums ir noteiktā apmērā un likuma “Par valsts budžetu 2024. gadam un budžeta ietvaru 2024., 2025. un 2026. gadam” 73. pants neparedz iespēju palielināt tā apmēru, tad pasākumi saistībā ar vēlēšanu nodrošināšanu ir īstenojami pieejamo līdzekļu ietvaros. Ņemot vērā minēto, lūdzam MK protokollēmuma projekta 6.punktu izteikt piedāvātā redakcijā un veikt attiecīgus precizējumus anotācijas 3.sadaļas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finansējums 70 298 </w:t>
            </w:r>
            <w:r w:rsidR="00000000" w:rsidRPr="00000000" w:rsidDel="00000000">
              <w:rPr>
                <w:i w:val="1"/>
                <w:rtl w:val="0"/>
              </w:rPr>
              <w:t xml:space="preserve">euro </w:t>
            </w:r>
            <w:r w:rsidR="00000000" w:rsidRPr="00000000" w:rsidDel="00000000">
              <w:rPr>
                <w:rtl w:val="0"/>
              </w:rPr>
              <w:t xml:space="preserve">apmērā 2 amata vietām Iekšlietu ministrijai (Pilsonības un migrācijas lietu pārvaldei) 2024.gadam nodrošināms no budžeta resora “74. Gadskārtējā valsts budžeta izpildes procesā pārdalāmais finansējums” programmā 21.00.00 “Finansējums vēlēšanu nodrošināšanai” 2024.gadam plānotā finansējuma, Iekšlietu ministrijai sagatavojot un iesniedzot izskatīšanai Ministru kabinetā attiecīgu Ministru kabineta rīkojuma projektu, ievērojot likuma “Par valsts budžetu 2024. gadam un budžeta ietvaru 2024., 2025. un 2026. gadam” 73. pantā noteikto. Jautājumu par finansējuma piešķiršanu 2024.gadā citiem ar vēlēšanu nodrošināšanu saistītiem pasākumiem skatīt 2024.gada budžeta izpildes procesā, ņemot vērā Iekšlietu ministrijas un Vides aizsardzības un reģionālās attīstības ministrijas esošos budžeta līdzekļus un budžeta resora “74. Gadskārtējā valsts budžeta izpildes procesā pārdalāmais finansējums” programmā 21.00.00 “Finansējums vēlēšanu nodrošināšanai” 2024.gadā faktiski pieejamos budžeta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finansējums 59 015 euro apmērā 2 amata vietām Iekšlietu ministrijai (Pilsonības un migrācijas lietu pārvaldei) 2024.gadam nodrošināms no budžeta resora “74. Gadskārtējā valsts budžeta izpildes procesā pārdalāmais finansējums” programmā 21.00.00 “Finansējums vēlēšanu nodrošināšanai” 2024.gadam plānotā finansējuma, Iekšlietu ministrijai sagatavojot un iesniedzot izskatīšanai Ministru kabinetā attiecīgu Ministru kabineta rīkojuma projektu, ievērojot likuma “Par valsts budžetu 2024. gadam un budžeta ietvaru 2024., 2025. un 2026. gadam” 73. pantā noteikto. Jautājumu par finansējuma piešķiršanu 2024.gadā citiem ar vēlēšanu nodrošināšanu saistītiem pasākumiem skatīt 2024.gada budžeta izpildes procesā, ņemot vērā Iekšlietu ministrijas un Vides aizsardzības un reģionālās attīstības ministrijas esošos budžeta līdzekļus un budžeta resora “74. Gadskārtējā valsts budžeta izpildes procesā pārdalāmais finansējums” programmā 21.00.00 “Finansējums vēlēšanu nodrošināšanai” 2024.gadā faktiski pieejamos budžeta 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Nodrošinātu Iekšlietu ministrijai (Pilsonības un migrācijas lietu pārvaldei) papildu nepieciešamo finansējumu 2 amata vietu atlīdzībai laikposmā no 2024.gada 1.jūlija līdz 2029.gada 31.decembrim, Iekšlietu ministrijai normatīvajos aktos noteiktajā kārtībā sagatavot un iekšlietu ministram iesniegt izskatīšanai Ministru kabinetā Ministru kabineta rīkojuma projektu, kas paredz palielināt finansējumu Iekšlietu ministrijas budžeta apakšprogrammā 11.01.00 “Pilsonības un migrācijas lietu pārvalde”  2024. gadā  70 298 </w:t>
            </w:r>
            <w:r w:rsidR="00000000" w:rsidRPr="00000000" w:rsidDel="00000000">
              <w:rPr>
                <w:i w:val="1"/>
                <w:rtl w:val="0"/>
              </w:rPr>
              <w:t xml:space="preserve">euro</w:t>
            </w:r>
            <w:r w:rsidR="00000000" w:rsidRPr="00000000" w:rsidDel="00000000">
              <w:rPr>
                <w:rtl w:val="0"/>
              </w:rPr>
              <w:t xml:space="preserve"> apmērā, 2025. gadā  149 032 </w:t>
            </w:r>
            <w:r w:rsidR="00000000" w:rsidRPr="00000000" w:rsidDel="00000000">
              <w:rPr>
                <w:i w:val="1"/>
                <w:rtl w:val="0"/>
              </w:rPr>
              <w:t xml:space="preserve">euro</w:t>
            </w:r>
            <w:r w:rsidR="00000000" w:rsidRPr="00000000" w:rsidDel="00000000">
              <w:rPr>
                <w:rtl w:val="0"/>
              </w:rPr>
              <w:t xml:space="preserve"> apmērā, 2026. gadā 155 582 </w:t>
            </w:r>
            <w:r w:rsidR="00000000" w:rsidRPr="00000000" w:rsidDel="00000000">
              <w:rPr>
                <w:i w:val="1"/>
                <w:rtl w:val="0"/>
              </w:rPr>
              <w:t xml:space="preserve">euro</w:t>
            </w:r>
            <w:r w:rsidR="00000000" w:rsidRPr="00000000" w:rsidDel="00000000">
              <w:rPr>
                <w:rtl w:val="0"/>
              </w:rPr>
              <w:t xml:space="preserve"> apmērā, 2027. gadā 161 419 </w:t>
            </w:r>
            <w:r w:rsidR="00000000" w:rsidRPr="00000000" w:rsidDel="00000000">
              <w:rPr>
                <w:i w:val="1"/>
                <w:rtl w:val="0"/>
              </w:rPr>
              <w:t xml:space="preserve">euro</w:t>
            </w:r>
            <w:r w:rsidR="00000000" w:rsidRPr="00000000" w:rsidDel="00000000">
              <w:rPr>
                <w:rtl w:val="0"/>
              </w:rPr>
              <w:t xml:space="preserve"> apmērā, 2028. gadā 161 419 </w:t>
            </w:r>
            <w:r w:rsidR="00000000" w:rsidRPr="00000000" w:rsidDel="00000000">
              <w:rPr>
                <w:i w:val="1"/>
                <w:rtl w:val="0"/>
              </w:rPr>
              <w:t xml:space="preserve">euro</w:t>
            </w:r>
            <w:r w:rsidR="00000000" w:rsidRPr="00000000" w:rsidDel="00000000">
              <w:rPr>
                <w:rtl w:val="0"/>
              </w:rPr>
              <w:t xml:space="preserve"> apmērā un 2029. gadā 161 419 </w:t>
            </w:r>
            <w:r w:rsidR="00000000" w:rsidRPr="00000000" w:rsidDel="00000000">
              <w:rPr>
                <w:i w:val="1"/>
                <w:rtl w:val="0"/>
              </w:rPr>
              <w:t xml:space="preserve">euro</w:t>
            </w:r>
            <w:r w:rsidR="00000000" w:rsidRPr="00000000" w:rsidDel="00000000">
              <w:rPr>
                <w:rtl w:val="0"/>
              </w:rPr>
              <w:t xml:space="preserve"> apmērā un samazināt finansējumu budžeta resora “74. Gadskārtējā valsts budžeta izpildes procesā pārdalāmais finansējums” programmā  21.00.00 “Finansējums vēlēšanu nodrošināšanai” 2024. gadā  70 298 </w:t>
            </w:r>
            <w:r w:rsidR="00000000" w:rsidRPr="00000000" w:rsidDel="00000000">
              <w:rPr>
                <w:i w:val="1"/>
                <w:rtl w:val="0"/>
              </w:rPr>
              <w:t xml:space="preserve">euro</w:t>
            </w:r>
            <w:r w:rsidR="00000000" w:rsidRPr="00000000" w:rsidDel="00000000">
              <w:rPr>
                <w:rtl w:val="0"/>
              </w:rPr>
              <w:t xml:space="preserve"> apmērā, 2025. gadā 149 032 </w:t>
            </w:r>
            <w:r w:rsidR="00000000" w:rsidRPr="00000000" w:rsidDel="00000000">
              <w:rPr>
                <w:i w:val="1"/>
                <w:rtl w:val="0"/>
              </w:rPr>
              <w:t xml:space="preserve">euro</w:t>
            </w:r>
            <w:r w:rsidR="00000000" w:rsidRPr="00000000" w:rsidDel="00000000">
              <w:rPr>
                <w:rtl w:val="0"/>
              </w:rPr>
              <w:t xml:space="preserve"> apmērā un  2026. gadā 155 582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ievērojot Finanšu ministrijas pieprasījumu un Vides aizsardzības un reģionālās attīstības ministrijas sadarbībā ar Iekšlietu ministriju un Centrālo vēlēšanu komisiju sniegto informāciju, sagatavojot Latvijas Stabilitātes programmu 2024.–2028. gadam, budžeta resora “74. Gadskārtējā valsts budžeta izpildes procesā pārdalāmais finansējums” programmā 21.00.00 “Finansējums vēlēšanu nodrošināšanai” 2025., 2026, 2027. un 2028.gadam tika rezervēts finansējums vairākiem ar vēlēšanu nodrošināšanu saistītiem pasākumiem, kuru īstenošanu plāno Iekšlietu ministrija, Vides aizsardzības un reģionālās attīstības ministrija un arī Centrālā vēlēšanu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protokollēmuma projekta 7.punktu izteikt piedāvātajā redakcijā un veikt attiecīgus precizējumus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sagatavojot Latvijas Stabilitātes programmu 2024.–2028. gadam, budžeta resora “74. Gadskārtējā valsts budžeta izpildes procesā pārdalāmais finansējums” programmā 21.00.00 “Finansējums vēlēšanu nodrošināšanai” ir rezervēts finansējums 2025.gadam 3 524 767 </w:t>
            </w:r>
            <w:r w:rsidR="00000000" w:rsidRPr="00000000" w:rsidDel="00000000">
              <w:rPr>
                <w:i w:val="1"/>
                <w:rtl w:val="0"/>
              </w:rPr>
              <w:t xml:space="preserve">euro </w:t>
            </w:r>
            <w:r w:rsidR="00000000" w:rsidRPr="00000000" w:rsidDel="00000000">
              <w:rPr>
                <w:rtl w:val="0"/>
              </w:rPr>
              <w:t xml:space="preserve">apmērā, 2026.gadam 783 399 </w:t>
            </w:r>
            <w:r w:rsidR="00000000" w:rsidRPr="00000000" w:rsidDel="00000000">
              <w:rPr>
                <w:i w:val="1"/>
                <w:rtl w:val="0"/>
              </w:rPr>
              <w:t xml:space="preserve">euro </w:t>
            </w:r>
            <w:r w:rsidR="00000000" w:rsidRPr="00000000" w:rsidDel="00000000">
              <w:rPr>
                <w:rtl w:val="0"/>
              </w:rPr>
              <w:t xml:space="preserve">apmērā, 2027.gadam 791 571 </w:t>
            </w:r>
            <w:r w:rsidR="00000000" w:rsidRPr="00000000" w:rsidDel="00000000">
              <w:rPr>
                <w:i w:val="1"/>
                <w:rtl w:val="0"/>
              </w:rPr>
              <w:t xml:space="preserve">euro </w:t>
            </w:r>
            <w:r w:rsidR="00000000" w:rsidRPr="00000000" w:rsidDel="00000000">
              <w:rPr>
                <w:rtl w:val="0"/>
              </w:rPr>
              <w:t xml:space="preserve">apmērā un 2028.gadam 791 571 </w:t>
            </w:r>
            <w:r w:rsidR="00000000" w:rsidRPr="00000000" w:rsidDel="00000000">
              <w:rPr>
                <w:i w:val="1"/>
                <w:rtl w:val="0"/>
              </w:rPr>
              <w:t xml:space="preserve">euro </w:t>
            </w:r>
            <w:r w:rsidR="00000000" w:rsidRPr="00000000" w:rsidDel="00000000">
              <w:rPr>
                <w:rtl w:val="0"/>
              </w:rPr>
              <w:t xml:space="preserve">apmērā un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likumprojekta īstenošanai nepieciešamais finansējums 2025.gadam un turpmākajiem gadiem ir nodrošināms budžeta resora “74. Gadskārtējā valsts budžeta izpildes procesā pārdalāmais finansējums” programmā 21.00.00 “Finansējums vēlēšanu nodrošināšanai” paredzētā finansējuma ietvaros,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Iekšlietu ministrijai (Pilsonības un migrācijas lietu pārvaldei) 2 amata vietu atlīdzībai 2025. gadā 149 032 </w:t>
            </w:r>
            <w:r w:rsidR="00000000" w:rsidRPr="00000000" w:rsidDel="00000000">
              <w:rPr>
                <w:i w:val="1"/>
                <w:rtl w:val="0"/>
              </w:rPr>
              <w:t xml:space="preserve">euro </w:t>
            </w:r>
            <w:r w:rsidR="00000000" w:rsidRPr="00000000" w:rsidDel="00000000">
              <w:rPr>
                <w:rtl w:val="0"/>
              </w:rPr>
              <w:t xml:space="preserve">apmērā, 2026. gadā 155 582 </w:t>
            </w:r>
            <w:r w:rsidR="00000000" w:rsidRPr="00000000" w:rsidDel="00000000">
              <w:rPr>
                <w:i w:val="1"/>
                <w:rtl w:val="0"/>
              </w:rPr>
              <w:t xml:space="preserve">euro </w:t>
            </w:r>
            <w:r w:rsidR="00000000" w:rsidRPr="00000000" w:rsidDel="00000000">
              <w:rPr>
                <w:rtl w:val="0"/>
              </w:rPr>
              <w:t xml:space="preserve">apmērā, 2027. gadā 161 419 </w:t>
            </w:r>
            <w:r w:rsidR="00000000" w:rsidRPr="00000000" w:rsidDel="00000000">
              <w:rPr>
                <w:i w:val="1"/>
                <w:rtl w:val="0"/>
              </w:rPr>
              <w:t xml:space="preserve">euro </w:t>
            </w:r>
            <w:r w:rsidR="00000000" w:rsidRPr="00000000" w:rsidDel="00000000">
              <w:rPr>
                <w:rtl w:val="0"/>
              </w:rPr>
              <w:t xml:space="preserve">apmērā, 2028. gadā 161 419 </w:t>
            </w:r>
            <w:r w:rsidR="00000000" w:rsidRPr="00000000" w:rsidDel="00000000">
              <w:rPr>
                <w:i w:val="1"/>
                <w:rtl w:val="0"/>
              </w:rPr>
              <w:t xml:space="preserve">euro </w:t>
            </w:r>
            <w:r w:rsidR="00000000" w:rsidRPr="00000000" w:rsidDel="00000000">
              <w:rPr>
                <w:rtl w:val="0"/>
              </w:rPr>
              <w:t xml:space="preserve">apmērā un 2029. gadā 161 419 </w:t>
            </w:r>
            <w:r w:rsidR="00000000" w:rsidRPr="00000000" w:rsidDel="00000000">
              <w:rPr>
                <w:i w:val="1"/>
                <w:rtl w:val="0"/>
              </w:rPr>
              <w:t xml:space="preserve">euro </w:t>
            </w:r>
            <w:r w:rsidR="00000000" w:rsidRPr="00000000" w:rsidDel="00000000">
              <w:rPr>
                <w:rtl w:val="0"/>
              </w:rPr>
              <w:t xml:space="preserve">apmērā, finansējuma pārdali nosakot kopā ar šā protokollēmuma 6.punktā minētā Ministru kabineta rīkojuma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Vides aizsardzības un  reģionālās attīstības ministrijai (Valsts reģionālajai attīstības aģentūrai) atbalsta nodrošināšanai Elektroniskā tiešsaistes vēlētāju reģistra lietotājiem nepārtrauktā režīmā 2025.gadā 96 027 </w:t>
            </w:r>
            <w:r w:rsidR="00000000" w:rsidRPr="00000000" w:rsidDel="00000000">
              <w:rPr>
                <w:i w:val="1"/>
                <w:rtl w:val="0"/>
              </w:rPr>
              <w:t xml:space="preserve">euro </w:t>
            </w:r>
            <w:r w:rsidR="00000000" w:rsidRPr="00000000" w:rsidDel="00000000">
              <w:rPr>
                <w:rtl w:val="0"/>
              </w:rPr>
              <w:t xml:space="preserve">apmērā, 2026.gadā 92 522 </w:t>
            </w:r>
            <w:r w:rsidR="00000000" w:rsidRPr="00000000" w:rsidDel="00000000">
              <w:rPr>
                <w:i w:val="1"/>
                <w:rtl w:val="0"/>
              </w:rPr>
              <w:t xml:space="preserve">euro </w:t>
            </w:r>
            <w:r w:rsidR="00000000" w:rsidRPr="00000000" w:rsidDel="00000000">
              <w:rPr>
                <w:rtl w:val="0"/>
              </w:rPr>
              <w:t xml:space="preserve">apmērā, 2027.gadā un turpmāk ik gadu 97 745 </w:t>
            </w:r>
            <w:r w:rsidR="00000000" w:rsidRPr="00000000" w:rsidDel="00000000">
              <w:rPr>
                <w:i w:val="1"/>
                <w:rtl w:val="0"/>
              </w:rPr>
              <w:t xml:space="preserve">euro </w:t>
            </w:r>
            <w:r w:rsidR="00000000" w:rsidRPr="00000000" w:rsidDel="00000000">
              <w:rPr>
                <w:rtl w:val="0"/>
              </w:rPr>
              <w:t xml:space="preserve">apmērā, finansējuma pārdali paredzot likumprojekta “Par valsts budžetu 2025. gadam un budžeta ietvaru 2025., 2026. un 2027. gadam” sagatavošanas procesā, Vides aizsardzības un  reģionālās attīstības ministrijai iesniedzot attiecīgu priekšlikumu Finanšu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finansējumu pārējiem ar vēlēšanu nodrošināšanu saistītiem pasākumiem 2025.gadam un turpmākajiem gadiem Vides aizsardzības un reģionālās attīstības ministrija, Iekšlietu ministrija un Centrālā vēlēšanu komisija var pieprasīt likumprojekta “Par valsts budžetu 2025. gadam un budžeta ietvaru 2025., 2026. un 2027. gadam” sagatavošanas procesā no budžeta resora “74. Gadskārtējā valsts budžeta izpildes procesā pārdalāmais finansējums” programmā 21.00.00 “Finansējums vēlēšanu nodrošināšanai” paredzētā finansējuma, iesniedzot attiecīgu priekšlikumu Finanšu ministrijā, visiem pieprasījumiem kopā nepārsniedzot budžeta resora “74. Gadskārtējā valsts budžeta izpildes procesā pārdalāmais finansējums” programmā 21.00.00 “Finansējums vēlēšanu nodrošināšanai” noteikto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sagatavojot Latvijas Stabilitātes programmu 2024.–2028. gadam, budžeta resora “74. Gadskārtējā valsts budžeta izpildes procesā pārdalāmais finansējums” programmā 21.00.00 “Finansējums vēlēšanu nodrošināšanai” ir rezervēts finansējums 2025.gadam 3 524 767 euro apmērā, 2026.gadam 783 399 euro apmērā, 2027.gadam 791 571 euro apmērā un 2028.gadam 791 571 euro apmērā un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ka Vides aizsradzības un  reģionālās attīstības ministrijai (Valsts reģionālajai attīstības aģentūrai) papildus nepieciešamais finansējums  2025.gadā - 96 027 euro apmērā; 2026.gadā - 92 522 euro apmērā un 2027.gadā 97 745 euro tiek ieplānots budžeta resora “74. Gadskārtējā valsts budžeta izpildes procesā pārdalāmais finansējums” programmā 21.00.00 “Finansējums vēlēšanu nodrošināšanai”. Jautājumu par finansējuma piešķiršanu citiem pasākumiem, kuriem finansējums ir rezervēts programmā 21.00.00 “Finansējums vēlēšanu nodrošināšanai”, skatīt budžeta izpildes procesā, ņemot vērā faktiski nepieciešamā finansējuma apmēru un ievērojot likuma “Par valsts budžetu 2024. gadam un budžeta ietvaru 2024., 2025. un 2026. gadam” 73. pantā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projekta 8.punktu, ņemot vērā iebildumu pie MK protokollēmuma projekta 7.punkta ar jauno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"1.pants. Šā likuma mērķis ir nodrošināt Latvijas Republikas teritorijā vienotas vēlētāju uzskaites sistēmas — Vēlētāju reģistra (turpmāk — Reģistrs) un vēlētāju dalības vēlēšanās reģistrācijas sistēmas Elektroniskā tiešsaistes vēlētāju reģistra (turpmāk  — Tiešsaistes reģistrs) — izveidi un tajā iekļauto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likumu, norādot informācijas sistēmu tiesisko statusu (valsts informācijas sistēma vai varbūt institūcijas informācijas sistēma, valsts platforma u.c.), kas ir svarīgi, lai varētu secināt kāda veida pārziņi likumā tiek noteikti. No tā ir atkarīgs, kāda veida pienākumi un tiesības pārzinim piemīt saskaņā ar ārējiem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vērtēt un skaidrot anotācijā, vai likumā minēto informācijas sistēmu regulējums atbilst Valsts informācijas sistēmu likumam, piem., 5. panta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vertAlign w:val="superscript"/>
                <w:rtl w:val="0"/>
              </w:rPr>
              <w:t xml:space="preserve">2</w:t>
            </w:r>
            <w:r w:rsidR="00000000" w:rsidRPr="00000000" w:rsidDel="00000000">
              <w:rPr>
                <w:rtl w:val="0"/>
              </w:rPr>
              <w:t xml:space="preserve"> daļā noteiktajam, ka valsts informācijas sistēmu izmanto, pamatojoties uz ārējiem normatīvajiem aktiem (Ministru kabinets izdod noteikumus  </w:t>
            </w:r>
            <w:r w:rsidR="00000000" w:rsidRPr="00000000" w:rsidDel="00000000">
              <w:rPr>
                <w:b w:val="1"/>
                <w:rtl w:val="0"/>
              </w:rPr>
              <w:t xml:space="preserve">3., 4., 5. un 6.</w:t>
            </w:r>
            <w:r w:rsidR="00000000" w:rsidRPr="00000000" w:rsidDel="00000000">
              <w:rPr>
                <w:rtl w:val="0"/>
              </w:rPr>
              <w:t xml:space="preserve"> punkta prasību izpildei.), kuros norāda </w:t>
            </w:r>
            <w:r w:rsidR="00000000" w:rsidRPr="00000000" w:rsidDel="00000000">
              <w:rPr>
                <w:u w:val="single"/>
                <w:rtl w:val="0"/>
              </w:rPr>
              <w:t xml:space="preserve">vismaz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noteiktās funkcijas, uzdevumus un mērķus, kuru izpildei nepieciešamās informācijas apriti nodrošina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informācijas sistēmā iekļaujamo informāciju funkciju, uzdevumu un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valsts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valsts informācijas sistēmā iekļaujamās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kārtību, kādā informāciju apstrādā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nosacījumus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pārējiem šīs pakas likumprojektiem, kuros tiek noregulēti citu informācijas sistēmu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1.pants un sniegts detalizētāks skaidrojums likumprojekta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"1.pants. Šā likuma mērķis ir nodrošināt Latvijas Republikas teritorijā vienotas vēlētāju uzskaites valsts informācijas sistēmu — Vēlētāju reģistra (turpmāk — Reģistrs) un vēlētāju dalības vēlēšanās reģistrācijas sistēmas Elektroniskā tiešsaistes vēlētāju reģistra (turpmāk  — Tiešsaistes reģistrs) — izveidi un tajā iekļauto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ņemot vērā Valsts informācijas sistēmu likuma 7. pantā noteikto, regulējums par valsts budžeta finansējumu valsts informācijas sistēmu uzturēšanai ir nepieciešams. Vienlaikus vēršam uzmanību, ka Valsts informācijas sistēmu likums, bez valsts informācijas sistēmas izveides un uzturēšanas līdzekļiem izšķir arī vēl cita veida līdzekļus - līdzekļus valsts informācijas sistēmas attīstībai (sk. 7.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norādām, ka Vēlētāju reģistrs un Elektroniskais tiešsaistes vēlētāju reģistrs uzsāk savu darbību pirms kārtējām vēlēšanām (laiks ir noteikts Vēlētāju reģistra likumā un attiecīgās vēlēšanu procedūras regulējošajā normatīvajā aktā). Norādāms, ka praksē budžets informācijas sistēmas uzturēšanai tiek paredzēts vēlēšanu procedūras nodrošināšanas budžetā. Gadījumos, kad valstī notiek ārkārtējās vēlēšanās, tad saskaņā ar speciālo normatīvo aktu tiek paredzēts finansējums informācijas sistēmas uzturēšanai. Pēc ETVR nodošanas VRAA pārziņā, ja tiks lemts par citu finansējuma modeli, tad to atbilstoši kompetencei izlems ETVR pārzinis. Papildus norādāms, ka sakarā ar informācijas sistēmu pilnveidošanu finansējums ir paredzēts Atveseļošanas un noturības mehānisma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piektajā daļā vārdus “sešas darbdienas” ar vārdiem “līdz pulksten 18 septītajā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Vēlētāju reģistra likumam šobrīd nav piektās daļas, līdz ar ko rosinām precizēt normu par 15.panta piekto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norādām, ka Vēlētāju reģistra likuma nākotnes redakcijā, kas stāsies spēkā 2025. gada 1. augustā,  15. pantam ir piektā daļa. Līdz ar to, likumprojektā ietvertais grozījums ir korekts.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piektajā daļā vārdus “sešas darbdienas” ar vārdiem “līdz pulksten 18 septītajā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jo regulējums ietekmē fiziskas personas (vēlētāju, balsotāju, parakstu vācēju, kandidātu, vēlēšanu iecirkņu darbinieku utt.), kuru datus apstrādās valsts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izteikto priekšlikumu, norādāms, ka likumprojekta mērķis ir noteikt Vēlētāju reģistra un ETVR darbības ietvaru. Likumprojekts nemaina vēlētāju (fizisku personu) datu apstrādes kārtību vai apjomu. Tādējādi, likumprojekts nerada ietekmi uz noteiktu sabiedrības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punktā “Cita informācija” attiecībā uz norādīto informāciju par īstenojamām aktivitātēm Atveseļošanas un noturības mehānisma projekta ietvaros norādīt konkrētu MK rīkojumu, ar kuru ir apstiprināts attiecīgais projekts, kura ietvaros plānots īstenot minētās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Saskaņā ar Ministru kabineta 2024. gada 5. marta rīkojumu Nr. 168 ir apstiprināts Eiropas Savienības Atveseļošanas un noturības mehānisma plāna 2.1.3.1.i. investīcijas projekts "Datu pieejamība, koplietošana un analītika" projekta "Vēlēšanu procesu digitalizācija un automatizācija".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attiecībā uz VARAM (VRAA) norādīto finansējumu 2027.gadam papildināt ar norādi “un turpmāk katru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īstenošanai finansējumu plānots nodrošināt no budžeta resora “74. Gadskārtējā valsts budžeta izpildes procesā pārdalāmais finansējums” programmā 21.00.00 “Finansējums vēlēšanu nodrošināšanai” paredzētā finansējuma, lūdzam anotācijas 3.sadaļā aizpildīt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TAP portālā tehniski sasaistīt (sk. tiesību aktu lietā sadaļu "Saistītie TA") likumprojektu paketi un citus saistītos tiesību aktu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4.2.punktā norādīt, kuri likumprojekti virzāmi vienotā likumprojektu paketē. Minētais attiecināms arī uz pārējo likumprojektu paketes likumprojektu anotāciju 4.2.punktiem.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likumprojektu paketē tiek virzīti šādi likumprojekti: "Grozījumi Pašvaldības domes vēlēšanu likumā" (24-TA-494), "Grozījumi Saeimas vēlēšanu likumā" (24-TA-497), "Grozījumi Eiropas Parlamenta vēlēšanu likumā" (24-TA-498), "Grozījumi Vietējo pašvaldību referendumu likumā" (24-TA-500).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izpildē iesaistīto institūciju sarakstu ar Iekšlietu ministriju, Iekšlietu ministrijas Informācijas centru, Vides aizsardzības un reģionālās attīstības ministriju, Satiksmes ministriju, VAS "Latvijas Valsts radio un televīzijas centrs", pašvaldībām, vēlēšanu komisijām.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24-TA-482</w:t>
    </w:r>
    <w:r>
      <w:br/>
    </w:r>
    <w:r w:rsidR="00000000" w:rsidRPr="00000000" w:rsidDel="00000000">
      <w:rPr>
        <w:rtl w:val="0"/>
      </w:rPr>
      <w:t xml:space="preserve">31.05.2024. 16.30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24-TA-482</w:t>
    </w:r>
    <w:r>
      <w:br/>
    </w:r>
    <w:r w:rsidR="00000000" w:rsidRPr="00000000" w:rsidDel="00000000">
      <w:rPr>
        <w:rtl w:val="0"/>
      </w:rPr>
      <w:t xml:space="preserve">31.05.2024. 16.30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Izziņa_24-TA-482.docx</dc:title>
</cp:coreProperties>
</file>

<file path=docProps/custom.xml><?xml version="1.0" encoding="utf-8"?>
<Properties xmlns="http://schemas.openxmlformats.org/officeDocument/2006/custom-properties" xmlns:vt="http://schemas.openxmlformats.org/officeDocument/2006/docPropsVTypes"/>
</file>