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22-TA-1068: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2022.gada Progresa ziņojums par Latvijas nacionālās reformu programmas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sadaļā "Aktīvās darba tirgus politikas pasākumu pilnveide un attīstība" norādīto teikuma daļu "</w:t>
            </w:r>
            <w:r w:rsidR="00000000" w:rsidRPr="00000000" w:rsidDel="00000000">
              <w:rPr>
                <w:i w:val="1"/>
                <w:rtl w:val="0"/>
              </w:rPr>
              <w:t xml:space="preserve">Plānotais apmācību pasākumu dalībnieku skaits - 12 497 personas;...</w:t>
            </w:r>
            <w:r w:rsidR="00000000" w:rsidRPr="00000000" w:rsidDel="00000000">
              <w:rPr>
                <w:rtl w:val="0"/>
              </w:rPr>
              <w:t xml:space="preserve">", jo teikumā iepriekš tiek norādīts 14.1.2.specifiskā atbalsta mērķa "Atveseļošanas pasākumi labklājības jomā" (turpmāk - 14.1.2.SAM) kopējais attiecināmais finansējums – ne mazāk kā 16 100 001 euro, tai skaitā Eiropas Sociālā fonda finansējums 13 685 000 euro, valsts budžeta finansējums – 2 062 411 euro un privātais līdzfinansējums – ne mazāk kā 352 590 euro (kas ir gan </w:t>
            </w:r>
            <w:r w:rsidR="00000000" w:rsidRPr="00000000" w:rsidDel="00000000">
              <w:rPr>
                <w:b w:val="1"/>
                <w:rtl w:val="0"/>
              </w:rPr>
              <w:t xml:space="preserve">2021.</w:t>
            </w:r>
            <w:r w:rsidR="00000000" w:rsidRPr="00000000" w:rsidDel="00000000">
              <w:rPr>
                <w:b w:val="1"/>
                <w:vertAlign w:val="superscript"/>
                <w:rtl w:val="0"/>
              </w:rPr>
              <w:t xml:space="preserve">1</w:t>
            </w:r>
            <w:r w:rsidR="00000000" w:rsidRPr="00000000" w:rsidDel="00000000">
              <w:rPr>
                <w:b w:val="1"/>
                <w:rtl w:val="0"/>
              </w:rPr>
              <w:t xml:space="preserve">, gan 2022.gada</w:t>
            </w:r>
            <w:r w:rsidR="00000000" w:rsidRPr="00000000" w:rsidDel="00000000">
              <w:rPr>
                <w:b w:val="1"/>
                <w:vertAlign w:val="superscript"/>
                <w:rtl w:val="0"/>
              </w:rPr>
              <w:t xml:space="preserve">2</w:t>
            </w:r>
            <w:r w:rsidR="00000000" w:rsidRPr="00000000" w:rsidDel="00000000">
              <w:rPr>
                <w:b w:val="1"/>
                <w:rtl w:val="0"/>
              </w:rPr>
              <w:t xml:space="preserve"> piešķīrums kopā</w:t>
            </w:r>
            <w:r w:rsidR="00000000" w:rsidRPr="00000000" w:rsidDel="00000000">
              <w:rPr>
                <w:rtl w:val="0"/>
              </w:rPr>
              <w:t xml:space="preserve">), taču iznākuma rādītājs, kas sasniedzams 14.1.2.SAM ietvaros – dalībnieki, kuri ir saņēmuši atbalstu no programmas "Atveseļošanas palīdzība kohēzijai un Eiropas teritorijām" (REACT-EU) finanšu līdzekļiem, lai cīnītos un mazinātu Covid-19 pandēmijas izraisītās sekas, norādīts dalībnieku, kas saņēmuši atbalstu REACT-EU finansējuma ietvaros, </w:t>
            </w:r>
            <w:r w:rsidR="00000000" w:rsidRPr="00000000" w:rsidDel="00000000">
              <w:rPr>
                <w:b w:val="1"/>
                <w:rtl w:val="0"/>
              </w:rPr>
              <w:t xml:space="preserve">izmantojot REACT-EU finansējumu atbilstoši plānotajam 2021.gada piešķīrumam </w:t>
            </w:r>
            <w:r w:rsidR="00000000" w:rsidRPr="00000000" w:rsidDel="00000000">
              <w:rPr>
                <w:rtl w:val="0"/>
              </w:rPr>
              <w:t xml:space="preserve">skaits, t.i. </w:t>
            </w:r>
            <w:r w:rsidR="00000000" w:rsidRPr="00000000" w:rsidDel="00000000">
              <w:rPr>
                <w:u w:val="single"/>
                <w:rtl w:val="0"/>
              </w:rPr>
              <w:t xml:space="preserve">12 497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progresa ziņojumā norādītajai informācijai būtu jāatbilst Ministru kabineta 2014.gada 23.decembra noteikumu Nr.836 "Darbības programmas "Izaugsme un nodarbinātība" 7.1.1. specifiskā atbalsta mērķa "Paaugstināt bezdarbnieku kvalifikāciju un prasmes atbilstoši darba tirgus pieprasījumam" un 14.1.2. specifiskā atbalsta mērķa "Atveseļošanas pasākumi labklājības jomā" īstenošanas noteikumi”</w:t>
            </w:r>
            <w:r w:rsidR="00000000" w:rsidRPr="00000000" w:rsidDel="00000000">
              <w:rPr>
                <w:vertAlign w:val="superscript"/>
                <w:rtl w:val="0"/>
              </w:rPr>
              <w:t xml:space="preserve">3 </w:t>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punktā norādītajam rādītājam un tā vērtībai, taču ņemot vērā to, ka pašlaik norit darbs pie darbības programmas "Izaugsme un nodarbinātība" grozījumiem Nr.8 un grozījumu priekšlikums paredz izmaiņas arī 14.1.2.SAM rādītāja  i.14.1.2.a (CV31) "Dalībnieku skaits, kuri ir saņēmuši atbalstu, lai cīnītos un mazinātu COVID-19 pandēmijas izraisītās sekas" un tā sasniedzamajā vētībā, t.i. 11 592, tad aicinām skaitli "12 497" aizstāt ar "11 592".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https://eur-lex.europa.eu/legal-content/LV/TXT/?uri=CELEX:32021D0182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https://eur-lex.europa.eu/legal-content/LV/TXT/PDF/?uri=OJ:L:2021:420:FULL&amp;from=NE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https://likumi.lv/ta/id/271412-darbibas-programmas-izaugsme-un-nodarbinatiba-7-1-1-specifiska-atbalsta-merka-paaugstinat-bezdarbnieku-kvalifikaciju-un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Skaitlis "12 497" aizstāts ar skaitli "11 592".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sadaļā "Aktīvās darba tirgus politikas pasākumu pilnveide un attīstība" pēdējā rindkopā norādīto informāciju, aizstājot tekstā saīsinājumu "ES ANM" ar vārdiem "Eiropas Savienības Atveseļošanas un noturības mehānisma plāna 3.komponentes “Nevienlīdzības mazināšana” 3.1.2. reformas “Sociālo un nodarbinātības pakalpojumu pieejamība minimālo ienākumu reformas atbalstam” investīcijas 3.1.2.5.i. “Bezdarbnieku, darba meklētāju un bezdarba riskam pakļauto iedzīvotāju iesaiste darba tirgū”". Vienlaikus lūdzam precizēt informāciju attiecībā uz investīcijai 3.1.2.5.i “Bezdarbnieku, darba meklētāju un bezdarba riskam pakļauto iedzīvotāju iesaiste darba tirgū” plānoto finansējumu, jo tas ir 28 710 000</w:t>
            </w:r>
            <w:r w:rsidR="00000000" w:rsidRPr="00000000" w:rsidDel="00000000">
              <w:rPr>
                <w:i w:val="1"/>
                <w:rtl w:val="0"/>
              </w:rPr>
              <w:t xml:space="preserve"> euro</w:t>
            </w:r>
            <w:r w:rsidR="00000000" w:rsidRPr="00000000" w:rsidDel="00000000">
              <w:rPr>
                <w:rtl w:val="0"/>
              </w:rPr>
              <w:t xml:space="preserve"> nevis 26 710 000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apjoms precizēts no "26 710 000 </w:t>
            </w:r>
            <w:r w:rsidR="00000000" w:rsidRPr="00000000" w:rsidDel="00000000">
              <w:rPr>
                <w:i w:val="1"/>
                <w:rtl w:val="0"/>
              </w:rPr>
              <w:t xml:space="preserve">euro</w:t>
            </w:r>
            <w:r w:rsidR="00000000" w:rsidRPr="00000000" w:rsidDel="00000000">
              <w:rPr>
                <w:rtl w:val="0"/>
              </w:rPr>
              <w:t xml:space="preserve">" uz "28 710 000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3.sadaļu "Latvijas Atveseļošanas un noturības plāns", norādot, par kura gada rekomendācijām ir runa, t.sk. atsauci uz pašiem dokumentiem, kur tās ir noteiktas. Ņemot vērā, ka šeit netiek nosauktas visas rekomendācijas, lūgums precizēt, kādā kontekstā ir izceltas tieši šīs.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jau ir norādīts, ka ziņojumā atspoguļots un izvērtēts Latvijas progress 2019.-2021. gada ES Padomes rekomendāciju izpildē. 3.nodaļas sākumā atspoguļotas tikai tās ES Padomes rekomendācijas, kas tika izteiktas Latvijai 2019.-2021.gadā un kuras attiecas tikai uz ES fondu investīcijām, t.sk. Atveseļošanās un noturības mehānisma investīcijām, ņemot vērā, ka Informatīvā ziņojuma 3.nodaļa tieši attiecas uz progresu Latvijas Atveseļošanās un noturības plāna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3.sadaļas "Latvijas Atveseļošanas un noturības plāns" 1.rindkopu, ņemot vērā to, ka AF plāna izstrādē ir ņemtas vērā ne tikai ES Padomes rekomendācijas, bet arī Eiropas Parlamenta un Padomes regulā Nr. 2021/241, ar ko izveido Atveseļošanas un noturības mehānismu noteiktā prasība 37% finansējuma koncentrēt priekšlikumiem klimata pārmaiņu mazināšanas jomā, savukārt 20% finansējuma – digitālās transformācijas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3.nodaļas 1.rindkopa precizēta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atveseļošanas un noturības plāns jeb Atveseļošanas fonda plāns ir nozīmīgs dokuments ES finansējuma apguvē Latvijā Eiropas atveseļošanas un noturības mehānisma kontekstā, un tas atspoguļo reformas un pasākumus ES Padomes rekomendāciju jomās, kā arī ņem vērā Eiropas Parlamenta un Padomes regulas Nr. 2021/241, ar ko izveido Atveseļošanas un noturības mehānismu noteiktās prasības 37% finansējuma koncentrēt priekšlikumiem klimata pārmaiņu mazināšanas jomā, savukārt 20% finansējuma – digitālās transformācijas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3.sadaļas "Latvijas Atveseļošanas un noturības plāns" 2.rindkopu precizēt šādā redakcijā - "2021.gada 30.aprīlī AF plāns oficiāli iesniegts Eiropas Komisijā. 2021.gada 22.jūnijā Eiropas Komisija sniedza pozitīvu AF plāna vērtējumu. 2021.gada 13.jūlijā AF plāns ar Padomes īstenošanas aktu apstiprināts Ekonomikas un finanšu lietu 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30.aprīlī AF plāns oficiāli iesniegts Eiropas Komisijā. 2021.gada 22.jūnijā Eiropas Komisija sniedza pozitīvu AF plāna vērtējumu. 2021.gada 13.jūlijā AF plāns ar Padomes īstenošanas aktu apstiprināts Ekonomikas un finanšu lietu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3.nodaļas 2.rindkopa precizēta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30.aprīlī Atveseļošanas fonda plāns oficiāli iesniegts EK. 2021.gada 22.jūnijā EK sniedza pozitīvu Atveseļošanas fonda plāna vērtējumu. 2021.gada 13.jūlijā Atveseļošanas fonda plāns ar ES Padomes īstenošanas aktu apstiprināts ES Ekonomikas un finanšu lietu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sadaļas “Jauna doktorantūras modeļa ieviešana” pēdējo rindkopu ar informāciju par finansējuma avotu doktoranta atalgojuma nodrošināšanai no 2024.gada, ņemot vērā, ka saskaņā ar Ministru kabineta 2020.gada 25.jūnija rīkojuma Nr.345 “Par konceptuālo ziņojumu "Par jauna doktorantūras modeļa ieviešanu Latvijā" 7.punktu jautājumu par jauna doktorantūras modeļa ieviešanai nepieciešamo papildu valsts budžeta līdzekļu piešķiršanu 2024. gadā un turpmākajos gados izskatīt Ministru kabinetā kārtējā gada un vidēja termiņa valsts budžeta likumprojektu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sadaļas “Jauna doktorantūras modeļa ieviešana” pēdējā rindkopa ir papildināta, un rindkopas pēdējais teikums ir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"Plānots, ka doktoranta atalgojums (no 2024. gada) tiks nodrošināts visu doktorantūras laiku (trīs līdz četrus studiju gadus), ņemot vērā, ka saskaņā ar MK 2020.gada 25.jūnija rīkojuma Nr.345 “Par konceptuālo ziņojumu "Par jauna doktorantūras modeļa ieviešanu Latvijā"" 7.punktu jautājumu par jauna doktorantūras modeļa ieviešanai nepieciešamo papildu valsts budžeta līdzekļu piešķiršanu 2024. gadā un turpmākajos gados plānots izskatīt MK kārtējā gada un vidēja termiņa valsts budžeta likumprojektu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informatīvā ziņojuma projekta 2.3.sadaļas “Garantētais minimālais ienākums un sociālās drošības tīkls” 15.lpp. pirmajā un trešajā rindkopā minēto pasākumu īstenošana ir saistīta ar papildu valsts budžeta līdzekļu nepieciešamību, trešo rindkopu nepieciešams papildināt ar informāciju, ka jautājums par pasākumu īstenošanai nepieciešamo papildu valsts budžeta līdzekļu piešķiršanu ir skatāms Ministru kabinetā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15.lpp. 3.rindkopa ir papildināta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"Apstiprinātais “Plāns minimālo ienākumu atbalsta sistēmas pilnveidošanai 2022.–2024. gadam” paredz no 2022. gada noteikt valsts līdzfinansējumu 30% apmērā pašvaldībām pamata sociālās palīdzības pabalstu – garantētā minimālā ienākuma pabalsta un mājokļa pabalsta – nodrošināšanai, bet, sākot no 2023. gada 1. janvāra, minimālo ienākumu sliekšņus plānots palielināt katru gadu iepriekšējo trīs gadu vietā un normatīvajos aktos noteikt minimālo ienākumu sliekšņu aprēķināšanas metodoloģiju. Jautājums par pasākumu īstenošanai nepieciešamo papildu valsts budžeta līdzekļu piešķiršanu ir skatāms MK gadskārtējā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likumam “Par valsts budžetu 2022.gadam” Veselības ministrijas budžetā plānotais finansējums veido 1 532,3 milj. euro, lūdzam informatīvā ziņojuma projekta 2.5.sadaļas “Veselības aprūpe” otrajā rindkopā (37.lpp.) precizēt valsts budžeta finansējuma apmēru veselības jomas pasākumu īstenošanai 2022.gadam, skaitļa “1 536,4” vietā lietojot skaitli “1 532,3”, attiecīgi precizējot pret 2017.gadu norādīto finansējuma pieaugumu, t.i. skaitļa “663,28” vietā lietojot skaitli “660”.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2.5.sadaļas “Veselības aprūpe” otrajā rindkopā (37.lpp.) skaitlis “1 536,4” aizstāts ar skaitli “1 532,3” un skaitlis “663,28” aizstāts ar skaitli “660”.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aprūpes pakalpojumu onkoloģijas jomā uzlabošanas plāns 2022.-2024.gadam nav izskatīts Ministru kabineta sēdē, precizējama redakcija informatīvā ziņojuma projekta 2.5.sadaļā “Veselības aprūpe” (39.lpp.), norādot, ka minētais plāna projekts ir saskaņošanas stadijā.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2.5.sadaļas “Veselības aprūpe” (39.lpp.) rindkopa, kurā ir informācija par "Veselības aprūpes pakalpojumu onkoloģijas jomā uzlabošanas plāna 2022.–2024. gadam" papildināta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šobrīd ir saskaņošanas stadijā."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2.5.sadaļā “Veselības aprūpe” (44.lpp.) precizēt norādīto piešķirto finansējumu piemaksām un atvaļinājuma rezervēm, t.i. skaitļa “124,87” vietā lietojot skaitli “148,4” un piešķirto finansējumu virsstundām, t.i. skaitļa “12 151 508” vietā lietojot skaitli “15 815 028”.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Skaitlis “124,87” aizstāts ar skaitli “148,4” un skaitlis “12 151 508” aizstāts ar skaitli “15 815 028”.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ziņojuma 2.5.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iebilst pret tās pašreizējo redakciju vairāku trūkumu dēļ. Lai novērstu konstatētos trūkumus, LBAS ierosina veikt šādus grozījumus ziņojuma 34.lpp.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Otrās rindkopas trešajā rindā aiz teikuma, kas beidzas ar “.. pozīcijā).” pievienot teikumu: “Tomēr tie ir tikai 10,3% no vispārējās valdības izdevumiem (VVI) un 4,4% no iekšzemes kopprodukta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Otrās rindkopas piektajā rindā aiz teikuma, kas beidzas ar “.. EUR apmērā.” pievienot teikumu: “Tas nozīmē, ka turpmākajos gados valdības finansējums veselības aprūpei kā proporcija no VVI un IKP samazināsies.”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Ceturtās rindkopas septītajā rindā aiz teikuma, kas beidzas ar “.. 1032 EUR.” pievienot teikumu: “Tanī pašā laikā Latvijas Bankas prognoze liecina, ka 2022. gadā inflācija sasniegs 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Ceturtajai rindkopai pievienot teikumu: “Viszemāk atalgotajām ārstniecības personām (māsu palīgiem) nav palielināta ne zemākā mēnešalga, ne vidējā darba samaksa. Pret nepamatoti zemo un netaisnīgi sadalīto ārstniecības personu darba samaksas pieaugumu iebilst Latvijas Veselības un sociālās aprūpes darbinieku arodbiedrība (LVSADA), kas pēc neveiksmīgām sarunām ar Veselības ministriju gatavojas pieteikt streiku.”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Sestajā (pēdējā) rindkopā teikumu, kas sākas ar “Jaunā modeļa pamatā ..” izteikt turpmāk minētajā redakcijā: “Veselības ministrijas ieskatā, jaunā modeļa pamatā – taisnīga, konkurētspējīga, caurskatāma un elastīga atlīdzības sistēma, kas motivē medicīnas personālu izvēlēties strādāt valsts, nevis privātajā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Sestajai rindkopai pievienot divus teikumus: “Turpretī Latvijas Brīvo arodbiedrību savienība, LVSADA un Latvijas Slimnīcu biedrība (pārstāv valsts un pašvaldību sektora darba devējus veselības nozarē) iebilst pret jauno modeli, jo uzskata, ka tam piemīt būtiski trūkumi, kas atbaidīs ārstniecības personas no darba valsts sektorā. Jaunais modelis nav saskaņots Nacionālajā trīspusējās sadarbības padomē.”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tiek norādīts valsts budžeta finansējuma apmērs, kas ir tikai daļa no vispārējās valdības budžeta finansējuma veselībai. Kā rezultātā, izsakot valsts budžeta finansējumu veselībai kā daļu no vispārējās valdības budžeta izdevumiem, tiek radīts maldinošs priekštats par kopējo vispārējās valdības izdevumu veselībai apjomu. Vispārējās valdības budžeta izdevumi tiek noteikti atbilstoši Eiropas kontu sistēmas metodoloģijai (EKS 2010) un tiem ir plašāks tvērums kā valsts budžetam. Vispārējās valdības izdevumos tiek uzskaitīti gan valsts budžeta izdevumi, gan vispārējai valdībai pieklasificēto komersantu, tostarp, slimnīcu izdevumi un citi. Turklāt, nav informācijas kā LBAS ieguva 10,3% un kāda IKP prognoze izmantota.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LBAS komentārs par valdības finansējuma veselības aprūpei kā proporciju no VVI un IKP samazināšanos pēc būtības ir korekts, taču ziņojumā tiek norādīts valsts budžeta izdevumu apjoms veselībai, kas tiešā veidā nav salīdzināms ar vispārējās valdības budžeta izdevumiem. Papildus vēlamies uzsvērt, ka 2020., 2021. un 2022.gadā būtisks līdzekļu apjoms tika novirzīts Covid-19 pandēmijas ietekmes mazināšanai kā rezultātā būtiski pieauga valsts budžeta izdevumi veselībai. Kā arī saskaņā ar ikgadējo valsts budžeta sagatavošanas kārtību, VM iesniegs FM un PKC prioritāro pasākumu pieteikumus 2023., 2024. un 2025.gadam. Atkarībā no valsts budžeta fiskālās telpas valsts budžeta finansējums 2023. un turpmākajiem gadiem var palielināties.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ziņojuma papildināšanu ar teikumu (Ceturtās rindkopas septītajā rindā aiz teikuma, kas beidzas ar “.. 1032 EUR.” pievienot teikumu: “Tanī pašā laikā Latvijas Bankas prognoze liecina, ka 2022. gadā inflācija sasniegs 9,5%.”), jo tas ir ārpus konteksta. Rindkopa norāda, ka “turpinās ārstniecības personu darba samaksas palielināšana.” Vēlamies norādīt, ka Nacionālās reformu programmas sagatavošana paredz, ka tiek izmantotas Finanšu ministrijas jaunākās prognozes, kas ir aprakstītas Informatīvā ziņojuma 1.nodaļā “Vidēja termiņa makroekonomiskais scenārijs” un kur ir minēts, ka inflācija 2022.gadā tiek prognozēta 8,5%, ko galvenokārt ietekmēs energoresursu un pārtikas cenu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LBAS priekšlikumu ceturtajai rindkopai pievienot teikumu “Viszemāk atalgotajām ārstniecības personām (māsu palīgiem) nav palielināta ne zemākā mēnešalga, ne vidējā darba samaksa. Pret nepamatoti zemo un netaisnīgi sadalīto ārstniecības personu darba samaksas pieaugumu iebilst Latvijas Veselības un sociālās aprūpes darbinieku arodbiedrība (LVSADA), kas pēc neveiksmīgām sarunām ar Veselības ministriju gatavojas pieteikt streiku.”, lai ziņojumā netiktu iekļauta vienpusēja un nepilnīga informācija, un tiktu atspoguļots LVSADA viedoklis par ārstniecības personu jauno darba samaksas modeli, rindkopa ir izteikta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uzlabotu veselības aprūpes pakalpojumu pieejamību, viens no būtiskākajiem izaicinājumiem ir nodrošināt kvalificētu ārstniecības personu esamību valsts finansēto pakalpojumu sniegšanai. Motivējot darbam valsts sektorā, turpinās ārstniecības personu darba samaksas palielināšana, kam veselības nozares budžetā 2022.gadā piešķirti papildu 35 milj. euro. 2022.gadā ārstu (t.sk. rezidentu) un funkcionālo speciālistu zemākā mēnešalga pieaugs par 4,4% – no 1489 līdz 1555 euro par slodzi, savukārt māsu un sertificētu ārstu palīgu zemākā mēnešalga palielināsies par 4,74% – no 985 līdz 1032 euro. Saistībā ar 2022. gadam piešķirto papildu finansējumu palielināta veselības aprūpes pakalpojumu tarifos iestrādātā vidējā darba samaksa ārstniecības personām. No 2022.gada 1.janvāra vidējā darba samaksa tarifā ārstiem un funkcionālajiem speciālistiem palielināta līdz 1963 euro (2021.gadā 1862 euro), savukārt, ārstniecības un pacientu aprūpes personām un funkcionālo speciālistu asistentiem līdz 1183 euro (2021.gadā 1117 euro).</w:t>
            </w:r>
            <w:r w:rsidR="00000000" w:rsidRPr="00000000" w:rsidDel="00000000">
              <w:rPr>
                <w:i w:val="1"/>
                <w:rtl w:val="0"/>
              </w:rPr>
              <w:t xml:space="preserve">VM kopā ar VK 2019.gadā uzsāka un 2020.gadā pabeidza darbu pie jauna ārstniecības personu atalgojuma modeļa izstrādes, kur kā piemērotākā metode tika izvēlēta inovācijas domnīcas izveide ar iespējami plašu nozares ekspertu iesaisti. Domnīcas procesā ar analītisko intelektuālā darba vērtēšanas punktu/metodi, kas ir starptautiski atzīta, un VK pieder metodes lietošanas tiesības valsts sektorā nodarbināto darba samaksas sistēmas uzturēšanas vajadzībām, eksperti izvērtēja dažādus amatus un noteica katras ārstniecības personu grupas mērķa algu. Tajā tiek ņemti vērā tādi faktori kā nepieciešamā izglītība, atbildība, nepieciešamā profesionālā pieredze un darba sarežģītība. Izvērtējot pēc iepriekš minētās metodes, mērķa alga 2020.gadā ārstiem bija 3 086 euro, ārstniecības un pacientu aprūpes personām - 1 820 euro, savukārt jaunākajam medicīniskajam personālam - 883 euro, ņemot vērā nepieciešamo izglītības līmeni un kvalifikāciju. Redzams, ka iepriekš uzturētā proporcija jaunākajam medicīniskajam personālam - 40% no ārsta darba samaksas, šīs dienas ekonomikas un tirgus apstākļos ir neatbilstoša un turpmāk tiks atbalstītas tirgum atbilstoši novērtētās amatu vērtības (proporcija 29%).</w:t>
            </w:r>
            <w:r w:rsidR="00000000" w:rsidRPr="00000000" w:rsidDel="00000000">
              <w:rPr>
                <w:i w:val="1"/>
                <w:rtl w:val="0"/>
              </w:rPr>
              <w:t xml:space="preserve">Līdz ar to, paaugstinot darba samaksu 2022.gadam, tika ņemts vērā, ka valsts apmaksāto veselības aprūpes pakalpojumu tarifos ārstniecības personām iekļautais darba samaksas apmērs ārstiem bija 60% no sasniedzamās mērķa algas (1 862 euro (2021.gada tarifos)/ 3 086 euro), ārstniecības un pacientu aprūpes personām - 61% (1 117 euro/ 1 820 euro), savukārt jaunākajam medicīniskajam personālam - 84% (745 euro/ 883 euro). Ņemot vērā, ka darba samaksas paaugstināšanai tika piešķirti tikai 35 milj. euro, tad tika nolemts paaugstināt darba samaksu tām ārstniecības personu grupām, kam tā procentuāli bija zemāka pret sasniedzamo mērķa algu. Kā arī 2022.gadā palielinot darba samaksu ārstiem, jaunākajam medicīniskajam personālam proporcija saglabājas 38% no ārsta darba samaksas, kas joprojām ir daudz augstāka kā starp novērtētajām mērķa algām katrai ārstniecības personu grupai. Ņemot to vērā, viszemāk atalgotajām ārstniecības personām (māsu palīgiem) ne zemākā mēnešalga, ne vidējā darba samaksa 2022.gadā nav palielināta."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LBAS priekšlikumiem sestajā (pēdējā) rindkopā teikumu, kas sākas ar “Jaunā modeļa pamatā ..” izteikt turpmāk minētajā redakcijā: “Veselības ministrijas ieskatā, jaunā modeļa pamatā – taisnīga, konkurētspējīga, caurskatāma un elastīga atlīdzības sistēma, kas motivē medicīnas personālu izvēlēties strādāt valsts, nevis privātajā sektorā.”  un priekšlikumu sestajai rindkopai pievienot divus teikumus: “Turpretī Latvijas Brīvo arodbiedrību savienība, LVSADA un Latvijas Slimnīcu biedrība (pārstāv valsts un pašvaldību sektora darba devējus veselības nozarē) iebilst pret jauno modeli, jo uzskata, ka tam piemīt būtiski trūkumi, kas atbaidīs ārstniecības personas no darba valsts sektorā. Jaunais modelis nav saskaņots Nacionālajā trīspusējās sadarbības padomē.” nepiekrītam ziņojumu papildināt ar informāciju, ka jaunais darba samaksas modelis nav saskaņots NTSP, jo tas tika izskatīts NTSP sēdē un tika panākta vienošanās ar LVSADA. Lai ziņojumā netiktu iekļauta vienpusēja un nepilnīga informācija, un tiktu atspoguļots LVSADA viedoklis par ārstniecības personu jauno atalgojuma darba samaksas modeli, rindkopa ir izteikta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“Ir izstrādāta Jauna ārstniecības personu darba samaksas kārtība, kuru plānots iesniegt izskatīšanai MK sēdē 2022.gada vidū. Jaunā modeļa pamatā - taisnīga, konkurētspējīga, caurskatāma un elastīga atlīdzības sistēma, kas motivē medicīnas personālu izvēlēties strādāt valsts  apmaksāto veselības aprūpes pakalpojumu sektorā.  Jauno ārstniecības personu darba samaksas modeli izstrādāja Veselības ministrija sadarbībā ar Valsts Kanceleju, veidojot inovācijas domnīcu ar plašu ekspertu iesaisti (34 eksperti), iesaistoties ārstiem un māsām no dažādām ārstniecības iestādēm, veselības aprūpes nozares darba devējiem, augstskolu mācībspēkiem un veselības aprūpes politikas veidotājiem, kā arī pārstāvjiem no Nacionālā veselības dienesta un Finanšu ministrijas. Latvijas Brīvo arodbiedrību savienība, LVSADA un Latvijas Slimnīcu biedrība (pārstāv valsts un pašvaldību sektora darba devējus veselības nozarē) iebilst pret jauno modeli, jo uzskata, ka tam piemīt būtiski trūkumi, kas atbaidīs ārstniecības personas no darba valsts sektorā. Jaunais ārstniecības personu atalgojuma modelis tika izskatīts 2020.gada 18.decembra NTSP sēdē un 2021.gada 4.janvāra VANA sēdē. Tika panākta vienošanās ar LVSADA. Informatīvais ziņojums “Par jaunas ārstniecības personu darba samaksas kārtības izstrādāšanu” tika papildināts ar Latvijas Brīvo arodbiedrību savienības, LVSADA un Latvijas Slimnīcu biedrības kopējo viedokli, kā arī  atbalstu jaunā ārstniecības personu atalgojuma modeļa ieviešanai sniedza citas veselības nozares biedrības un asociācijas (Latvijas Ārstu biedrība, Latvijas Māsu asociācija, Latvijas Lielo slimnīcu asociācija, Veselības aprūpes darba devēju asociācija).”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projektā 2.6. sadaļu  "Publiskā sektora efektivitāte" jautājumos par Valsts pārvaldes modernizācijas plānu 2027. gadam, atlīdzības reformu, investīciju “Publiskās pārvaldes inovācijas eko-sistēmas attīstība", atvērtās pārvaldības rīcības plānu, kā arī par sabiedrības uzticību valsts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precizējumi veikti projektā izmaiņu režīmā un nosūtīti uz e-pastu  Ceslavs.Grzibovskis@em.gov.lv (projekta 46. - 49. lp.).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2.6. sadaļa  "Publiskā sektora efektivitāte" tika precizēta jautājumos par Valsts pārvaldes modernizācijas plānu 2027. gadam, atlīdzības reformu, investīciju “Publiskās pārvaldes inovācijas eko-sistēmas attīstība", atvērtās pārvaldības rīcības plānu, kā arī par sabiedrības uzticību valsts pārvaldei atbilstoši no Valsts kancelejas uz e-pastu  Ceslavs.Grzibovskis@em.gov.lv saņemtajiem precizējumiem tekstā 46.-49.lp.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3.lpp ir iedzīvotāju ienākuma nodokļa saīsinājums (IIN), līdz ar to ziņojuma 10.lpp. nav nepieciešams to atkārtoti saīsināt.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teksta stilu saīsinājums tiek atspoguļots iekavās, kad tas tiek lietots pirmo reizi tekstā, un tālāk tekstā jau tiek lietots saīsinājums. Lai lasītājam būtu ērtāk orientēties saīsinājumos, Informatīvā ziņojuma 3.lpp. ir visu saīsinājumu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sadaļu “Saīsinājumi, mērvienības un nosacītie apzīmējumi” ar jaunu saīsinājumu “ESF+”, t.i. ja ziņojuma projektā tiek minēts par Eiropas Savienības Kohēzijas politikas 2021.- 2027.gada plānošanas perioda “Eiropas Sociālais fonds Plus”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2014.-2020.gada plānošanas perioda darbības programmu "Izaugsme un nodarbinātība" specifiskiem atbalsta mērķiem joprojām lietojams termins "Eiropas Sociālais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precizēt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Saīsinājumu saraksts papildināts ar ESF+ un Informatīvā ziņojuma tekstā, kur ir runa par 2021.-2027.g. periodu, precizēts uz ESF+.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projekta 2.6. apakšsadaļā “Publiskā sektora efektivitāte”, ka Augstākā līmeņa vadītāju attīstības programma tiek īstenota Eiropas Sociālā fonda projekta Nr. 3.4.2.0/15/I/003 “Augstākā līmeņa vadītāju attīstības programma”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2.6. apakšsadaļā “Publiskā sektora efektivitāte” ir ielikta jauna atsauce, ka Augstākā līmeņa vadītāju attīstības programma tiek īstenota Eiropas Sociālā fonda projekta Nr. 3.4.2.0/15/I/003 “Augstākā līmeņa vadītāju attīstības programma”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informatīvajā ziņojumā izmantot saīsinājumus, kas noteikti saīsinājumu sarakstā un neatkārtoties tekstā saīsinot ar stilu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"turpmāk" pie saīsinājumiem ir izņemts no teksta.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informatīvā ziņojuma tekstā izmantot apzīmējumu </w:t>
            </w:r>
            <w:r w:rsidR="00000000" w:rsidRPr="00000000" w:rsidDel="00000000">
              <w:rPr>
                <w:i w:val="1"/>
                <w:rtl w:val="0"/>
              </w:rPr>
              <w:t xml:space="preserve">euro</w:t>
            </w:r>
            <w:r w:rsidR="00000000" w:rsidRPr="00000000" w:rsidDel="00000000">
              <w:rPr>
                <w:rtl w:val="0"/>
              </w:rPr>
              <w:t xml:space="preserve"> slīprakstā, kā to paredz normatīvo aktu izstrādes kārtība.  https://lvportals.lv/skaidrojumi/260812-eiro-un-cents-latviesu-valoda-2014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 vietā tekstā salabots uz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sadaļas "Akadēmiskās karjeras reformas īstenošana" trešajā rindkopā (23.lpp) lietot Atveseļošanās fonda  saīsinājumu AF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īstenošanai plānots ES struktūrfondu un 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īstenošanai plānots ES struktūrfondu un AF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"Ilgtspējīgas un sociāli atbildīgas atbalsta sistēmas pieaugušo izglītībai izveide" piektajā rindkopā (31.lpp) precizēts finansējums, ņemot vērā aktualizēto TPTP.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profesionālās un pieaugušo </w:t>
            </w:r>
            <w:r w:rsidR="00000000" w:rsidRPr="00000000" w:rsidDel="00000000">
              <w:rPr>
                <w:u w:val="single"/>
                <w:rtl w:val="0"/>
              </w:rPr>
              <w:t xml:space="preserve">izglītības veicināšanai</w:t>
            </w:r>
            <w:r w:rsidR="00000000" w:rsidRPr="00000000" w:rsidDel="00000000">
              <w:rPr>
                <w:rtl w:val="0"/>
              </w:rPr>
              <w:t xml:space="preserve"> un attīstībai investīcijas plānotas </w:t>
            </w:r>
            <w:r w:rsidR="00000000" w:rsidRPr="00000000" w:rsidDel="00000000">
              <w:rPr>
                <w:u w:val="single"/>
                <w:rtl w:val="0"/>
              </w:rPr>
              <w:t xml:space="preserve">arī TPF pasākumā</w:t>
            </w:r>
            <w:r w:rsidR="00000000" w:rsidRPr="00000000" w:rsidDel="00000000">
              <w:rPr>
                <w:rtl w:val="0"/>
              </w:rPr>
              <w:t xml:space="preserve"> “Prasmju attīstības, pilnveides un pārkvalificēšanas piedāvājuma attīstība pārejai uz klimatneitralitāti īpaši skartajās teritorijās”, kam ieplānots finansējums </w:t>
            </w:r>
            <w:r w:rsidR="00000000" w:rsidRPr="00000000" w:rsidDel="00000000">
              <w:rPr>
                <w:b w:val="1"/>
                <w:rtl w:val="0"/>
              </w:rPr>
              <w:t xml:space="preserve">19,33</w:t>
            </w:r>
            <w:r w:rsidR="00000000" w:rsidRPr="00000000" w:rsidDel="00000000">
              <w:rPr>
                <w:rtl w:val="0"/>
              </w:rPr>
              <w:t xml:space="preserve"> milj. </w:t>
            </w:r>
            <w:r w:rsidR="00000000" w:rsidRPr="00000000" w:rsidDel="00000000">
              <w:rPr>
                <w:i w:val="1"/>
                <w:rtl w:val="0"/>
              </w:rPr>
              <w:t xml:space="preserve">euro</w:t>
            </w:r>
            <w:r w:rsidR="00000000" w:rsidRPr="00000000" w:rsidDel="00000000">
              <w:rPr>
                <w:rtl w:val="0"/>
              </w:rPr>
              <w:t xml:space="preserve"> apmērā, t.sk. NextGenerationEU līdzfinansējums </w:t>
            </w:r>
            <w:r w:rsidR="00000000" w:rsidRPr="00000000" w:rsidDel="00000000">
              <w:rPr>
                <w:b w:val="1"/>
                <w:rtl w:val="0"/>
              </w:rPr>
              <w:t xml:space="preserve">10,86</w:t>
            </w:r>
            <w:r w:rsidR="00000000" w:rsidRPr="00000000" w:rsidDel="00000000">
              <w:rPr>
                <w:rtl w:val="0"/>
              </w:rPr>
              <w:t xml:space="preserve"> milj. </w:t>
            </w:r>
            <w:r w:rsidR="00000000" w:rsidRPr="00000000" w:rsidDel="00000000">
              <w:rPr>
                <w:i w:val="1"/>
                <w:rtl w:val="0"/>
              </w:rPr>
              <w:t xml:space="preserve">euro</w:t>
            </w:r>
            <w:r w:rsidR="00000000" w:rsidRPr="00000000" w:rsidDel="00000000">
              <w:rPr>
                <w:rtl w:val="0"/>
              </w:rPr>
              <w:t xml:space="preserve"> un </w:t>
            </w:r>
            <w:r w:rsidR="00000000" w:rsidRPr="00000000" w:rsidDel="00000000">
              <w:rPr>
                <w:b w:val="1"/>
                <w:rtl w:val="0"/>
              </w:rPr>
              <w:t xml:space="preserve">8,46</w:t>
            </w:r>
            <w:r w:rsidR="00000000" w:rsidRPr="00000000" w:rsidDel="00000000">
              <w:rPr>
                <w:rtl w:val="0"/>
              </w:rPr>
              <w:t xml:space="preserve"> milj. </w:t>
            </w:r>
            <w:r w:rsidR="00000000" w:rsidRPr="00000000" w:rsidDel="00000000">
              <w:rPr>
                <w:i w:val="1"/>
                <w:rtl w:val="0"/>
              </w:rPr>
              <w:t xml:space="preserve">euro</w:t>
            </w:r>
            <w:r w:rsidR="00000000" w:rsidRPr="00000000" w:rsidDel="00000000">
              <w:rPr>
                <w:rtl w:val="0"/>
              </w:rPr>
              <w:t xml:space="preserve"> ES Daudzgadu finanšu shēmas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profesionālās un pieaugušo izglītības veicināšanai un attīstībai investīcijas plānotas arī TPF pasākumā “Prasmju attīstības, pilnveides un pārkvalificēšanas piedāvājuma attīstība pārejai uz klimatneitralitāti īpaši skartajās teritorijās”, kam ieplānots finansējums 19,33 milj. </w:t>
            </w:r>
            <w:r w:rsidR="00000000" w:rsidRPr="00000000" w:rsidDel="00000000">
              <w:rPr>
                <w:i w:val="1"/>
                <w:rtl w:val="0"/>
              </w:rPr>
              <w:t xml:space="preserve">euro </w:t>
            </w:r>
            <w:r w:rsidR="00000000" w:rsidRPr="00000000" w:rsidDel="00000000">
              <w:rPr>
                <w:rtl w:val="0"/>
              </w:rPr>
              <w:t xml:space="preserve">apmērā, t.sk. </w:t>
            </w:r>
            <w:r w:rsidR="00000000" w:rsidRPr="00000000" w:rsidDel="00000000">
              <w:rPr>
                <w:i w:val="1"/>
                <w:rtl w:val="0"/>
              </w:rPr>
              <w:t xml:space="preserve">NextGenerationEU</w:t>
            </w:r>
            <w:r w:rsidR="00000000" w:rsidRPr="00000000" w:rsidDel="00000000">
              <w:rPr>
                <w:rtl w:val="0"/>
              </w:rPr>
              <w:t xml:space="preserve"> līdzfinansējums 10,86 milj. </w:t>
            </w:r>
            <w:r w:rsidR="00000000" w:rsidRPr="00000000" w:rsidDel="00000000">
              <w:rPr>
                <w:i w:val="1"/>
                <w:rtl w:val="0"/>
              </w:rPr>
              <w:t xml:space="preserve">euro </w:t>
            </w:r>
            <w:r w:rsidR="00000000" w:rsidRPr="00000000" w:rsidDel="00000000">
              <w:rPr>
                <w:rtl w:val="0"/>
              </w:rPr>
              <w:t xml:space="preserve">un 8,46 milj. </w:t>
            </w:r>
            <w:r w:rsidR="00000000" w:rsidRPr="00000000" w:rsidDel="00000000">
              <w:rPr>
                <w:i w:val="1"/>
                <w:rtl w:val="0"/>
              </w:rPr>
              <w:t xml:space="preserve">euro </w:t>
            </w:r>
            <w:r w:rsidR="00000000" w:rsidRPr="00000000" w:rsidDel="00000000">
              <w:rPr>
                <w:rtl w:val="0"/>
              </w:rPr>
              <w:t xml:space="preserve">ES Daudzgadu finanšu shēmas līdzfinansējums.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3.nodaļas "Latvijas atveseļošanas un noturības plāns" 3.1.attēlu (54.lpp) papildināt ar plānoto atbalstu pašvaldību kapacitātes stiprināšanai, to darbības efektivitātes un kvalitātes uzlabošanai, kā arī ar plānoto atbalstu bezizmešu pašvaldību transportlīdzekļu iegādei. Ja attēlā pietrūkst vietas, tad aicinām iekļaut attēla punktos tikai katras komponentes reformas kopumā, neizceļot atsevišķus investīciju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3.nodaļas "Latvijas atveseļošanas un noturības plāns" 3.1.attēls papildināts ar plānoto atbalstu pašvaldību kapacitātes stiprināšanai un bezizmešu pašvaldību transportlīdzekļu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4.nodaļas "Progress Ano ilgtspējīgas attīstības mērķu sasniegšanā" 6.apakšnodaļas "Tīrs ūdens un sanitārija" 2.rindkopas otro teikumu, papildinot to ar jaunu vārdu "vēl", lai precizētu tajā pausto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ES fondu atbalstu līdz 2022.gada sākumam </w:t>
            </w:r>
            <w:r w:rsidR="00000000" w:rsidRPr="00000000" w:rsidDel="00000000">
              <w:rPr>
                <w:b w:val="1"/>
                <w:u w:val="single"/>
                <w:rtl w:val="0"/>
              </w:rPr>
              <w:t xml:space="preserve">vēl</w:t>
            </w:r>
            <w:r w:rsidR="00000000" w:rsidRPr="00000000" w:rsidDel="00000000">
              <w:rPr>
                <w:b w:val="1"/>
                <w:rtl w:val="0"/>
              </w:rPr>
              <w:t xml:space="preserve"> </w:t>
            </w:r>
            <w:r w:rsidR="00000000" w:rsidRPr="00000000" w:rsidDel="00000000">
              <w:rPr>
                <w:rtl w:val="0"/>
              </w:rPr>
              <w:t xml:space="preserve">14 818 iedzīvotājiem ir nodrošināts vides prasībām atbilstošs notekūdeņu savākšanas pakalpojums, tādējādi to nodrošinot 89% iedzīvotāju blīvi apdzīvotās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ES fondu atbalstu līdz 2022.gada sākumam vēl 14 818 iedzīvotājiem ir nodrošināts vides prasībām atbilstošs notekūdeņu savākšanas pakalpojums, tādējādi to nodrošinot 89% iedzīvotāju blīvi apdzīvotās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progresa ziņojuma sadaļā "Aktīvās darba tirgus politikas pasākumu pilnveide un attīstība" informāciju attiecībā par bezdarbniekiem pirms vārda "REACT-EU“ ar skaitļiem un vārdiem “14.1.2. specifiskā atbalsta mērķa "Atveseļošanas pasākumi labklājības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"Aktīvās darba tirgus politikas pasākumu pilnveide un attīstība" papildināta informācija attiecībā par bezdarbniekiem pirms vārda "REACT-EU“ ar skaitļiem un vārdiem “14.1.2. specifiskā atbalsta mērķa "Atveseļošanas pasākumi labklājības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sadaļā "Valsts pārvaldes efektivitāte "redakciju no “LNANP 6.3.1.3. aktivitātes “Publiskās pārvaldes inovācijas eko-sistēmas attīstība”” uz ”Eiropas Savienības Atveseļošanas un noturības mehānisma plāna 6.3. reformu un investīciju virziena “Publiskās pārvaldes modernizācija” 6.3.1.3.i investīcijas “Publiskās pārvaldes inovācijas eko-sistēmas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precizēts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"Turpinās darbs pie ES Atveseļošanas un noturības mehānisma plāna 6.3. reformas un investīciju virziena “Publiskās pārvaldes modernizācija” 6.3.1.3.i investīcijas “Publiskās pārvaldes inovācijas eko-sistēmas attīstība”” plānošanas un ieviešanas nosacījumu regulējuma izstrādes."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informatīvā ziņojuma projekta 2.2. apakšsadaļā “Noziedzīgi iegūto līdzekļu legalizācijas novēršana”, ka atbalsts FIDIC darbībai tiks sniegts AF plāna investīcijas 6.2.1.1.i. “AML inovāciju centra izveide noziedzīgi iegūtu līdzekļu legalizācijas identificēšanas uzlabošanai”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jaunu atsauci tekstā, kur ir atspoguļota informācija par FIDIC. Atsauce ir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"Atbalsts FIDIC darbībai tiks sniegts Atveseļošanas un noturības mehānisma plāna investīcijas 6.2.1.1.i. “AML inovāciju centra izveide noziedzīgi iegūtu līdzekļu legalizācijas identificēšanas uzlabošanai”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2.4. apakšsadaļā “Izglītība un nodarbinātība” informāciju par Eiropas Sociālā fonda projektiem izglītības jomā, norādot katram projektam atbilstošo numuru. Piemēram, ESF projekts Nr. 8.5.1.0/16/I/001 "Profesionālo izglītības iestāžu audzēkņu dalība darba vidē balstītās mācībās un mācību praksēs uzņēmumos".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atskaite Eiropas Komisijai par progresu ES Padomes rekomendāciju izpildē. Sagatavotajā informācijā Eiropas Komisijai ir atspoguļoti ESF projektu nosaukumi, tāpēc specifiski katra projekta numurus nav nepieciešams atspoguļot. Projektu numuri vairāk ir lietojami nacionālajā līmenī, veicot ESF aktivitāšu uzraudzību un gatavojot atskaites nacionālajā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informatīvā ziņojuma projekta sadaļā "Ievads" trešajā rindkopā norādīt saīsinājumus, ņemot vērā, ka informatīvajā ziņojumā ir atsevišķa saīsinājumu tabula.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teksta stilu saīsinājums tiek atspoguļots iekavās, kad tas tiek lietots pirmo reizi tekstā, un tālāk tekstā jau tiek lietots saīsinājums. Lai lasītājam būtu ērtāk orientēties saīsinājumos, Informatīvā ziņojuma 3.lpp. ir visu saīsinājumu saraksts.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projekta 2.4.apakšsadaļā “Izglītība un nodarbinātība” informāciju par ESF projektu "Profesionālās izglītības iestāžu efektīva pārvaldība un personāla kompetences pilnveide", norādot tam plānoto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2.4.apakšsadaļā “Izglītība un nodarbinātība” informācija par ESF projektu "Profesionālās izglītības iestāžu efektīva pārvaldība un personāla kompetences pilnveide" precizēta, un tam plānotais finansējums norādīts. Informatīvais ziņojums papildināts ar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kopējais pieejamais finansējums ir 6,49 milj. euro, t.sk. ESF finansējums – 5,52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2.4.apakšsadaļā "Izglītība un nodarbinātība" 8.5.1. specifiskā atbalsta mērķa finansējumu atbilstoši Ministru kabineta 2016.gada 15.jūlija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2.4.apakšsadaļas "Izglītība un nodarbinātība" 8.5.1. specifiskā atbalsta mērķa finansējums precizēts, un teikums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kopējais pieejamais finansējums ir 15,60 milj. euro, t.sk. ESF finansējums –13,26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2.4.apakšsadaļā “Izglītība un nodarbinātība” norādīto informāciju par 8.2.3. specifiskā atbalsta mērķa “Nodrošināt labāku pārvaldību augstākās izglītības institūcijās” finansējumu. Šobrīd ziņojuma projektā ir norādīts tikai 2.kārtas finansējums, nevis 8.2.3.SAM kopējais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2.4.apakšsadaļā “Izglītība un nodarbinātība” norādītā informācija par 8.2.3. specifiskā atbalsta mērķa “Nodrošināt labāku pārvaldību augstākās izglītības institūcijās” finansējumu precizēta, un attiecīgā rindkopa ir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"Augstskolu iekšējās pārvaldības modeļa maiņai, izveidojot valsts augstskolās padomes un sniedzot atbalstu to darbības uzsākšanai un nostiprināšanai, ir plānots ESF atbalsts specifiskā atbalsta mērķa “Nodrošināt labāku pārvaldību augstākās izglītības institūcijās" otrās kārtas ietvaros (specifiskā atbalsta mērķa kopējais finansējums 18,9 milj. euro, t.sk. ESF finansējums – 16 milj. euro, valsts budžeta finansējums – 2,9 milj. euro). Projektu plānots īstenot līdz 2023. 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informatīvā ziņojuma projekta 3.sadaļas "Latvijas atveseļošanas un noturības plāns"  35.atsaucē norādītie Regulas panti ir 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3.sadaļas "Latvijas atveseļošanas un noturības plāns" atsaucē norādītie Regulas panti ir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projektu ar informāciju, ka Eiropas Savienības struktūrfondu un Kohēzijas fonda 2021.–2027. gada plānošanas perioda finansējuma apjoms, sasniedzamie rādītāji un atbalstāmās darbības ir indikatīvas, ņemot vērā, ka šobrīd Eiropas Komisija vēl nav apstiprinājusi Eiropas Savienības kohēzijas politikas programmu 2021. –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ievads papildināts ar jaunu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"Progresa ziņojumā par Latvijas NRP īstenošanu ES struktūrfondu un Kohēzijas fonda 2021.–2027. gada plānošanas perioda finansējuma apjoms, sasniedzamie rādītāji un atbalstāmās darbības ir indikatīvas, ņemot vērā, ka šobrīd EK vēl nav apstiprinājusi ES kohēzijas politikas programmu 2021. –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informatīvā ziņojuma projekta sadaļas "Progress ANO ilgtspējīgas attīstības mērķu sasniegšanā" 11.punktā  "Ilgtspējīgas pilsētas un kopienas" norādīto Eiropas Reģionālās attīstības fonda (turpmāk - ERAF) finansējumu, ņemot vērā, ka 3.3.1.SAM “Palielināt privāto investīciju apjomu reģionos, veicot ieguldījumus uzņēmējdarbības attīstībai atbilstoši pašvaldību attīstības programmās noteiktajai teritoriju ekonomiskajai specializācijai un balstoties uz vietējo uzņēmēju vajadzībām” ERAF finansējuma (64 219 292 EUR) un 5.6.2.SAM  “Teritoriju revitalizācija, reģenerējot degradētās teritorijas atbilstoši pašvaldību integrētajām attīstības programmām” ERAF finansējuma (236 524 372 EUR) kopsumma ir 295 541 114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finansējuma kopsumma precizēta uz "295,5 milj.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3.sadaļā "Latvijas Atveseļošanas un noturības plāns" izmantot saīsinājumu "AF plāns", kā tas tiek izmantots praksē. Skaidrojam, ka praksē tiek izmantots termins "Latvijas Atveseļošanas un noturības mehānisma plāns" ar saīsinājumu "AF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3.nodaļā "Latvijas Atveseļošanas un noturības plāna" vietā izmantots saīsinājums "AF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3.sadaļas "Latvijas Atveseļošanas un noturības plāns" 1.rindkopā precizēt, ka AF plāns sastāv no 6 komponentēm atbilstoši AF plānā izmantotajai terminoloģijai (nevis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"virzieni" aizstāts ar vārdu "komponentes".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sniegtā informācija būtu pilnīga, aicinām informatīvā ziņojuma 4.sadaļas 9.punkta "Ražošana, inovācija un infrastruktūra" pirmajā teikumā norādīt arī sasniedzamo mērķi P&amp;A ieguldījumu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ieguldījumi pētniecībā un attīstībā (P&amp;A), salīdzinājumā ar 2017.gadu, 2020.gadā ieguldījumi pieauguši par 33,7% un sastāda 208,1 milj. EUR, vienlaikus nepieciešams vēl vairāk šo ieguldījumu, lai panāktu nacionālā mērķa par ieguldījumu īpatsvaru 1.5 % apmērā no IKP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4.nodaļas 9.punkta "Ražošana, inovācija un infrastruktūra" pirmais teikums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"Pieaug ieguldījumi pētniecībā un attīstībā (P&amp;A). Salīdzinot ar 2017.gadu, 2020.gadā ieguldījumi pieauguši par 33,7% un sastādīja 208,1 milj. EUR, vienlaikus nepieciešams palielināt šos ieguldījumus, lai panāktu nacionālā mērķa par ieguldījumu īpatsvaru 1.5% apmērā no IKP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3.sadaļas "Latvijas Atveseļošanas un noturības plāns" 4.rindkopā papildināt projektu iesniedzēju loku ar biedrībām un nodibinājumiem.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papildināts ar informāciju par biedrībām un nodibinājumiem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"AF plāna projektus varēs iesniegt uzņēmēji, pašvaldības un valsts organizācijas, biedrības un nodibinājumi."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nodaļā "2.5. veselības aprūpe" 37.lapā rindkopu " Ir izstrādāta Jauna ārstniecības personu darba samaksas kārtība, kuru plānots iesniegt izskatīšanai MK sēdē 2022.gada vidū. Jaunā modeļa pamatā - taisnīga, konkurētspējīga, caurskatāma un elastīga atlīdzības sistēma, kas motivē medicīnas personālu izvēlēties strādāt valsts, nevis privātajā sektorā".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izstrādāta Jauna ārstniecības personu darba samaksas kārtība, kuru plānots iesniegt izskatīšanai MK sēdē 2022.gada vidū. Jaunā modeļa pamatā - taisnīga, konkurētspējīga, caurskatāma un elastīga atlīdzības sistēma, kas motivē medicīnas personālu izvēlēties strādāt </w:t>
            </w:r>
            <w:r w:rsidR="00000000" w:rsidRPr="00000000" w:rsidDel="00000000">
              <w:rPr>
                <w:u w:val="single"/>
                <w:rtl w:val="0"/>
              </w:rPr>
              <w:t xml:space="preserve">valsts apmaksāto pakalpojumu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izstrādāta Jauna ārstniecības personu darba samaksas kārtība, kuru plānots iesniegt izskatīšanai MK sēdē 2022.gada vidū. Jaunā modeļa pamatā - taisnīga, konkurētspējīga, caurskatāma un elastīga atlīdzības sistēma, kas motivē medicīnas personālu izvēlēties strādāt valsts apmaksāto pakalpojumu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ziņojuma nodaļā "2.5. veselības aprūpe" 37.lapā precizēt teikumu "No 2022. gada 1.janvāra vidējā darba samaksa tarifā ārstiem un funkcionālajiem speciālistiem palielināta līdz 1963 EUR (šobrīd 1862 EUR), savukārt, ārstniecības un pacientu aprūpes personām un funkcionālo speciālistu asistentiem līdz 1183 EUR (šobrīd 1117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1.janvāra vidējā darba samaksa tarifā ārstiem un funkcionālajiem speciālistiem palielināta līdz 1963 EUR (</w:t>
            </w:r>
            <w:r w:rsidR="00000000" w:rsidRPr="00000000" w:rsidDel="00000000">
              <w:rPr>
                <w:u w:val="single"/>
                <w:rtl w:val="0"/>
              </w:rPr>
              <w:t xml:space="preserve">2021.gadā</w:t>
            </w:r>
            <w:r w:rsidR="00000000" w:rsidRPr="00000000" w:rsidDel="00000000">
              <w:rPr>
                <w:rtl w:val="0"/>
              </w:rPr>
              <w:t xml:space="preserve"> 1862 EUR), savukārt, ārstniecības un pacientu aprūpes personām un funkcionālo speciālistu asistentiem līdz 1183 EUR (</w:t>
            </w:r>
            <w:r w:rsidR="00000000" w:rsidRPr="00000000" w:rsidDel="00000000">
              <w:rPr>
                <w:u w:val="single"/>
                <w:rtl w:val="0"/>
              </w:rPr>
              <w:t xml:space="preserve">2021.gadā</w:t>
            </w:r>
            <w:r w:rsidR="00000000" w:rsidRPr="00000000" w:rsidDel="00000000">
              <w:rPr>
                <w:rtl w:val="0"/>
              </w:rPr>
              <w:t xml:space="preserve"> 1117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1.janvāra vidējā darba samaksa tarifā ārstiem un funkcionālajiem speciālistiem palielināta līdz 1963 </w:t>
            </w:r>
            <w:r w:rsidR="00000000" w:rsidRPr="00000000" w:rsidDel="00000000">
              <w:rPr>
                <w:i w:val="1"/>
                <w:rtl w:val="0"/>
              </w:rPr>
              <w:t xml:space="preserve">euro </w:t>
            </w:r>
            <w:r w:rsidR="00000000" w:rsidRPr="00000000" w:rsidDel="00000000">
              <w:rPr>
                <w:rtl w:val="0"/>
              </w:rPr>
              <w:t xml:space="preserve">(2021.gadā 1862 </w:t>
            </w:r>
            <w:r w:rsidR="00000000" w:rsidRPr="00000000" w:rsidDel="00000000">
              <w:rPr>
                <w:i w:val="1"/>
                <w:rtl w:val="0"/>
              </w:rPr>
              <w:t xml:space="preserve">euro</w:t>
            </w:r>
            <w:r w:rsidR="00000000" w:rsidRPr="00000000" w:rsidDel="00000000">
              <w:rPr>
                <w:rtl w:val="0"/>
              </w:rPr>
              <w:t xml:space="preserve">), savukārt, ārstniecības un pacientu aprūpes personām un funkcionālo speciālistu asistentiem līdz 1183 </w:t>
            </w:r>
            <w:r w:rsidR="00000000" w:rsidRPr="00000000" w:rsidDel="00000000">
              <w:rPr>
                <w:i w:val="1"/>
                <w:rtl w:val="0"/>
              </w:rPr>
              <w:t xml:space="preserve">euro </w:t>
            </w:r>
            <w:r w:rsidR="00000000" w:rsidRPr="00000000" w:rsidDel="00000000">
              <w:rPr>
                <w:rtl w:val="0"/>
              </w:rPr>
              <w:t xml:space="preserve">(2021.gadā 1117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progresa ziņojuma projektā lietot vienotu pieeju informācijas atspoguļošanai, t.i. norādot finansējumu vai nu pilnos euro, vai miljonos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salabotas finansējuma summas, norādot tās vienotā stilā milj.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informatīvā ziņojuma projekta tekstu 10.lpp. 3 rindkopā no augšas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2021.gada no 1200 uz 1800 EUR mēnesī tika paaugstināts ienākumu slieksnis, līdz kuram piemēro ar iedzīvotāju ienākuma nodokli (turpmāk – IIN) neapliekamo minimumu.", ņemot vērā, ka 1800 EUR mēnesī slieksnis ir ienākumiem virs kuriem nepiemēro diferencēto neapliekamo minimumu. Ierosinām 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 2021.gada no 1200 uz 1800 EUR mēnesī tika paaugstināts ienākumu slieksnis, līdz kuram piemēro ar diferencēto  neapliekamo minimumu, nosakot ar IIN apliekamo 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10.lpp. 3 rindkopas otrais teikums no augšas ir precizēts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2021.gada no 1200 uz 1800 euro mēnesī tika paaugstināts ienākumu slieksnis, līdz kuram piemēro diferencēto  neapliekamo minimumu, nosakot ar iedzīvotāju ienākuma nodokli (IIN) apliekamo ienākumu".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1.Attiecībā uz ziņojuma 2.3.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ir nepieciešams ziņojumā aktualizēt to, ka bezdarbnieku pabalstu sistēma ir nepietiekama. LBAS saprot motivāciju veicināt pēc iespējas ātrāku iekļaušanos darba tirgū, taču  esošais pabalsta apmērs ir nepietiekams un veicina nabadzības palielināšanos, jo īpaši šī brīža ekonomikas izaicinājumu apstākļos. Uzsveram, ka rūpes par darbinieku, kurš zaudējis darbu un par kuru ir maksāti nodokļi, ir jāuzņemas valstij. Līdz ar to ir nepieciešams palielināt bezdarbnieku pabalsta apmēri.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paragrāfu 2.3.sadaļā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izaicinājumi, ar ko saskaras sociālās aizsardzības joma Latvijā, ir zemais sociālās aizsardzības sistēmas finansējums, augstais nabadzības risks (īpaši pensijas vecuma cilvēkiem un bezdarbniekiem), zemā sociālo transfertu ietekme uz nabadzības mazināšanu, kā arī zemais bezdarbnieku pabalsta apmērs palielina nabadzības riska līmenim pakļauto cilvēku skaitu.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komentārs netiks ņemts vērā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Tekstā jau vairākkārt ir norādīts uz nabadzības risku bezdarbniekiem pie īpaši skartajām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LBAS ideja par nepietiekamo pabalsta apmēru jau ir ietverta iepriekšējā teksta daļā “zemā sociālo transfertu ietekme…”. Skaidrojam, ka jēdziens “sociālie transferti” nozīmē “Valsts, pašvaldības piešķirtās pensijas un pabalsti, izmaksātie uzturlīdzekļi bērniem, stipendijas, sociālās apdrošināšanas pabalsti un kompensācijas, tai skaitā arī citu valstu.” (skat.skaidrojumu https://stat.gov.lv/lv/metadati/3578-majsaimniecibu-riciba-esosie-ienakumi-eu-silc-apsekojums/sims2). Tas nozīmē, ka bezdarbnieka pabalsts kā viens no sociālās apdrošināšanas pabalstiem jau ir iekļauts zem kopējā sociālo transfertu ietvara. Nav pamatojuma viena sociālās apdrošināšanas pabalsta izcelšana, ja neuzskaita pilnīgi visus pašvaldību obligāti izmaksājamos pamata sociālās palīdzības pabalstus, 17 valsts sociālos pabalstus un visus valsts sociālās apdrošināšanas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bezdarbnieka pabalsta apmērs ir atkarīgs no darba ņēmēja veiktajām valsts sociālās apdrošināšanas obligātajām iemaksām, tad apgalvojums par to, ka valstij ir jāpalielina pabalsta apmērs, nav piemērojams risinājums ienākumu nodrošinājumam. Šajā situācijā var būt runa par pašvaldības sociālās palīdzības adekvātuma nodrošinājumu vai valsts sociālo pabalstu. Ja iemaksas ir veiktas no legāliem ienākumiem ar atbilstošu darba samaksu, tad būtiskākā problēma noteikti nav pabalsta apmērs, bet ja cilvēks ir maksājis nodokļus no ārkārtīgi zemas algas, vai ļoti īsu laika periodu vai daļu atalgojuma saņēmis nelegāli, tad pamatproblēma nav pabalsta apmēra lielums, bet gan darba devēja un darba ņēmēja rīcība, kur ir vajadzīgi pilnīgi citi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Sadaļas sākumā ir sniegta atsauce uz Sociālās aizsardzības un darba tirgus politikas pamatnostādnēm, kurās daudz izvērstākā un pamatotākā veidā ir analizēti sociāli transferti, identificēti izaicinājumi un piedāvāti risinājumi. Šajā ziņojumā teksts ir veidots atbilstoši ES Padomes rekomendāciju būtībai, nepārkopējot iepriekšminētās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Apgalvojums, ka viena pabalsta apmērs palielina nabadzības riskam pakļauto cilvēku skaitu, nav korekts (metodoloģiski pareizs), jo nabadzības riska novērtējumā ņem vērā kopējos mājsaimniecības ienākumus (gan ienākumus no darba, gan sociālos transfertus).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ziņojuma 2.4.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LBAS atgādina, ka ir nepieciešami atbalsta instrumenti darba devēju ieguldījumā darbinieku izglītībā, proti, gadījumos, kad darba devējs apmaksā darbinieka izglītību, par to netiek iekasēts IIN.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apakšsadaļu “Augstākā izglītība” lūdzam papildināt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jāpanāk, ka darba devēju ieguldījumi cilvēkkapitālā, apmaksājot augstākās izglītības studijas, netiktu apliktas ar darbaspēka nodokļiem.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atskaite Eiropas Komisijai par progresu ES Padomes rekomendāciju izpildē. Tāpēc nacionālā līmeņa diskusijas starp LBAS un politikas veidotājiem nav atspoguļojamas atskaitē Eiropas Komisijai. Aicinām šo LBAS priekšlikumu izvērtēt nacionālā līmeņa diskusijā par darbaspēka nodokļiem un to uzlabošanu.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Papildus norādām, ka būtiskākais resurss mācību procesa un tās fiziskas iespējamības un kvalitātes nodrošināšanai ir pedagogs.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ziņojumu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būtu nepieciešama atsevišķa sadaļa par cilvēkresursu piesaisti un atalgojuma palielināšanu, jo pēdējā pusgada laikā neaizpildītas pedagogu vakances ir paceltas kā īpaša problēma, kas gan gadu gaitā ir uzkrājušās, gan papildus radušās COVID-19 epidemioloģisko ierobežojumu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vajadzētu minēt par budžeta vietu skaita palielināšanu pedagoģijas programmās un kaut kādu atbalsta pasākumu kopumu jaunajiem pedagogiem, kas iet strādāt uz skolām. Šobrīd problēmas rada ne tikai neizpildītas vakances,  bet arī neaizpildītu vakanču skaita palielināšanās,  ņemot vērā to, ka pedagogu novecošanās problēma ir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ziņojumā ir jāietver informācija par darba slodzes sabalansēšanu un darba samaksas pieaugumu, grafiku.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Informatīvais ziņojums papildināts ar vienu rindkopu 19.lpp.: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2022.gada sākuma IZM strādā starpinstitucionālā darba grupa, kuras mandāts ir līdz 2022.gada beigām izstrādāt priekšlikumus pedagogu darba samaksas paaugstināšanai un darba slodžu sabalansēšanai periodam no 2023. gada 1. septembra līdz 2027.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2.4.nodaļas sākumā sadaļā "Izglītības politikas attīstība" apraksta, ka pamatnostādnēs viena no prioritātēm ir augsti kvalificēti pedagogi, lai šo mērķi realizētu atbalsta pasākumi ietverti Izglītības attīstības pamatnostādņu 2021 – 2027 rīcības plānā 2021 – 2023.gadam, kas vēl nav apstiprināts (tādēļ konkrēti pasākumi netiek uzskaitīti). Ziņojuma projekta sadaļā Vispārējās izglītības iestāžu tīklu sakārtošana iekļāvām rindkopu par Starpinstitucionālu darba grupu, kas šobrīd strādā pie priekšlikuma pedagogu darba samaksas paaugstināšanai un darba slodžu sabalansēšanai.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ziņojuma 4.sadaļas 8. mērķi “Cienīgs darbs un ekonomikas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ziņojuma 4.sadaļas 8. mērķi “Cienīgs darbs un ekonomikas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Lai uzlabotu cienīga darba īstenošanu Latvijā, LBAS ieskatā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trīspusējo sociālo dialogu un priekšlikumus darba tiesību izmaiņām veikt tikai ar sociālo partneru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regulāri pārskatīt minimālās algas līmeni, nodrošinot tās atbilstību dzīves dārdzības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ir koplīgumu pārrunu sistēmas uzlabošanu,  un turpmāku attīstību, koplīgumu 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arodbiedrību tiesību īstenošanu praksē, atvieglot streika organizēšanas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darbinieku iesaisti uzņēmuma lēmumu pieņemšanā, stiprinot informēšanas un konsultēšanas tiesību īstenošanu un veicinot  arodbiedrību līdzdalību uzņēmumu valdēs;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sadarbībā ar sociālajiem partneriem veidot politiku un tiesisko regulējumu jauno nodarbinātības formu sakārtošanai un kontroles mehānismu ieviešanai, nodokļu sloga līdzsvarošanai dažādām nodarbinātības formām un tā mazināšanai darbaspēkam.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Adekvāti ienākumi ir viens no cienīga darba indikatoriem (https://www.ilo.org/wcmsp5/groups/public/---dgreports/---integration/documents/publication/wcms_079089.pdf  un https://www.ilo.org/integration/themes/mdw/WCMS_189392/lang--en/index.htm)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apakšsadaļā nav pietiekami atspoguļota Latvijas nodarbināto situāciju, kuru raksturo zemi ienākumu līmeņi, kā arī nabadzības risks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norādīto minimālās algas celšanu, uzsveram, ka 2022. gadā minimālā alga netika pārskatīta un celta, to atliekot uz 2023.gadu. Ņemot vērā, ka pirms 2021. gada minimālās algas līmenis bija nonācis stagnācijā kopš 2018. gada, pat būtiskais pieaugums uz 500 eiro nespēja minimālo darba algu izlīdzināt ar pārējo algu līmeņa izaugsmes tempu iepriekšējos gados, paplašinot plaisu starp zemo un augstāko algu saņēmējiem. Šobrīd ir būtiski virzīties uz sistēmu, kas atbilstoši Eiropas Komisijas priekšlikumu direktīvai par adekvātu minimālo algu ES ļautu minimālo algu piesaistīt pārējai ekonomikas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neto izteiksmē Latvijā noteiktā minimālā darba alga uz pārējo Eiropas Savienības valstu fona ir starp zemākajām, no otrās zemākās pozīcijas bruto algas izteiksmē pakāpjoties uz ceturto zemāko neto izteiksmē, apsteidzot Bulgāriju, Rumāniju un Ungāriju.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norāda, ka starp Baltijas valstīm Latvijā minimālās darba algas saņēmējiem tiek maksāts vismazāk. Viens minimālās darba algas saņēmējs darba devējam Latvijā 2022. gadā izmaksā par 256,7 eiro mazāk kā Igaunijā un par 123,7 eiro mazāk kā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dažādiem nodokļu piemērošanas principiem, kas neļauj tiešā veidā salīdzināt bruto algas visās Baltijas valstīs, tik un tā redzams, ka Latvijā minimālās darba algas neto  ieguvums darbiniekiem ir zemākais. Salīdzinoši - Lietuvā atbilstoši 730 eiro bruto minimālajai algai darbinieks uz rokas saņem 518 eiro vai par 100 eiro vairāk nekā Latvijā. Savukārt Igaunijā pie 654 eiro bruto algas darbinieks uz rokas saņem 603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novērtētu darbinieku ieguvumu un spēju iegādāties preces un pakalpojumus  par uz rokas saņemto minimālo algu, Latvijas Brīvo arodbiedrību savienība parasti izlīdzina uz rokas saņemto minimālo algu pēc patēriņa cenu līmeņa. Ja pieņemam, ka gan Lietuvā, gan Igaunijā patēriņa cenu līmenis būtu vienā līmenī ar Latviju, tad Lietuvas minimālā neto alga būtu vienādā vērtībā ar 554 eiro Latvijā, savukārt Igaunijā – 576 eiro. Tas nozīmē, ka 2022. gadā attiecīgi Lietuvā iedzīvotājs ar mēneša minimālo algu spēj iegādāties preces un pakalpojumus par 136 eiro lielākā vērtībā un Igaunijā par 158 eiro vairāk nekā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nedrīkst pieļaut, ka iedzīvotāji, kuri strādā pilnas slodzes darbu dzīvo nabadzībā, tajā pašā laikā šobrīd ar minimālo algu nepietiek, lai pārvarētu nabadzības slieksni. Kamēr nabadzības riska slieksnis, kā iepriekš tika minēts, 2020. gadā sasniedza 472 eiro mēnesī, 2021. gadā noteiktā minimālā darba alga 500 eiro mēnesī neto izteiksmē darbiniekam nozīmēja 428 eiro ienākumus. LBAS uzskata, ka ir nepieļaujami, ka iedzīvotāji, kuri iesaistās darba tirgū un saņem algu ir spiestas dzīvot zem nabadzības sliekšņa.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4.8.apakšsadaļu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2017. gada 1. janvāri, likums “Par iedzīvotāju ienākuma nodokli” nosaka, ka no nodokļa maksātāja ienākumiem, par kuriem maksā algas nodokli, izslēdz darba devēja apmaksātos darba koplīgumā noteiktos darbinieka ēdināšanas izdevumus, ja netiek pārsniegti 480 eiro gadā (vidēji 40 eiro mēnesī). Nepalielinot jau iepriekš likumā noteiktos atvieglojuma griestus 480 EUR apmērā, sākot ar 2022. gada 1. janvāri ar veselības aprūpes izdevumiem paplašināts no IIN atvieglojamo izdevumu grozs par ko darba devēji un darba ņēmēji var vienoties koplīgumos.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atskaite Eiropas Komisijai par progresu ES Padomes rekomendāciju, ANO Ilgtspējīgas attīstības mērķu izpildē. Tāpēc LBAS priekšlikumi attiecībā uz minimālās algas regulāro pārskatīšanu, koplīgumiem u.tml. ir pārrunājami nacionālajā līmenī ar politikas veidotājiem un nav atspoguļojami atskaitē Eiropas Komisijai. Aicinām šos LBAS priekšlikumus izrunāt nacionālajā līmenī ar politikas veidotājiem.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Cienīga darba svarīgs aspekts ir koplīguma pārrunas, kas ir daļa no vēl viena cienīga darba indikatora – sociālais dialogs.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Koplīgumu pārrunas tiek aizsargātas ar starptautiskajiem tiesību instrumentiem, kas ir saistoši Latvijai. Koplīgumu slēgšana veicina godīgu balansu starp diviem galvenajiem ekonomikas spēlētājiem – darba devējiem un darba ņēmējiem – tiem, kuri dod darbu, un tiem, kuri pilda darbu. Koplīgumi sniedz būtisku uzlabojumu tautsaimniecības, nozaru un uzņēmumu un darbinieku labklājībā. Tie uzlabo darba vietu kvalitāti, veicina cienīgu darbu, pilnveido atlīdzības līmeni, veicina nodarbinātības drošību un aizsardzību un veicina darbinieku ieguldījumu uzņēmumu darbībā. Koplīgumi veicina vienlīdzību, uzlabo uzņēmuma rezultātus, stimulē produktivitātes pieaugumu, ceļ uzņēmuma reputāciju esošo un potenciālo investoru un sabiedrības acīs, uzlabo piekļuvi mūžizglītībai un pielāgo apmācību saturu darbinieku, uzņēmuma un nozares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Noslēgts koplīgums liecina par to, ka uzņēmums maksā nodokļus, legāli nodarbina darbiniekus, rūpējas par darbiniekiem, ņemot vērā to, ka koplīgums tiek slēgts ar mērķi uzlabot darbinieku tiesisko stāvokli, darba apstākļus un sociālās garantijas. Koplīguma esamība nozīmē arī darba samaksas, sociālo garantiju un nodokļu pieaugumu, kā arī ēnu ekonomikas samazinājumu, kas ir viens no valsts pamatmērķiem. Koplīguma esamība pozitīvi ietekmē valsts pamatbudžetu, sociālo budžetu un pašvaldību budžetu un dod iespēju arī izdarīt stratēģiski svarīgus ieguldījumus, tajā skaitā infrastruktūrā, izglītībā, veselības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jāuzsver, ka šobrīd koplīgumu pārklājums Latvijā ir salīdzinoši zems un Latvijā koplīgumu pārrunas salīdzinājumā ar daudzām ES dalībvalstīm atrodas zemā līmenī. LBAS 2021. gadā apkopotie dati par koplīgumu skaitu Latvijā norāda, ka LBAS struktūrās ir noslēgti 1041 uzņēmuma līmeņa koplīgums un 22 ģenerālvienošanās, no kurām 2 ir vispār saistošas – būvniecības un stikla šķiedras ražošanas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un stiprinātu koplīgumu pārrunu sistēmu un veicinātu koplīgumu slēgšanu, LBAS aicina 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kopīgi ar sociāliem partneriem, turpināt paplašināt sociālo partneru koplīgumu, jo īpaši ģenerālvienošanās pārrunu autonomiju   darba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jautājumu un noteikumu klāstu,  kurus var regulēt tieši koplīgumā;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priekšrocības publiskos iepirkumos  uzņēmumiem, kuriem ir noslēgts koplīgums;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 nodokļu slogu noteiktas summas apmērā koplīgumos noteiktajiem labumiem saistībā ar transporta izdevumiem no/uz darbu, profesionālo un augstāko izglītību, darbinieku izmitināšanu dienesta mītnēs un attiecināt minētos atvieglojumus uz sociāli atbildīgiem darba devējiem, proti, darba devējiem, kuri atbilst noteiktiem kritērijiem darba tiesību ievērošanā  un nodokļu nomaksā.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8. mērķa aprakstu ar informāciju par koplīgumu pārrunām.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atskaite Eiropas Komisijai par progresu ES Padomes rekomendāciju izpildē. Tāpēc informācija par nacionālā līmeņa diskusijām starp LBAS un politikas veidotājiem par koplīgumu pārrunām ir diskusiju process, kuru dokumenta specifikas dēļ nevar atspoguļot. Aicinām LBAS šo jautājumu pārrunāt ar politikas veidotājiem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rindkopas otro teikumu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izmaiņas paredz stiprināt uz risku novērtējumu balstītu pieeju, piemērojot NILLTPF novēršanas prasības. Likums, cita starpā, paredzēja ieviest jaunu FID datu saņemšanas un analīzes sistēmu (goAML)[1], nodrošinot iesniegto datu drošību un konfidencialitāti, kā arī uzlabojot to analīzes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Galīgā redakcija: “Normatīvā regulējuma izmaiņas paredz stiprināt uz risku novērtējumu balstītu pieeju, piemērojot NILLTPF novēršanas prasības. Likums, cita starpā, paredzēja ieviest jaunu FID datu saņemšanas un analīzes sistēmu (goAML)[1], nodrošinot iesniegto datu drošību un konfidencialitāti, kā arī uzlabojot to analīzes procesus.”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zemsvītras atsauci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process veiksmīgi īstenots, un 2021. gada 1. oktobrī goAML uzsāka savu darbību, aizstājot Finanšu izlūkošanas dienesta pamatsistēmu un e-ziņošanas sistēmu,, tādējādi būtiski sekmējot viena no noziedzīgi iegūtu līdzekļu legalizācijas, terorisma un proliferācijas finansēšanas novēršanas sistēmas stūrakmeņiem – ziņošanas par aizdomīgiem darījumiem –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zemsvītras atsauce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process veiksmīgi īstenots, un 2021. gada 1. oktobrī goAML uzsāka savu darbību, aizstājot Finanšu izlūkošanas dienesta pamatsistēmu un e-ziņošanas sistēmu,, tādējādi būtiski sekmējot viena no noziedzīgi iegūtu līdzekļu legalizācijas, terorisma un proliferācijas finansēšanas novēršanas sistēmas stūrakmeņiem – ziņošanas par aizdomīgiem darījumiem – 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12. lapas pirmās rindkopas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būtiskiem Finanšu izlūkošanas dienesta darbības pīlāriem ir stratēģiskā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lapas pirmās rindkopas pirmais teikums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būtiskiem Finanšu izlūkošanas dienesta darbības pīlāriem ir stratēģiskā analīze.”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 lapas skaidrojošajā diagrammā sadaļā “APMĀCĪBA, SADARBĪBA UN DISKUSIJAS” priekšpēdējo rindkopu pārcelt kā ceturto rindkopu,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nogalē tika uzsākta virtuālas apmācību platformas veidošana, kurā ievietotas tiesībaizsardzības iestādēm un prokuratūrai paredzētas iepriekš ierakstītas video lekcijas par dažādām ar jomu saistītām tēmām. Apmācību platforma savu darbu uzsāka 2022. gada 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ceturtajā rindkopā “būs pieejami FID jaunizveidotajā apmācību platformā” aizstāt ar vārdiem “ir pieejami FID jaunizveidotajā apmācību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lapas skaidrojošajā diagrammā sadaļā “APMĀCĪBA, SADARBĪBA UN DISKUSIJAS” priekšpēdējā rindkopa pārcelta kā ceturtā rindkopa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nogalē tika uzsākta virtuālas apmācību platformas veidošana, kurā ievietotas tiesībaizsardzības iestādēm un prokuratūrai paredzētas iepriekš ierakstītas video lekcijas par dažādām ar jomu saistītām tēmām. Apmācību platforma savu darbu uzsāka 2022. gada 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ceturtajā rindkopā “būs pieejami FID jaunizveidotajā apmācību platformā” aizstāti ar vārdiem “ir pieejami FID jaunizveidotajā apmācību platformā”;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(FID - 07.04.2022.)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lapas pirmo rindkopu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uzsākts darbs pie FID inovāciju centra (turpmāk – FIDIC) izveides, kas 2022. gada 30. martā tika atklāts ar diskusiju “Sadarbība un inovācijas - nākamais solis nacionālai un globālai drošībai”. FIDIC radīs jaunus starptautiskās sadarbības un izlūkdatu apmaiņas kanālus starp finanšu izlūkdienestiem, tiesībaizsardzības iestādēm un citiem publiskā un privātā sektora partneriem, lai stiprinātu proaktīvu ekonomisko noziegumu apkarošanas kapacitāti, koordinējot jaunu inovatīvu tehnoloģisko, sadarbības un metodisko risinājumu izpēti. FIDIC darbību atbalstīs Atveseļošanas un noturības mehānisms. Tā izlietojums tiek plānots uz vairākiem gadiem, uzsākot to apguvi un pielietošanu 2022. gadā. Atveseļošanas un noturības mehānisma finansējums tiek sadalīts dažādām FIDIC darbībām, bet īpaši nozīmīgs ir tā piešķirtais atbalsts jaunu datu analītikas tehnoloģijas ieguvei un prasmju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lapas pirmā rindkopa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tika uzsākts darbs pie FID inovāciju centra (turpmāk – FIDIC) izveides, kas 2022. gada 30. martā tika atklāts ar diskusiju “Sadarbība un inovācijas - nākamais solis nacionālai un globālai drošībai”. FIDIC radīs jaunus starptautiskās sadarbības un izlūkdatu apmaiņas kanālus starp finanšu izlūkdienestiem, tiesībaizsardzības iestādēm un citiem publiskā un privātā sektora partneriem, lai stiprinātu proaktīvu ekonomisko noziegumu apkarošanas kapacitāti, koordinējot jaunu inovatīvu tehnoloģisko, sadarbības un metodisko risinājumu izpēti. FIDIC darbību atbalstīs Atveseļošanas un noturības mehānisms. Tā izlietojums tiek plānots uz vairākiem gadiem, uzsākot to apguvi un pielietošanu 2022. gadā. Atveseļošanas un noturības mehānisma finansējums tiek sadalīts dažādām FIDIC darbībām, bet īpaši nozīmīgs ir tā piešķirtais atbalsts jaunu datu analītikas tehnoloģijas ieguvei un prasmju attīstīšanai.”.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- 08.04.2022.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4.sadaļas 16.punkta otro teikumu šādā redakcijā "Tiesiskuma stiprināšanai 2021.gada 1.decembrī tika ieviests e-lietas pirmais posms, izveidojot vienotu elektronisku tiesvedības procesu un nodrošinot informācijas apmaiņu starp tiesām, prokuratūru un nolēmumu izpildes iestādēm, procesa dalībniekiem un citām ar tiesvedību saistītu iestāžu informācijas sistēmām, modernizēta procesuālo darbību fiksēšana. Tāpat uzsākta tiesu ekspertīžu institūta reforma, efektivizējot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16.punkta trešajā teikumā svītrot vārdu "komplicētu".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4.sadaļas 16.punkta otro teikumu šādā redakcijā "Tiesiskuma stiprināšanai 2021.gada 1.decembrī tika ieviests e-lietas pirmais posms, izveidojot vienotu elektronisku tiesvedības procesu un nodrošinot informācijas apmaiņu starp tiesām, prokuratūru un nolēmumu izpildes iestādēm, procesa dalībniekiem un citām ar tiesvedību saistītu iestāžu informācijas sistēmām, modernizēta procesuālo darbību fiksēšana. Tāpat uzsākta tiesu ekspertīžu institūta reforma, efektivizējot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4.sadaļas 16.punkta trešajā teikumā svītrot vārdu "komplicētu".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4.nodaļas 16.punkta teikums ir precizēts un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"Tiesiskuma stiprināšanai 2021.gada 1.decembrī tika ieviests e-lietas pirmais posms, izveidojot vienotu elektronisku tiesvedības procesu un nodrošinot informācijas apmaiņu starp tiesām, prokuratūru un nolēmumu izpildes iestādēm, procesa dalībniekiem un citām ar tiesvedību saistītu iestāžu informācijas sistēmām, modernizēta procesuālo darbību fiksēšana. Tāpat uzsākta tiesu ekspertīžu institūta reforma, efektivizējot procesus."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4.nodaļas 16.punkta trešajā teikumā svītrots vārds "komplicētu".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22-TA-1068</w:t>
    </w:r>
    <w:r>
      <w:br/>
    </w:r>
    <w:r w:rsidR="00000000" w:rsidRPr="00000000" w:rsidDel="00000000">
      <w:rPr>
        <w:rtl w:val="0"/>
      </w:rPr>
      <w:t xml:space="preserve">11.04.2022. 12.10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22-TA-1068</w:t>
    </w:r>
    <w:r>
      <w:br/>
    </w:r>
    <w:r w:rsidR="00000000" w:rsidRPr="00000000" w:rsidDel="00000000">
      <w:rPr>
        <w:rtl w:val="0"/>
      </w:rPr>
      <w:t xml:space="preserve">11.04.2022. 12.10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Izziņa_22-TA-1068.docx</dc:title>
</cp:coreProperties>
</file>

<file path=docProps/custom.xml><?xml version="1.0" encoding="utf-8"?>
<Properties xmlns="http://schemas.openxmlformats.org/officeDocument/2006/custom-properties" xmlns:vt="http://schemas.openxmlformats.org/officeDocument/2006/docPropsVTypes"/>
</file>