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24-TA-2442: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Finanšu instrumentu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regulētā tirgus organizētājiem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24-TA-2442</w:t>
    </w:r>
    <w:r>
      <w:br/>
    </w:r>
    <w:r w:rsidR="00000000" w:rsidRPr="00000000" w:rsidDel="00000000">
      <w:rPr>
        <w:rtl w:val="0"/>
      </w:rPr>
      <w:t xml:space="preserve">19.03.2025. 16.38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24-TA-2442</w:t>
    </w:r>
    <w:r>
      <w:br/>
    </w:r>
    <w:r w:rsidR="00000000" w:rsidRPr="00000000" w:rsidDel="00000000">
      <w:rPr>
        <w:rtl w:val="0"/>
      </w:rPr>
      <w:t xml:space="preserve">19.03.2025. 16.38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Izziņa_24-TA-2442.docx</dc:title>
</cp:coreProperties>
</file>

<file path=docProps/custom.xml><?xml version="1.0" encoding="utf-8"?>
<Properties xmlns="http://schemas.openxmlformats.org/officeDocument/2006/custom-properties" xmlns:vt="http://schemas.openxmlformats.org/officeDocument/2006/docPropsVTypes"/>
</file>