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akciju sabiedrības "Latvijas Valsts radio un televīzijas centrs" nodalīšanas pamatotību no valsts akciju sabiedrības "Elektroniskie sakari"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noslēgumā lūdzam iekļaut norādi par to, ka būtu nepieciešams vērtēt iespēju pārskatīt atsevišķu LVRTC nodoto deleģēto funkciju attiecībā uz Valsts elektronisko sakaru pakalpojumu centru (VESPC) un Elektroniskā paraksta attīstību, kā arī atbilstošo uzdevumu sadalījumu starp atbildīgajām ministrijām, ņemot vērā Valdības deklarācijā doto uzdevumu Nr. 234. kā arī šobrīd VARAM pārziņā esošo VESPC darba grupas darbu, kā arī informatīvajam ziņojumam par Eiropas Reģionālās attīstības fonda projekta “E-Identitātes un e-paraksta risinājumu attīstība” ietvaros izveidotās infrastruktūras tālākas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20.12.2022. sēdes protokols Nr. 66 (76. § 7.) dotais uzdevums neskar Valsts elektronisko sakaru pakalpojumu centra nodrošināšanas un elektroniskā paraksta attīstības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(2.lpp.) norādīts, ka “Atbilstoši Elektronisko sakaru likuma (</w:t>
            </w:r>
            <w:r w:rsidR="00000000" w:rsidRPr="00000000" w:rsidDel="00000000">
              <w:rPr>
                <w:u w:val="single"/>
                <w:rtl w:val="0"/>
              </w:rPr>
              <w:t xml:space="preserve">periodā līdz 2010. gadam</w:t>
            </w:r>
            <w:r w:rsidR="00000000" w:rsidRPr="00000000" w:rsidDel="00000000">
              <w:rPr>
                <w:rtl w:val="0"/>
              </w:rPr>
              <w:t xml:space="preserve">) 6. pantā noteiktajam, VAS ES savas kompetences ietvaros plāno radiofrekvenču spektra tehnisko izmantošanu un nosaka radiofrekvenču piešķīrumu radioiekārtas darbībai un patstāvīgi pieņem lēmumus un izdod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aicinām precizēt vārdus “periodā līdz 2010.gadam”, lai būtu skaidri saprotams, kurā brīdī 2004.gada 17.novembrī pieņemtais Elektronisko sakaru likums tika attiecīgi grozīts un grozījumi stājās spēkā. Vēršam uzmanību, piemēram, ka 2010.gadā likums tika grozīts divas reizes – 2010.gada 10.jūnijā (grozījumi stājās spēkā 2010.gada 14.jūlijā) un 2010.gada 16.decembrī (grozījumi stājās spēkā 2011.gada 1.janvārī).  Secināms, ka Eiropas Komisijas pārkāpuma lietā Nr.  2008/2257- norādītās problēmas tika novērstas ar 2010.gada 16.decembrī pieņemtajiem grozījumiem Elektronisko sakaru likumā. Lūdzam to skaidrāk norādīt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w:t>
    </w:r>
    <w:r>
      <w:br/>
    </w:r>
    <w:r w:rsidR="00000000" w:rsidRPr="00000000" w:rsidDel="00000000">
      <w:rPr>
        <w:rtl w:val="0"/>
      </w:rPr>
      <w:t xml:space="preserve">31.01.2023. 11.43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w:t>
    </w:r>
    <w:r>
      <w:br/>
    </w:r>
    <w:r w:rsidR="00000000" w:rsidRPr="00000000" w:rsidDel="00000000">
      <w:rPr>
        <w:rtl w:val="0"/>
      </w:rPr>
      <w:t xml:space="preserve">31.01.2023. 11.43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Izziņa_23-TA-75.docx</dc:title>
</cp:coreProperties>
</file>

<file path=docProps/custom.xml><?xml version="1.0" encoding="utf-8"?>
<Properties xmlns="http://schemas.openxmlformats.org/officeDocument/2006/custom-properties" xmlns:vt="http://schemas.openxmlformats.org/officeDocument/2006/docPropsVTypes"/>
</file>