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23-TA-2824: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Eiropas Savienības nozīmes purvu biotopu atjaunošanas darbības vai degradētu vēsturisko kūdras ieguves vietu renaturalizāciju īpaši aizsargājamās dabas teritorijās bioloģiskās daudzveidības veicināšanai un ekosistēmu pakalpojumu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2.punktā jādzēš vārds "purvu", jo šādā redakcijā tas izslēdz to, ka aktivitātes var tikt realizētas, piemēram, ES nozīmes meža biotopā 91D0* Purvaini meži, kas var būt purva ekosistēmas sastāvdaļa. Bez minētā biotopa veida ir vēl arī citi ES nozīmes meža biotopu veidi, kas ir atkarīgi no paaugstināta mitruma režīma un var būt purva ekosistēmas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norādām, ka, provizoriski vērtējot projekta darbības vietas, būs platības, kurās projekta laikā būs atjaunotas vai uzlabotas īpaši aizsargājamo sugu dzīvotnes, taču ne visas platības būs ES nozīmes biotopi, vismaz ne pārskatāmā nākotnē. Aicinām papildināt ar “īpaši aizsargājamām sugu dzīvotnēm”.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Eiropas Savienības nozīmes biotopu, īpaši aizsargājamo sugu dzīvotņu atjaunošanas darbības vai degradētu vēsturisko kūdras ieguves vietu renaturalizāciju īpaši aizsargājamās dabas teritorijās bioloģiskās daudzveidības veicināšanai un ekosistēmu pakalpojumu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2.punkta redakcija, svītrojot vārdu “purvu”.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Taisnīgas Pārkārtošanās teritoriālo plānu un Kohēzijas politikas programmu šis pasākums ir vērsts uz vēsturisko kūdras ieguves vietu un ES nozīmes biotopu atjaunošanu nevis īpaši aizsargājamo sugu dzīvotņu atjaunošanas vai to stāvokļa uzlabošanas darbību veikšanu. Šī pasākuma īstenošanai var būt netieši pozitīva ietekme uz sugu dzīvotņu stāvokļa uzlabošanos, bet dzīvotņu stāvokļa uzlabošana nav Taisnīgas pārkārtošanās fonda investīciju galvenais mērķis, vien papildinoša darbība jau paredzētajām programmas aktivitātēm. Šāda atbalstāmā darbība ir jau norādīta MK noteikumu 20.1.apakšpunktā.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Eiropas Savienības nozīmes biotopu atjaunošanas darbības vai vēsturisko kūdras ieguves vietu renaturalizāciju īpaši aizsargājamās dabas teritorijās bioloģiskās daudzveidības veicināšanai un ekosistēmu pakalpojumu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atjaunošanā vai vēsturisko kūdras ieguves vietu sanācijā (atjaunojot vai renaturalizējot) zemes platību 1 500 hektāru platībā, projekta tiešajās īstenošanas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noteikumu projektā izmantota neatbilstoša terminoloģija.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 punktā sanācija norādīta kā atjaunošana vai renaturalizācija.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 biotopu atjaunošanā vai vēsturisko kūdras ieguves vietu sanācijā (atjaunojot vai renaturalizējot) […];” nebūs terminoloģiski pareiza.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 punktā norādītais “biotopu atjaunošanā vai vēsturisko kūdras ieguves vietu renaturalizācijā” termina lietojums ir atbalstāms, bet ir pretrunā ar 5.1. punktā lietoto sanācijas terminu, attiecīgi, 5.1. minētais sanācijas termins būtu maināms uz “renaturalizācija”.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noteikumu projekta 30.7. punkts nosaka, ka renaturalizācijas termins, LVM ieskatā, definēts un lietots atbilstoši – “[…] veic vēsturisko kūdras ieguves vietu renaturalizāciju saskaņā ar normatīvajiem aktiem par derīgo izrakteņu vietu rekultivāciju”.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pamatojams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pirmās daļas 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sanācijas pasākumi — pasākumi, kas veicami, lai novērstu kaitējumu, atjaunotu vai attīrītu, atveseļotu vai aizstātu dabas resursus, kuriem nodarīts kaitējums, un ar dabas resursiem saistītās funkcijas, kuras pasliktinājušās, arī pasākumi kaitējuma samazināšanai, novēršanai un pagaidu pasākumi, vai līdzvērtīgu alternatīvu nodrošināšana dabas resursiem vai ar šiem resursiem saistītajām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sanācija — piesārņotas vietas attīrīšana un atveseļošana vismaz līdz tādai pakāpei, ka turpmāk cilvēku veselība vai vide netiek apdraudēta un attiecīgo teritoriju iespējams izmantot noteiktai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VII sadaļa “Piesārņotu un potenciāli piesārņotu vietu izpēte un piesārņotu vietu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panta otrā daļa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Sanācija ietver pasākumus, kas veicami,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novērstu piesārņojuma izplatīšanos vai iekļūšanu pazemes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atjaunotu vai uzlabotu vides kvalitāti piesārņotā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21.augusta noteikumi Nr.570 “Derīgo izrakteņu ieguves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Rekultivācijas mērķis ir nodrošināt pilnvērtīgu ieguves vietas turpmāku izmantošanu pēc derīgo izrakteņu ieguves pabeigšanas, novērst draudus cilvēku veselībai un dzīvībai un apkārtējai videi, kā arī sekmēt ieguves vietas iekļaušanos ainavā.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Kūdras ieguves vietas rekultivē: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veicot renaturalizāciju (purvam raksturīgās vides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renaturalizācija ir viens no degradētas purva vides atjaunošanas jeb rekultivācijas veidiem. Tātad purvam raksturīgās vides atjaunošana. Attiecīgi piedāvājam vēsturisko kūdras ieguves vietu rekultivācijas kontekstā lietot terminu “renaturalizācija”.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5.1.apakšpunkta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projektā un anotācijā termina “sanācija” lietošana, tiek veikta saskaņā ar Vides aizsardzības likumā noteikto terminoloģiju par dabas resursu kaitējuma novēršanu, kas, šī pasākuma kontekstā būtu saprotama kā darbības degradētu biotopu labvēlīga stāvokļa atjaunošanai un kūdras ieguves vietu renaturalizācija, tādejādi termins “sanācija” ir plašāks un atbilstošs abiem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termins “sanācija” ir  minēts arī Taisnīgas Pārkārtošanās fonda regulā (ES) 2021/1056, kurā šis termins tiek lietots kā oficiāls tulkojums iznākuma rādītājam, kurš ir piemērojams arī šim pasākumam  un nacionālajos normatīvajos aktos tas nav maināms.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šo MK noteikumu projekta ietvaros lietoto terminu “sanācija”, “renaturalizācija”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30.7. apakšpunkts ir atbilstošs veids, kā lieto atsauces uz normatīvajiem aktiem atbilstoši Ministru kabineta 2009.gada 3.februāra noteikumu Nr. 108 “Normatīvo aktu projektu sagatavošanas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atjaunošanā vai vēsturisko kūdras ieguves vietu renaturalizācijā 1 500 hektāru platībā, projekta tiešajās īstenošanas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rezultāta rādītājs - atjaunotas degradētas ekosistēmas. Rezultāta rādītāja vērtība tiek sasniegta, ja pasākuma ietvaros veikti ieguldījumi Eiropas Savienības nozīmes biotopu atjaunošanā vai vēsturisko kūdras ieguves vietu renaturalizācijā  šo noteikumu</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minētajā platībā, kopumā labvēlīgi ietekmējot teritoriju  vismaz 4 046 hektāru platībā.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5.2. punktā minēto “kopumā labvēlīgi ietekmējot teritoriju  vismaz 4 046 hektāru platībā”, aicinām pievienot arī metodiku, pēc kuras šis vērtējums ir veicams. Piemēram, ja tiek atjaunota medņu dzīvotne 10  ha platībā, tas kaut kādā mērā labvēlīgi ietekmēs visu medņu riestu, bet ir jābūt saprotamiem principiem, pēc kā to novērtēt, vai noteiktai atbildībai un tai sekojošai paļāvībai. Konkrēto piemēru var interpretēt dažādi – labvēlīgi ietekmētā teritorija var būt 20 ha, kur projekta aktivitāšu rezultātā ir pamainījies hidroloģiskais režīms un varam arī uzskatīt, ka labvēlīgi ir ietekmēti 200 ha jeb platība, ko apdzīvo mednis konkrētajā riestā.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5.1. apakšpunkts nosaka, ka ir jāveic ieguldījumi Eiropas Savienības nozīmes biotopu atjaunošanā vai vēsturisko kūdras ieguves vietu atjaunošanā/ renaturalizācijā zemes platībai 1 500 hektāru platībā, projekta tiešajās īstenošanas vietās. MK noteikumu projekta 5.2.apakšpunkts nosaka, ka pasākuma ietvaros ir jāsasniedz kopējā labvēlīgi ietekmētā teritorija   vismaz 4 046 hektāru platībā. Šo skaitli veido 5.1.apakšpunktā minētie 1500 ha, kā arī bāzes vērtība, kas ir veidojusies no iepriekš veiktiem projektiem – 2546 ha apmērā (šis skaitlis uz LVM/DAP nav saistošs) un aprēķins veikts sekojoši – tiek summēta iepriekš iegūtā bāzes vērtība ar šajā pasākumā iegūstamo rezultātu, tādejādi iegūstot 5.2.apakšpunktā minēto skaitli – 4046ha ( 2546 +1500 = 4046 ha) . Līdz ar to, īstenojot 6.1.1.7.pasākuma darbības, LVM sadarbībā ar DAP ir jāīsteno Eiropas Savienības nozīmes biotopu atjaunošanas vai vēsturisko kūdras ieguves vietu renaturalizācija darbības zemes platībai 1 500 hektāru platībā, projekta tiešajās īstenošanas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rezultāta rādītājs - atjaunotas degradētas ekosistēmas. Rezultāta rādītāja vērtība tiek sasniegta, ja pasākuma ietvaros veikti ieguldījumi Eiropas Savienības nozīmes biotopu atjaunošanā vai vēsturisko kūdras ieguves vietu renaturalizācijā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minētajā platībā, kopumā labvēlīgi ietekmējot teritoriju  vismaz 4 046 hektāru platībā.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īstenošanai plānotais un pieejamais kopējais attiecināmais finansējums ir vismaz 7 058 824 euro, tai skaitā Taisnīgas pārkārtošanās fonda finansējums - 6 000 000 euro un nacionālais līdzfinansējums, ko veido valsts budžeta līdzfinansējums – vismaz 1 058 824 euro un privātais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svītrojot vārdu “vismaz” attiecībā uz valsts budžeta līdzfinansējumu, ņemot vērā, ka attiecībā uz valsts budžeta līdzfinansējumu ir jānosaka konkrēts apmērs, kas attiecīgā pasākuma īstenošanai tiek apstiprināts. Vienlaikus attiecībā uz privāto finansējumu, ņemot vērā anotācijā un izziņā sniegto informāciju, lūdzam to izteikt kā atsevišķu teikumu, paredzot, ka privātais finansējums tiek paredzēts, ja pasākuma īstenošanai nepieciešamais finansējums pārsniedz maksimāli iespējamo Taisnīgas pārkārtošanās fonda un valsts budžeta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lūdzam atbilstoši pārskatīt un precizēt noteikumu projekta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8. punkts. Pievienots papildu teikums, skaidrojot privātā finansējuma izmantošanu. Vienlaikus skaidrojam, ka MK noteikumu projekta 8. punktam un 10.punktam jānosaka ne tikai finansējuma apjoms pasākumam, bet arī finansējuma veidi un to avoti nodrošinot, ka ES fondu finansējumu nepārsniedz 85% no projekta attiecināmajām izmaksām un minimālo nacionālā līdzfinansējuma apmēru. Valsts budžeta konkrēts apmērs ir noteikts MK noteikumu 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īstenošanai plānotais un pieejamais kopējais attiecināmais finansējums ir vismaz 7 058 824 euro, tai skaitā Taisnīgas pārkārtošanās fonda finansējums - 6 000 000 euro un nacionālais līdzfinansējums, ko veido valsts budžeta līdzfinansējums –  1 058 824 euro un privātais finansējums. Privātais finansējums tiek paredzēts, ja pasākuma īstenošanai nepieciešamais finansējums pārsniedz maksimāli iespējamo Taisnīgas pārkārtošanās fonda un valsts budžeta līdzfinansējuma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īstenošanai plānotais un pieejamais kopējais attiecināmais finansējums ir vismaz 7 058 825 euro, tai skaitā TPF finansējums – 6 000 000 euro un nacionālais līdzfinansējums, ko veido privātais un valsts budžeta līdzfinansējums, – vismaz 1 058 825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noteikumu projekta 8.punktā un anotācijā norādīto informāciju par investīcijas ietvaros plānoto līdzfinansējuma avotu, t.sk. norādot precīzu privātā finansējuma apmēru, ja tāds tiek plānots. Vēršam uzmanību, ka informācija ir savstarpēji pretrunīga, jo no anotācijas izriet, ka nepieciešamo līdzfinansējumu 1 058 825 EUR apmērā plānots nodrošināt no valsts budžeta līdzekļiem, turklāt anotācijas 1.3. sadaļā un 3.sadaļā norādīts, ka projekta ietvaros privātais līdzfinansējums paredzēts tikai kā papildu finansējuma avots gadījumos, ja tiek pārsniegta Taisnīgā pārkārtošanās fonda  un valsts budžeta līdzfinansējuma attiecināmā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netiek pārsniegta 85% Taisnīgā pārkārtošanās fonda  atbalsta intensitāte, lūdzam precizēt noteikumu projekta 8.punktā norādīto pasākuma kopējo pieejamo finansējumu uz 7 058 824 EUR un nacionālo līdzfinansējumu uz 1 058 824 EUR. Atbilstošus precizējumus lūdzam nodrošināt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projekta īstenotājs/finansējuma saņēmējs ir kapitālsabiedrība, lūdzam anotācijas 1.3.sadaļu papildināt ar informāciju, kāpēc pasākuma ietvaros nacionālais līdzfinansējums jānodrošina no valsts budžeta līdzekļiem nevis no kapitālsabiedrības līdzekļiem, norādot plašāku skaidrojumu nekā tikai valsts pārvaldes deleģēto funkciju īstenošana un valsts pārvaldes uzdevumu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8.punktā un anotācijas sadaļās - prasības projekta iesniedzējam un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gadījumos, kad tiek deleģēta pārvaldes uzdevumu izpilde, tiek nodrošināts finansējums šī pārvaldes uzdevuma izpildei. Atsevišķos gadījumos tiek nodrošināti arī materiālie aktīvi, kas nepieciešami pārvaldes uzdevuma izpildei. Plašāks skaidrojums anotācijas sadaļā “Prasības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īstenošanai plānotais un pieejamais kopējais attiecināmais finansējums ir vismaz 7 058 824 euro, tai skaitā Taisnīgas pārkārtošanās fonda finansējums - 6 000 000 euro un nacionālais līdzfinansējums, ko veido valsts budžeta līdzfinansējums –  1 058 824 euro un privātais finansējums. Privātais finansējums tiek paredzēts, ja pasākuma īstenošanai nepieciešamais finansējums pārsniedz maksimāli iespējamo Taisnīgas pārkārtošanās fonda un valsts budžeta līdzfinansējuma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pirms projekta iesniegšanas, ar sadarbības partneri slēdz rakstveida sadarbības līgumu par pušu pienākumiem tiesībām un atbildību projekta mērķa, rezultātu un rādītāju sasniegšanā un šo noteikumu </w:t>
            </w:r>
            <w:r w:rsidR="00000000" w:rsidRPr="00000000" w:rsidDel="00000000">
              <w:rPr>
                <w:rtl w:val="0"/>
              </w:rPr>
              <w:t xml:space="preserve">30. </w:t>
            </w:r>
            <w:r w:rsidR="00000000" w:rsidRPr="00000000" w:rsidDel="00000000">
              <w:rPr>
                <w:rtl w:val="0"/>
              </w:rPr>
              <w:t xml:space="preserve">punktu</w:t>
            </w:r>
            <w:r w:rsidR="00000000" w:rsidRPr="00000000" w:rsidDel="00000000">
              <w:rPr>
                <w:rtl w:val="0"/>
              </w:rPr>
              <w:t xml:space="preserve"> noteikto prasību nodrošināšanā, kā arī sadarbības partnera izveidotās infrastruktūras un atjaunoto teritoriju uzturēšanā.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svītrojot piebildi “kā arī sadarbības partnera izveidotās infrastruktūras un atjaunoto teritoriju uzturēšanā.”, ņemot vērā, ka LVM kā publiskas personas kapitālsabiedrība nevar veikt ieguldījumus (investīcijas) citas personas īpašumā/ valdījumā esošās zemēs atbilstoši Publiskas personas finanšu līdzekļu un mantas izšķērdēšanas novēršanas likuma noteikumiem. Pienākumam nodrošināt sadarbības partnera izveidotās infrastruktūras un atjaunoto teritoriju uzturēšanu ir jāgulstas uz sadarbības partneri, tas tiktu atrunāts ar sadarbības partneri slēdzamajā rakstveida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pirms projekta iesniegšanas, ar sadarbības partneri slēdz rakstveida sadarbības līgumu par pušu pienākumiem tiesībām un atbildību projekta mērķa, rezultātu un rādītāju sasniegšanā un šo noteikumu 30. punktu noteikto prasību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14.punkta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pirms projekta iesniegšanas, ar sadarbības partneri slēdz rakstveida sadarbības līgumu par pušu pienākumiem tiesībām un atbildību projekta mērķa, rezultātu un rādītāju sasniegšanā un šo noteikumu </w:t>
            </w:r>
            <w:r w:rsidR="00000000" w:rsidRPr="00000000" w:rsidDel="00000000">
              <w:rPr>
                <w:rtl w:val="0"/>
              </w:rPr>
              <w:t xml:space="preserve">30. </w:t>
            </w:r>
            <w:r w:rsidR="00000000" w:rsidRPr="00000000" w:rsidDel="00000000">
              <w:rPr>
                <w:rtl w:val="0"/>
              </w:rPr>
              <w:t xml:space="preserve">punkt</w:t>
            </w:r>
            <w:r w:rsidR="00000000" w:rsidRPr="00000000" w:rsidDel="00000000">
              <w:rPr>
                <w:rtl w:val="0"/>
              </w:rPr>
              <w:t xml:space="preserve">ā noteikto prasību nodrošināšanā.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iesaistās projekta īstenošanā ar saviem resursiem, tai skaitā ar tā īpašumā, valdījumā, turējumā vai lietojumā esošo nekustamo īpašumu vai finansējumu, kā arī nodrošina projekta ietvaros sadarbības partnera izveidotās infrastruktūras un atjaunoto teritoriju uzturēšanu visā projekta dzīves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svītrojot piebildi “kā arī nodrošina projekta ietvaros sadarbības partnera izveidotās infrastruktūras un atjaunoto teritoriju uzturēšanu visā projekta dzīves laikā.”, ņemot vērā, ka LVM kā publiskas personas kapitālsabiedrība nevar veikt ieguldījumus (investīcijas) citas personas īpašumā/ valdījumā esošās zemēs atbilstoši Publiskas personas finanšu līdzekļu un mantas izšķērdēšanas novēršanas likuma noteikumiem. Pienākumam nodrošināt sadarbības partnera izveidotās infrastruktūras un atjaunoto teritoriju uzturēšanu ir jāgulstas uz sadarbības partneri, tas tiktu atrunāts ar sadarbības partneri slēdzamajā rakstveida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iesaistās projekta īstenošanā ar saviem resursiem, tai skaitā ar tā īpašumā, valdījumā, turējumā vai lietojumā esošo nekustamo īpašumu vai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15.2.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iesaistās projekta īstenošanā ar saviem resursiem, tai skaitā ar tā īpašumā, valdījumā, turējumā vai lietojumā esošo nekustamo īpašumu vai finansējumu, kā arī nodrošina projekta ietvaros izveidotās infrastruktūras un atjaunoto teritoriju uzturēšanu visā projekta dzīves ciklā.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iesaistās projekta īstenošanā ar saviem resursiem, tai skaitā ar tā īpašumā, valdījumā, turējumā vai lietojumā esošo nekustamo īpašumu vai finansējumu, kā arī nodrošina projekta ietvaros sadarbības partnera izveidotās infrastruktūras un atjaunoto teritoriju uzturēšanu visā projekta dzīves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punktos 15.2., 30.6., 30.9., 30.11. un 33. ir lietots jēdziens "projekta dzīves laiks". Anotācijā minēts "projekta dzīves cikls", bet nav konkrēti norādīts, cik tas ir laika izteiksmē (gados). Lūdzam salāgot terminoloģiju MKN un anotācijā un precīzi norādīt, kāds (gados) ir projekta dzīves cikls.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un anotācijā visur izmantots termins  “projekta dzīves cikls”.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zem Komercdarbības atbalsta nosacījumiem minēts: 6.1.1.7. pasākuma ietvaros projekta dzīves cikls ir 30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iesaistās projekta īstenošanā ar saviem resursiem, tai skaitā ar tā īpašumā, valdījumā, turējumā vai lietojumā esošo nekustamo īpašumu vai finansējumu, kā arī nodrošina projekta ietvaros izveidotās infrastruktūras un atjaunoto teritoriju uzturēšanu visā projekta dzīves ciklā.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atbilstoši sadarbības iestādes izstrādātajiem metodiskajiem norādījumiem veic izmaksu un ieguvumu analīzi. Ja projektā plānoti ieņēmumi, tie nepārsniedz 50 procentus no infrastruktūras un atjaunoto teritoriju uzturēšanas izdevumiem.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izpratni, ka projekta iesniedzējam ir pienākums ievērot, ka ieņēmumi projekta dzīves laikā ikgadēji nepārsniedz 50 procentus no izdevumiem, lūdzam precizēt noteikumu projekta 17.punktu. Atbilstoši aicinām precizēt arī anotācijā ietverto skaidrojumu par ikgadējo nosacījuma ievērošanu, vienlaikus papildinot sniegto skaidrojumu arī ar informāciju par to, kā no atbalsta sniedzēju puses tiks īstenota šī nosacījuma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 ir projekta, un tātad līguma par projekta īstenošanu, neatņemama sastāvdaļa un projekta īstenotājiem ir pienākums izpildīt uzņemtās saistības. Centrālā finanšu un līgumu aģentūra (turpmāk – CFLA) veic pasākuma uzraudzību visu projekta dzīves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projekta 17.punktu un 30.6. apakšpunktu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atbilstoši sadarbības iestādes izstrādātajiem metodiskajiem norādījumiem veic izmaksu un ieguvumu analīzi. Ja projektā plānoti ieņēmumi, tie projekta dzīves ciklā ikgadēji nepārsniedz 50 procentus no infrastruktūras un atjaunoto teritoriju uzturēšanas izdevumiem.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biotehnisku (visa veida pasākumi vietas stāvokļa uzlabošanai, piemēram, nevēlamā koku/ krūmu/ zemsedzes apauguma likvidēšana, invazīvo sugu ierobežošana, biotopam raksturīgās zemsedzes veģetācijas/ struktūru atjaunošana, sugu dzīvotņu uzlabošana, atjaunošana vai veidošana u.tml.) un hidrotehnisku pasākumu veikšana (t.sk. būvniecība inženierbūvju un meliorācijas grāvju likvidēšanai, izveidei vai atjaunošanai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noteikumu projekta punkta redakcija ļauj izdarīt secinājumu, ka attiecībā uz “nevēlamā koku/ krūmu/ zemsedzes apauguma likvidēšana” apauguma novākšanas izmaksas tiks atmaksātas, piemēram, gadījumos, ja nozāģētais apaugums tiks atstāts ceļos vai izklaidus (darbības rezultātā netiek iegūti koksnes produkti!).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definēt precīzāk, nepārprotami, lai nerastos interpretācijas iespējas vai jautājumi par to, ka izmaksas, kas saistītas ar apauguma likvidēšanu, tiks kompensētas pie nosacījuma, ja nozāģētais apaugums tiek atstāts, piemēram, ceļos vai izklaidus.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gaitā ir atbalstāmas darbības, kas noteiktas MK noteikumu projekta 20.punktā. Attiecībā uz MK noteikumu projekta 20.1. apakšpunktu tiek minēts, ka projektā ir atbalstāmas darbības biotehnisku un hidrotehnisku pasākumu veikšana, bet šo MK noteikumu projekta 22. punkts nosaka, ka šo darbību saistītās izmaksas var  uzskatīt par tiešajām attiecināmajām izmaksām. Anotācijā komercdarbības atbalsta nosacījumu sadaļā tiek paskaidrots un MK noteikumu projekta 17.punkts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Ieņēmumiem (par koksnes produktiem), kas radušies (nevēlamo koku/krūmu/ zemsedzes likvidācijas rezultātā) projekta īstenošanas laikā jābūt norādītiem ieņēmumu un izmaksu analīzē attiecīgi, pasākuma īstenotāji drīkst veikt 20.1. apakšpunktā minētās atbalstāmās darbības un gūt ienākumus, ja tie ir norādīti ieņēmumu un izmaksu analīzē un tie projekta dzīves ciklā ikgadēji nedrīkst pārsniegt 50 procentus no infrastruktūras un atjaunoto teritoriju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LVM un DAP jāņem vērā  Publiskas personas finanšu līdzekļu un mantas izšķērdēšanas novēršanas likuma noteikumi attiecībā uz projekta laikā gūtajiem resursiem un to tālāku izmantošanu. Norādām, ka ES fondu atbalsts nav paredzēts, lai dubultā kompensētu projekta laikā iegūto materiālu vērtību. Vienlaikus norādām, ka 20.1. apakšpunkts nelimitē nosacījumus par koksnes izmantošanu atkarībā no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biotehnisku (visa veida pasākumi vietas stāvokļa uzlabošanai, piemēram, nevēlamā koku/ krūmu/ zemsedzes apauguma likvidēšana, invazīvo sugu ierobežošana, biotopam raksturīgās zemsedzes veģetācijas/ struktūru atjaunošana, sugu dzīvotņu uzlabošana, atjaunošana vai veidošana u.tml.), hidrotehnisko un melioratīvo pasākumu veikšana (t.sk. būvniecība inženierbūvju un meliorācijas grāvju likvidēšanai, izveidei vai atjaunošanai u.tml.);</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projektiem plāno tiešās un netiešās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paredzēt attiecināmās izmaksas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sagatavošanai, lai tā būtu labi uztverama personām ar garīga rakstura traucējumiem, lasītprasmes vai uztveres grūtībām, būs nepieciešami zīmju valodas tulku, vieglās valodas tulkošanas, reāllaika transkripcijas, subtitru nodrošināšanas  pakalpojumi. Savukārt, lai nodrošinātu atbilstošus risinājumus publiskās infrastruktūras piekļūstamības nodrošināšanai, ir jāparedz izmaksas vides piekļūstamības ekspertu konsultāciju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vides piekļūstamības ekspertu konsultāciju nodrošināšanai, ja tās ir nepieciešamas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jauns MK noteikumos apakšpunkts 22.12.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projektiem plāno tiešās un netiešās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Tiešās attiecināmās izmaksas ietver šādas izmaksu pozīcijas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 Vēršam uzmanību, ka arī vienkāršoto izmaksu izvērtējumā “Vienkāršoto izmaksu piemērošanas iespējas 2021.-2027. gada ES fondu plānošanas periodā” 6.1.1.7.pasākums norādīts kā viens no tiem, kam  vienkāršoto izmaksu piemērošana ir ar augstāku praktisko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sniegts pamatojums esošajam vienkāršoto izmaksu piemērošanas modelim. Anotācijā ir sniegta papildus informācija par to, ka MK noteikumu  projekta izstrādē tika izvērtēta arī vienkāršoto izmaksu piemērošana un tika secināts, ka pastāv vispārināšanas risks, kas var precīzi neatspoguļot standartizētus izmaksu aprēķinus vai fiksētas likmes. Tā rezultātā specifiskos gadījumos vienkāršoto izmaksu piemērošana var pilnā apmērā nesegt radušās izmaksas. Kā arī skaidrojam, ka katra vēsturiskā kūdras ieguves vieta vai ES nozīmes biotops ir unikāls ar tikai tam piemītošu teritorijas ietekmējošo ekoloģisko, bioloģisko, fizikālo un ķīmisko faktoru kopumu. Sekojoši, darbības, kas jāveic katrā no pasākuma īstenošanas teritorijām būtiski atšķirsies gan pēc to veida, gan amplitūdas. Piemēram, vēsturiskajās kūdras ieguves vietās var nākties likvidēt meliorācijas grāvjus, kas var ievērojami atšķirties pēc to garuma/izmēra un uzkrātā ūdens apjoma, var nākties nograut dambjus vai pretēji - atsevišķās teritorijās var būt nepieciešama  dambju vai līdzīgas infrastruktūras būvniecība. Tā pat, katrā projekta īstenošanas teritorijā nepieciešamās darbības projekta mērķu sasniegšanai katrai individuālajai teritorijai  specifiski nosaka atbilstošs speciālists, kā, piemēram, sugu un biotopu eksperts, hidroģeologs, hidrologs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Tiešās attiecināmās izmaksas ietver šādas izmaksu pozīcijas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autoruzraudzības un būvdarbu būvuzraudzības izmaksas, ja to veikšanu nosaka būvniecības jomu regulējošie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22.2.apakšpunktu ar nosacījumu, ka izmaksas nepārsniedz 10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attiecināmības nosacījumiem Eiropas Savienības kohēzijas politikas programmas 2021.-2027.gada plānošanas periodā projekta iesnieguma pamatojošās dokumentācijas sagatavošanas izmaksas, būvuzraudzības, autoruzraudzības, būvprojekta tehniskā projekta vai skiču projekta stadijā izmaksas, energosertifikācijas un energoaudita izmaksas kopā ir attiecināmas līdz 10 procentiem no projekta kopējām attiecināmajām izmaksām, ja tas ir noteikts Ministru kabineta noteikumos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 punkts par projekta iesnieguma un īstenošanas pamatojošās dokumentācijas sagatavošanas izmaksām ar 22.1.8. apakšpunktu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būves nojaukšanas un teritorijas attīrīšanas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noteikumu redakcija ļauj izdarīt secinājumu, ka attiecībā uz “teritorijas attīrīšanas izmaksas” apauguma novākšanas izmaksas tiks atmaksātas, piemēram, gadījumos, ja nozāģētais apaugums tiks atstāts ceļos vai izklaidus (darbības rezultātā netiek iegūti koksnes produkti!).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definēt precīzāk, nepārprotami, lai nerastos interpretācijas iespējas vai jautājumi par to, ka izmaksas, kas saistītas ar apauguma likvidēšanu, tiks kompensētas pie nosacījuma, ja nozāģētais apaugums tiek atstāts, piemēram, ceļos vai izklaidus.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punktu Nr.9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būves nojaukšanas un teritorijas attīrīšanas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biotehnisku un hidrotehnisku pasākumu (t.sk. būvdarbu) veikšanas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noteikumu redakcija ļauj izdarīt secinājumu, ka attiecībā uz “biotehnisku pasākumu” apauguma novākšanas izmaksas tiks atmaksātas, piemēram, gadījumos, ja nozāģētais apaugums tiks atstāts ceļos vai izklaidus (darbības rezultātā netiek iegūti koksnes produkti!).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definēt precīzāk, nepārprotami, lai nerastos interpretācijas iespējas vai jautājumi par to, ka izmaksas, kas saistītas ar apauguma likvidēšanu, tiks kompensētas pie nosacījuma, ja nozāģētais apaugums tiek atstāts, piemēram, ceļos vai izklaidus.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punktu Nr.9.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biotehnisku, hidrotehnisku un melioratīvo pasākumu (t.sk. būvdarbu) veikšanas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darba vietas aprīkojuma iegādes izmaksas jaunu darba vietu radīšanai vai esošo darba vietu atjaunošanai, uzturēšanai un remontam ne vairāk kā 3000 euro apmērā vienai darba vietai visā projekta īstenošanas laikā personālam, kas projektā ir nodarbināts vismaz 30 procentus darba laika,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22.12.apakšpunktu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vietas aprīkojuma iegādes izmaksas jaunu darba vietu radīšana vai gadījumos, ja esošo darba vietu aprīkojums ir nolietojies un tiek norakstīts, uzturēšanai un remontam ne vairāk kā 3000 euro apmērā vienai darba vietai visā projekta īstenošanas laikā personālam, kas projektā ir nodarbināts vismaz 30 procentus darba laika,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22.11.apakšpunkta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 darba vietas aprīkojuma iegādes izmaksas jaunu darba vietu radīšana vai gadījumos, ja esošo darba vietu aprīkojums ir nolietojies un tiek norakstīts, uzturēšanai un remontam ne vairāk kā 3000 euro apmērā vienai darba vietai visā projekta īstenošanas laikā personālam, kas projektā ir nodarbināts vismaz 30 procentus darba laika,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izstrādā nosacījumus, kā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finansējuma saņēmējs un sadarbības partneris paraksta apliecinājumu par interešu konflikta neesamību, lai tiktu ievērotas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30.8. apakšpunktu ar prasību, ka finansējuma saņēmējs un sadarbības partneris izstrādā nosacījumus, kā pārliecinās arī par krāpšanas un korupcijas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izstrādā nosacījumus, kā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neesamību, lai tiktu ievērotas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30.8 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izstrādā nosacījumus, kā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kā arī paraksta apliecinājumu par interešu konflikta neesamību, lai tiktu ievērotas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nodrošina horizontālo principu “Nenodarīt būtisku kaitējumu”, “Klimatdrošināšana”, un “Vienlīdzība, iekļaušana, nediskriminācija un pamattiesību ievērošana” ievērošanu, datu uzkrāšanu un to ievadi Kohēzijas politikas fondu vienotās informācijas sistēmā projekta īstenošanas un pēcuzraudzības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nav noteikta prasība uzkrāt informāciju par horizontālo principu īstenošanu pēcuzraudzības periodā, tāpat lūdzam redakcionāli precizēt sistēmas nosaukumu un iekļaut konkrētu horizontālā principa “Vienlīdzība, iekļaušana, nediskriminācija un pamattiesību ievērošana” rādītāju, par kuru būtu uzrkājami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nodrošina horizontālo principu “Nenodarīt būtisku kaitējumu”, “Klimatdrošināšana”, un “Vienlīdzība, iekļaušana, nediskriminācija un pamattiesību ievērošana” ievērošanu un </w:t>
            </w:r>
            <w:r w:rsidR="00000000" w:rsidRPr="00000000" w:rsidDel="00000000">
              <w:rPr>
                <w:b w:val="1"/>
                <w:rtl w:val="0"/>
              </w:rPr>
              <w:t xml:space="preserve">par horizontālā principa “Vienlīdzība, iekļaušana, nediskriminācija un pamattiesību ievērošana” rādītāja "</w:t>
            </w:r>
            <w:r w:rsidR="00000000" w:rsidRPr="00000000" w:rsidDel="00000000">
              <w:rPr>
                <w:b w:val="1"/>
                <w:i w:val="1"/>
                <w:rtl w:val="0"/>
              </w:rPr>
              <w:t xml:space="preserve">norādīt konkrētu rādītāju" </w:t>
            </w:r>
            <w:r w:rsidR="00000000" w:rsidRPr="00000000" w:rsidDel="00000000">
              <w:rPr>
                <w:b w:val="1"/>
                <w:rtl w:val="0"/>
              </w:rPr>
              <w:t xml:space="preserve">sasniegtajām vērtībām</w:t>
            </w:r>
            <w:r w:rsidR="00000000" w:rsidRPr="00000000" w:rsidDel="00000000">
              <w:rPr>
                <w:b w:val="1"/>
                <w:i w:val="1"/>
                <w:rtl w:val="0"/>
              </w:rPr>
              <w:t xml:space="preserve"> </w:t>
            </w:r>
            <w:r w:rsidR="00000000" w:rsidRPr="00000000" w:rsidDel="00000000">
              <w:rPr>
                <w:rtl w:val="0"/>
              </w:rPr>
              <w:t xml:space="preserve">datu uzkrāšanu un ievadi Kohēzijas politikas fondu </w:t>
            </w:r>
            <w:r w:rsidR="00000000" w:rsidRPr="00000000" w:rsidDel="00000000">
              <w:rPr>
                <w:b w:val="1"/>
                <w:rtl w:val="0"/>
              </w:rPr>
              <w:t xml:space="preserve">vadības</w:t>
            </w:r>
            <w:r w:rsidR="00000000" w:rsidRPr="00000000" w:rsidDel="00000000">
              <w:rPr>
                <w:rtl w:val="0"/>
              </w:rPr>
              <w:t xml:space="preserve">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30.12. apakšpunkts, t.sk. ņemot vērā LM iebildumu un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nodrošina horizontālo principu “Nenodarīt būtisku kaitējumu”, “Klimatdrošināšana”, un “Vienlīdzība, iekļaušana, nediskriminācija un pamattiesību ievērošana” ievērošanu un par horizontālā principa “Vienlīdzība, iekļaušana, nediskriminācija un pamattiesību ievērošana” par šādu rādītāju sasniegtajām vērtībām datu uzkrāšanu un ievadi Kohēzijas politikas fondu vadības informācijas sistēmā un ziņošanu: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nodrošina horizontālo principu “Nenodarīt būtisku kaitējumu”, “Klimatdrošināšana”, un “Vienlīdzība, iekļaušana, nediskriminācija un pamattiesību ievērošana” ievērošanu, datu uzkrāšanu un to ievadi Kohēzijas politikas fondu vienotās informācijas sistēmā projekta īstenošanas un pēcuzraudzības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ieviešanas uzraudzību, atbilstoši HP vadlīnijās [1] noteiktajam, lūdzam rast iespēju papildināt MK noteikumu projektu ar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uzkrāt datus par horizontālā principa “Vienlīdzība, iekļaušana, nediskriminācija un pamattiesību ievērošana”  HP rādītājiem, par kuru redakcijas ir definētas projektu iesniegumu vērtēšanas metodikā, kas saskaņota ES fondu 21.12.2023. apakškomitejā.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"Vienlīdzība, iekļaušana, nediskriminācija un pamattiesību ievērošana" vispārīgas un specifiskas darbības, kas veicina vienlīdzību, iekļaušanu, nediskrimināciju un pamattiesību ievērošanu, kā arī šādu rādītāju uzkrāšanu un ziņošanu: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konsultatīva rakstura pasākumu skaits par būvētās vides , informācijas tehnoloģiju risinājumu, informācijas tehnoloģiju piekļūstamību personām ar dažādiem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nodrošina horizontālo principu “Nenodarīt būtisku kaitējumu”, “Klimatdrošināšana”, un “Vienlīdzība, iekļaušana, nediskriminācija un pamattiesību ievērošana” ievērošanu un par horizontālā principa “Vienlīdzība, iekļaušana, nediskriminācija un pamattiesību ievērošana” par šādu rādītāju sasniegtajām vērtībām datu uzkrāšanu un ievadi Kohēzijas politikas fondu vadības informācijas sistēmā un ziņošanu: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līguma par projekta īstenošanu noslēgšanas atbildīgā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TPF finansējuma un valsts budžeta 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izvērstu skaidrojumu, pamatojot avansa un starpposma maksājuma kopsummas 100% apmēra nepieciešamību. Vēršam uzmanību, ka saskaņā ar Ministru kabineta 2023. gada 25. aprīļa noteikumu Nr. 205 “Valsts budžeta līdzekļu plānošanas kārtība Eiropas Savienības fondu projektu īstenošanai un maksājumu veikšanai 2021.–2027. gada plānošanas periodā” (turpmāk - Budžeta noteikumi) 17. punktu avansa un starpposma maksājuma kopsumma var būt 100 % no projektam piešķirtā Eiropas Savienības fonda finansējuma, ja finansējuma saņēmējs ir valsts kapitālsabiedrība, kura projekta ietvaros avansa un starpposma maksājumu kopsummu izmanto tai deleģētā valsts pārvaldes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31. punktu, vēršam uzmanību, ka saskaņā ar Budžeta noteikumu 9. un 10. punktu avansa maksājumus veic sadarbības iestāde, nevis atbildīgā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[x] procentus no projektam piešķirtā TPF finansējuma un valsts budžeta 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31.punkts un papildināta anotācija ar skaidrojumu par avansa un starpposma maksājuma kopsummas 100% apmēru, kā arī LVM un DAP deleģētajiem pārvaldes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Taisnīgas pārkārtošanās fonda  finansējuma un valsts budžeta finansējuma kopsummas.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informāciju, ka projekta īstenotājs un tā sadarbības partneri visā projekta dzīves cikla laikā nodrošina projekta rezultātu uzturēšanu un apsaimniekošanu, lūdzam anotācijas 1.3. sadaļu (nepieciešamības gadījumā arī anotācijas 3.sadaļu) papildināt ar informāciju, kādas ir plānotās projekta rezultātu uzturēšanas izmaksas un no kādiem resursiem projekta īstenotājs/finansējuma saņēmējs un sadarbības partneris plāno nodrošināt to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un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kādā apmērā plānoti projekta ietvaros izveidotās infrastruktūras Dabas aizsardzības pārvaldes (DAP) ieņēmumi par sniegtajiem pakalpojumiem, kurus plānots novirzīt projekta rezultātu uzturēšanai, kas attieksies uz DAP. Vienlaikus lūdzam norādīt, ka Latvijas valsts meži pēc pasākuma īstenošanas projekta dzīves ciklā nodrošina projekta rezultātu uzturēšanu un apsaimniekošanu par saviem līdzekļiem, kā tas norādīts arī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Dabas aizsardzības pārvaldei (DAP) nav plānots gūt ieņēmumus no izveidotās infrastruktūras, attiecīgi labota Anotācijas 3. sadaļa “Cita informācija”. Šādu infrastruktūru paredz veidot tikai Latvijas valsts meži (LVM). Ja DAP vai LVM gūs ienākumus infrastruktūras izveidošanas laikā – projekta laikā (piemēram no koku/ krūmu/ zemsedzes apauguma likvidēšanas) tie tiks norādīti izmaksu un ieguvumu analīzē, vienlaikus šobrīd tos nav iespējams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“Cita informācija” par LVM projekta rezultātu uzturēšanu un apsaimniekošanu projekta dzīves ciklā, precizējot, ka tā tiks veikta par LVM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īstenotājs/finansējuma saņēmējs ir AS “Latvijas valsts meži”, kas ir kapitālsabiedrība, un sadarbības partneris ir Dabas aizsardzības pārvalde, kas ir valsts budžeta iestāde, lūdzam anotācijas 3.sadaļā norādīt pasākuma ietvaros plānoto valsts budžeta līdzekļu plānošanu un maksājumu veikšanu, norādot iesaistītās ministrijas un iestādes, ievērojot Ministru kabineta 2023. gada 25. aprīļa noteikumu Nr. 205 “Valsts budžeta līdzekļu plānošanas kārtība Eiropas Savienības fondu projektu īstenošanai un maksājumu veikšanai 2021.–2027. gada plānošanas periodā”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 gada 25. aprīļa noteikumu Nr. 205 “Valsts budžeta līdzekļu plānošanas kārtība Eiropas Savienības fondu projektu īstenošanai un maksājumu veikšanai 2021.–2027. gada plānošanas periodā” prasības, budžeta līdzekļu plānošanu un maksājumu veikšanu, projekta īstenotājam/finansējuma saņēmējam akciju sabiedrībai “Latvijas valsts meži” nodrošinās CFLA. Savukārt, sadarbības partnerim – Dabas aizsardzības pārvaldei pasākuma ietvaros plānoto valsts budžeta līdzekļu plānošanu un maksājumu veikšanu nodrošinās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6.1.1. specifiskā atbalsta mērķa “Pārejas uz klimatneitralitāti radīto ekonomisko, sociālo un vides seku mazināšana visvairāk skartajos reģionos” 6.1.1.7. pasākuma “Eiropas Savienība nozīmes biotopu vai purvu ekosistēmu atjaunošana” (turpmāk –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projektu nav nepārprotami saprotams, vai mērķteritorijām atlasīs visus ES nozīmes biotopus (1.1., 5.1, 5.2.)  vai ES nozīmes purvu biotopus (2.). Aicinām visā noteikumu projektā lietot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MK noteikumu projektā un anotācijā, visur lietots ES nozīmes biotopi.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projekta darbības ir veicamas gan ES nozīmes biotopu teritorijās (purvu biotopu un ar tiem saistītājiem biotopiem, kas ir precizēti MK noteikumu projekta anotācijā  - 7110* Neskarti augstie purvi, 7120 Degradēti augstie purvi, kuros iespējama vai noris dabiskā atjaunošanās, 7140 Pārejas purvi un slīkšņas, 7150 Rhynchosporion albae pioniersabiedrības uz mitras kūdras vai smiltīm, 7160 Minerālvielām bagāti avoti un avoksnāji, 7210* Kaļķaini zāļu purvi ar dižo aslapi, 7220* Avoti, kuri izgulsnē avotkaļķus, 7230 Kaļķaini zāļu purvi, 9080* Staignāju meži, 91D0* Purvaini meži, 91E0* Aluviāli meži, 4010 Slapji virsāji - un, kas projekta iesniegšanas vai pirms projekta darbību uzsākšanas ir reģistrētas dabas datu pārvaldības sistēmā “Ozols”), gan vēsturiskās kūdras ieguves vietas atbilstoši “Kūdras ilgtspējīgas izmantošanas pamatnostādnēm 2020.-2030. gadam” 3.pielikumam un tām piegulošas ietekmētas teritorijas, kurām nav iespējams piemērot principu “piesārņotājs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ir iespējams kombinēt abas šīs teritorijas, projekta mērķa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6.1.1. specifiskā atbalsta mērķa “Pārejas uz klimatneitralitāti radīto ekonomisko, sociālo un vides seku mazināšana visvairāk skartajos reģionos” 6.1.1.7. pasākuma “Eiropas Savienības nozīmes biotopu vai purvu ekosistēmu atjaunošana” (turpmāk – pasākums);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Taisnīgās pārkārtošanās fonda (turpmāk – TPF) projekta (turpmāk – projekts) iesniedzējam (turpmāk – projekta iesniedzējs), finansējuma saņēmējam un sadarbības partnerim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1.4.apakšpunktā vārdus un iekavas "(ja attiecināms)" ņemot vērā, ka no noteikumu projekta izriet, ka finansējuma saņēmējs sadarbības partnera statusā piesaista Dabas aizsardzības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1.4. apakšpunktā minētā fonda nosaukumu, ņemot vērā, ka saskaņā ar Eiropas Savienības fondus regulējošajiem normatīvajiem aktiem korekts fonda nosaukums ir "Taisnīgas pārkārtošanās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 apakšpunkts un fonda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Taisnīgas pārkārtošanās fonda projekta (turpmāk – projekts) iesniedzējam (turpmāk – projekta iesniedzējs), finansējuma saņēmējam un sadarbības partnerim;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Eiropas Savienības nozīmes purvu biotopu atjaunošanas darbības vai degradētu vēsturisko kūdras ieguves vietu renaturalizāciju īpaši aizsargājamās dabas teritorijās bioloģiskās daudzveidības veicināšanai un ekosistēmu pakalpojumu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4.punktu, par vēsturiskām kūdras ieguves vietām tiek uzskatītas teritorijas atbilstoši “Kūdras ilgtspējīgas izmantošanas pamatnostādnēm 2020.-2030. gadam” 3.pielikumam “Vēsturiskās kūdras ieguves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kuras no vēsturiskajām kūdras ieguves vietām ir degradētas vēsturiskās kūdras ieguves vietas (Vēsturiskās kūdras ieguves vietas (2., 4., 5.1., 5.2., 30.7.), Degradētās vēsturiskās kūdras ieguves vietas (2., 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šādu nav, visā noteikumu projektā lietojama vienota terminoloģija vai arī noteikumu projekta sākumā pievienojams papildu skaidrojums paredzot, kas tiek saprasts ar šo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terminoloģijas lietojums MK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apakšpunkta ar degradētām ekosistēmām ir raksturotas vēsturiskās kūdras ieguves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veicināt Eiropas Savienības nozīmes biotopu atjaunošanas darbības vai vēsturisko kūdras ieguves vietu renaturalizāciju īpaši aizsargājamās dabas teritorijās bioloģiskās daudzveidības veicināšanai un ekosistēmu pakalpojumu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atjaunošanā vai vēsturisko kūdras ieguves vietu renaturalizācijā 1 500 hektāru platībā, projekta tiešajās īstenošanas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vārda "sanētās" lietošanu, ņemot vērā Zemkopības ministrijas š.g. 24.janvāra iebildumu par terminu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atkārtoti izvērtējuši termina “sanēts”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projektā un anotācijā termina “sanācija” lietošana, tiek veikta saskaņā ar Vides aizsardzības likumā noteikto terminoloģiju par dabas resursu kaitējuma novēršanu, kas, šī pasākuma kontekstā būtu saprotama kā darbības degradētu biotopu labvēlīga stāvokļa atjaunošanai un kūdras ieguves vietu renaturalizācija, tādejādi termins “sanācija” ir plašāks un atbilstošs abiem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termins “sanācija” ir  minēts arī Taisnīgas pārkārtošanās fonda regulā (ES) 2021/1056, kurā šis termins tiek lietots kā oficiāls tulkojums iznākuma rādītājam, kurš ir piemērojams arī šim pasākumam un nacionālajos normatīvajos aktos tas nav maināms.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atjaunošanā vai vēsturisko kūdras ieguves vietu renaturalizācijā 1 500 hektāru platībā, projekta tiešajās īstenošanas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atjaunošanā vai vēsturisko kūdras ieguves vietu sanācijā (atjaunojot vai renaturalizējot) zemes platību 1 500 hektāru platībā, projekta tiešajās īstenošanas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vērtējot projekta darbības vietas, būs platības, kurās projekta laikā būs atjaunotas vai uzlabotas īpaši aizsargājamo sugu dzīvotnes, taču ne visas platības būs ES nozīmes biotopi, vismaz ne pārskatāmā nākotnē. Aicinām papildināt ar “īpaši aizsargājamām sugu dzīvotnēm” (skat. piedāvāto redakciju), taču vienlaikus, izstrādājot gala redakciju, lūdzam ņemt vērā arī šajā atzinumā iekļauto iebildumu par noteikumu projekta 5.1.punktu.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īpaši aizsargājamo sugu dzīvotņu atjaunošanā vai vēsturisko kūdras ieguves vietu sanācijā (atjaunojot vai renaturalizējot) zemes platību 1 500 hektāru platībā, projekta tiešajās īstenošanas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netiek liegti ieguldījumi sugu dzīvotnēs, vienlaikus tā ir papildu atbalstāmā darbība un pasākuma primārais mērķis ir vēsturisko kūdras vietu renaturalizācija un ES nozīmes biotopu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ir norādīti ES nozīmes biotopu veidi, kuros šī pasākuma ietvaros ir atbalstāmas darbības (saraksts izstrādāts sadarbībā ar LVM un DAP), kā arī definētas vēsturiskās kūdras ieguves vietas, kas var tikt izvēlētas kā projekta īstenošanas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iznākuma rādītājs – atbalstītā sanētās zemes platība. Iznākuma rādītāja vērtība tiek sasniegta, ja veikti ieguldījumi Eiropas Savienības nozīmes biotopu atjaunošanā vai vēsturisko kūdras ieguves vietu renaturalizācijā 1 500 hektāru platībā, projekta tiešajās īstenošanas vietās;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Attiecināmais Taisnīgas pārkārtošanās fonda finansējuma apmērs nepārsniedz 85 procentus no projekta kopējā attiecināmā finansējuma, un valsts budžeta vai privātais līdzfinansējums ir vismaz 15 procenti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10.punktu, ņemot vērā veiktos precizējumus attiecībā uz privāto līdzfinansējumu noteikumu projekta 8.punktā, tai skaitā svītrojot vārdu “vismaz” attiecībā uz valsts budžeta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Attiecināmais Taisnīgas pārkārtošanās fonda finansējuma apmērs nepārsniedz 85 procentus no projekta kopējā attiecināmā finansējuma, un valsts budžeta līdzfinansējums nepārsniedz 15 procentus no projekta kopējā attiecināmā finansējuma. Ja projektā tiek piesaistīts privātais finansējums, nacionālais līdzfinansējums var pārsniegt 15 procentus, nepalielinot valsts budžeta līdzfinansējuma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atbilstoši sadarbības iestādes izstrādātajiem metodiskajiem norādījumiem veic izmaksu un ieguvumu analīzi. Ja projektā plānoti ieņēmumi, tie nepārsniedz 50 procentus no infrastruktūras un atjaunoto teritoriju uzturēšanas izdevumiem.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projekta anotācijā pievienot saiti uz aktuālajiem minētajiem metodiskajiem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izmaksu-ieguvumu analīzes metodiskajiem norādījumiem un tās veidni konkrēti šim pasākumam varēs iepazīties pie atlases nolikuma. Vispārējus metodiskus norādījumus var skatīt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https://www.cfla.gov.lv/lv/izmaksu-un-ieguvumu-analize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atbilstoši sadarbības iestādes izstrādātajiem metodiskajiem norādījumiem veic izmaksu un ieguvumu analīzi. Ja projektā plānoti ieņēmumi, tie projekta dzīves ciklā ikgadēji nepārsniedz 50 procentus no infrastruktūras un atjaunoto teritoriju uzturēšanas izdevumiem.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biotehnisku (visa veida pasākumi vietas stāvokļa uzlabošanai, piemēram, nevēlamā koku/ krūmu/ zemsedzes apauguma likvidēšana, invazīvo sugu ierobežošana, biotopam raksturīgās zemsedzes veģetācijas/ struktūru atjaunošana, sugu dzīvotņu uzlabošana, atjaunošana vai veidošana u.tml.) un hidrotehnisku pasākumu veikšana (t.sk. būvniecība inženierbūvju un meliorācijas grāvju likvidēšanai, izveidei vai atjaunošanai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būvnormatīvs LBN 224-15 “Meliorācijas sistēmas un hidrotehniskās būves” (apstiprināts ar Ministru kabineta 2015.gada 30.jūnija noteikumiem Nr.329 “Noteikumi par Latvijas būvnormatīvu LBN 224-15 "Meliorācijas sistēmas un hidrotehniskās būves"”) nosaka gan terminu “hidrotehniskās būves”, gan arī “meliorācijas sistēma”. Katram no šiem pasākumiem ir specifiski aprēķini, projektēšanas un būvniecības noteikumi, kā arī katrai jomai ir savas jomas sertificēti projektēšanas, būvdarbu vadīšanas un būvuzraudzības speciālisti. Tāpēc šīs aktivitātes ir nodalāmas. Rosinām punktu papildināt arī ar “melioratīvajiem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biotehnisku (visa veida pasākumi vietas stāvokļa uzlabošanai, piemēram, nevēlamā koku/ krūmu/ zemsedzes apauguma likvidēšana, invazīvo sugu ierobežošana, biotopam raksturīgās zemsedzes veģetācijas/ struktūru atjaunošana, sugu dzīvotņu uzlabošana, atjaunošana vai veidošana u.tml.), hidrotehnisko un melioratīvo pasākumu veikšana (t.sk. būvniecība inženierbūvju un meliorācijas grāvju likvidēšanai, izveidei vai atjaunošanai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20.1. apakšpunkts, 22.6. apakšpunkts un anotācijas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biotehnisku (visa veida pasākumi vietas stāvokļa uzlabošanai, piemēram, nevēlamā koku/ krūmu/ zemsedzes apauguma likvidēšana, invazīvo sugu ierobežošana, biotopam raksturīgās zemsedzes veģetācijas/ struktūru atjaunošana, sugu dzīvotņu uzlabošana, atjaunošana vai veidošana u.tml.), hidrotehnisko un melioratīvo pasākumu veikšana (t.sk. būvniecība inženierbūvju un meliorācijas grāvju likvidēšanai, izveidei vai atjaunošanai u.tml.);</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vadība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20.6.apakšpunkta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precizējot, piemēram, šādi: projekta vadības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papildinot ar projekta īstenošanas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20.6.apakšpunkta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vadības un īstenošanas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projekta iesnieguma un īstenošanas pamatojošās dokumentācijas sagatavošanas izmaksas, kas tieši saistītas ar projektā plānotajām darbībām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22.1.apakšpunktu un anotāciju ar nosacījumu, ka izmaksas par projekta iesnieguma informācijas sagatavošanu un aizpildīšanu Kohēzijas politikas vadības un informācijas sistēmā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projekta iesnieguma un īstenošanas pamatojošās dokumentācijas sagatavošanas izmaksas (izņemot projekta iesnieguma veidlapas aizpildīšanas izmaksas), kas tieši saistītas ar projektā plānotajām darbībām nepārsniedzot 10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22.1.akšpunkta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projekta iesnieguma un īstenošanas pamatojošās dokumentācijas sagatavošanas izmaksas (izņemot projekta iesnieguma veidlapas aizpildīšanas izmaksas), kas tieši saistītas ar projektā plānotajām darbībām nepārsniedzot 10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būvniecības ieceres dokumentācijas un būvprojekta sagatavošanas un ar to saistītās normatīvajos aktos paredzētās būvekspertīzes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22.1.2. apakšpunktu un ietvert tajā korektu atsauci uz normatīvajiem aktiem noteiktā jomā, ievērojot Ministru kabineta 2009. gada 3. februāra noteikumu Nr. 108 "Normatīvo aktu projektu sagatavošanas noteikumi"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būvniecības ieceres dokumentācijas un būvprojekta sagatavošanas un ar to saistītās normatīvajos aktos paredzētās būvekspertīzes izmaksas atbilstoši būvniecības jomu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tiešās attiecināmās projekta vadības un īstenošanas personāla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divdesmit procentu apmērā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tiešajām attiecināmajām izmaksām, kas nav personāla izmaksas un tā tiek piemērota vienādi gan finansējuma saņēmējam, gan sadarbības partnerim;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22.8.apakšpunktā nosacījumu "tai skaitā valsts sociālās apdrošināšanas obligātās iemaksas", ņemot vēra, ka minētais nosacījums jau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22.8.apakšpunkta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divdesmit procentu apmērā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tiešajām attiecināmajām izmaksām, kas nav personāla izmaksas un tā tiek piemērota vienādi gan finansējuma saņēmējam, gan sadarbības partnerim;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informācijas un komunikācijas tehnoloģiju licenču iegāde vai to nomas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noteikumu projekta 22.9. apakšpunktā norādītās izmaksas ir paredzētas projekta īstenošanas un vadības personālam. Vēršam uzmanību, ka saskaņā ar nosacījumiem vienkāršoto izmaksu izmantošanas iespējām un to piemērošanai Eiropas Savienības kohēzijas politikas programmas 2021.–2027.gadam ietvaros informācijas un komunikācijas tehnoloģiju uzturēšanas izmaksas (piemēram, nepieciešamās licences un programmatūras atjauninājumi) iekļaujamas projekta vadības un īstenošanas netiešajās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22.9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 tiešās attiecināmās projekta vadības un īstenošanas personāla atlīdzības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likme divdesmit procentu apmērā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likmes aprēķins vēl nav saskaņots ar Finanšu ministriju, šobrīd nevaram saskaņot noteikumu projekta 22.10 apakšpunktā norādīto projekta vadības un īstenošanas personāla likmes apmēru. Informējam, ka Finanšu ministrija komentāru par likmes aprēķinu un anotācijā iekļaujamo informāciju nosūtīs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noteikto, lūdzam arī noteikumu projekta 22.10.apakšpunktā skaidri noteikt, ka personāla izmaksu likmes apmērs tiks piemērots gan finansējuma saņēmējam, gan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salāgotu terminoloģiju ar Eiropas Parlamenta un Padomes 2021.gada 24.jūnija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noteikumu projektā un anotācijā, kur attiecināms, aizstāt terminus - personāla atlīdzība/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22.8. apakšpunkts (mainīta MK noteikumu projekta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tiešās attiecināmās projekta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likmi divdesmit procentu apmērā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tiešajām attiecināmajām izmaksām, kas nav personāla izmaksas un tā tiek piemērota vienādi gan finansējuma saņēmējam, gan sadarbības partnerim;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finansējuma saņēmēja un sadarbības partnera personāla darba braucienu un iekšzemes komandējumu un transporta pakalpojumu izmaksas (maksa par degvielu, sabiedriskā transporta izmantošana, viesnīcas izmaksas, dienas nauda), kurām piemēro metodiku par vienas vienības izmaksu standarta likmes aprēķināšanu un piemērošanu viena kilometra izmaksām un metodiku par iekšzemes komandējumu izmaksu segšanu;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atsevišķos noteikumu projekta apakšpunktos darba braucienu un iekšzemes komandējumu izmaksas, kā arī transporta pakalpojumu izmaksas, skaidri nosakot, kādas izmaksas tiek paredzētas un kura Finanšu ministrijas metodika tiek piemērota. Lūdzam attiecīgi precizēt informāciju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izdalot jaunus apakšpunktus 22.9.1. un 22.9.2.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 finansējuma saņēmēja un sadarbības partnera personāla darba braucienu un iekšzemes komandējumu, un transporta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Neparedzētie izdevumi nepārsniedz piecus procentus no projekta kopējām tiešajām attiecināmajām izmaksām. Neparedzēto izdevumu izlietošanu finansējuma saņēmējs saskaņo ar sadarbības iestādi, kā to nosaka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nosacījumiem attiecināmo izmaksu noteikšanai Eiropas Savienības kohēzijas politikas programmas 2021.-2027.gada plānošanas periodā katrai investīcijai neparedzēto izdevumu procentuālais apmērs ir jāizvērtē individuāli, atkarībā no tā, cik apjomīgus un sarežģītus projektus paredzēts īstenot attiecīgajā investīcijā, taču tas kopumā nedrīkst pārsniegt 5 % no kopējo tiešo attiecināmo izmaksu summas. Līdz ar to lūdzam anotācijā iekļaut pamatojumu, kāpēc konkrētajā pasākumā nosaka procentuālo neparedzēto izdevumu tieši tādā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noteikumu projekta 24.punktā vārdus “kā to nosaka vienošanās”, ņemot vērā, ka finansējuma saņēmējs saskaņo neparedzētos izdevumus brīvā formā un tas nav speciāli atrunāts līgumā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Neparedzētie izdevumi nepārsniedz piecus procentus no projekta kopējām tiešajām attiecināmajām izmaksām. Neparedzēto izdevumu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24.punkts izsakot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Neparedzētie izdevumi nepārsniedz piecus procentus no projekta kopējām tiešajām attiecināmajām izmaksām. Neparedzēto izdevumu izlietošanu finansējuma saņēmējs saskaņo ar sadarbības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un uzraudzības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ka investīcijas plānots veikt Latvijas Republikas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Taisnīgas pārkārtošanās teritoriālais plāns nosaka, ka Taisnīgas pārkārtošanās fonda investīcijas var tikt veiktas konkrētos statistiskajos reģionos, saskaņā ar MK noteikumu projekta 3. punktu un nevar tikt īstenotas visā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un projekta īstenošanas un uzraudzības nosacījumi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nodrošina informācijas un publicitātes pasākumus,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 regulējošajos normatīvajos aktos un praksē lietoto jēdzienu "komunikācijas un vizuālās identitātes prasību nodrošināšanas nosacījumi", lūdzam atbilstoši precizēt noteikumu projekta 30.1. un 22.13.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noteikumu projekta 30.1.apakšpunktā, kā arī 22.11.apakšpunktā. Labojumi 30.1. apakšpunkta redakcijai  veikta atbilstoši TM priekšlikumam Nr.25 (labots 30.1.apakšpunkts)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nodrošina komunikācijas un vizuālās identitātes prasību nodrošināšanas pasākumus, kas noteikti  regulas  2021/1060 47. un 50. pantā un saskaņā ar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nodrošina informācijas un publicitātes pasākumus,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30.1. apakšpunktā norādīta atsauce uz nesaistošiem dokumentiem (vadlīnijām). Ņemot vērā minēto, lūdzam visā noteikumu projektā svītrot atsauces uz nesaistošiem dokumentiem (vadlīnijām)un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informācijas un publicitātes pasākumus, kas noteikti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un saskaņā ar kārtību, kādā Eiropas Savienības fondu vadībā iesaistītās institūcijas nodrošina šo fondu ieviešanu 2021.–2027.gada plānošanas periodā;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30.1.apakšpunkta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nodrošina komunikācijas un vizuālās identitātes prasību nodrošināšanas pasākumus, kas noteikti  regulas  2021/1060 47. un 50. pantā un saskaņā ar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sedz projekta izmaksu pieaugumu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30.3.apakšpunktu, ņemot vērā anotācijā norādīto, ka sadārdzinājumu uzņēmās segt AS “Latvijas valsts meži”. Vēršam uzmanību, ka noteikumu projekta 30.punkts nosaka, ka visi minētā noteikumu projekta punkta apakšpunkti  ir attiecināmi gan uz projekta iesniedzēju, gan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30.3.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akciju sabiedrība “Latvijas valsts meži” sedz projekta izmaksu pieaugumu no saviem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nodrošina, ka projektā plānotie darbi netiek finansēti vai līdzfinansēti, kā arī nav plānots tos finansēt vai līdzfinansēt no citiem valsts vai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īstenošanā nodrošināma ne tikai nepārklāšanās ar citiem finanšu instrumentiem, bet arī tas, lai darbība netiktu finansēta tā paša projekta īstenošanai piešķirtā finansējuma ietvaros dubultā. Ņemot vērā minēto, lūdzam papildināt noteikumu projekta 30.4. apakšpunktu, nosakot, ka finansējuma saņēmējs un sadarbības partneris nodrošina arī dubultā finansējuma neiestāšanos.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30.4.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nodrošina dubultā finansējuma neiestāšanos un projektā plānotie darbi netiek finansēti vai līdzfinansēti, kā arī nav plānots tos finansēt vai līdzfinansēt no citiem valsts vai ārvalstu finanšu atbalsta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nodrošina projekta rezultātu ilgtspēju un uzturēšanu visā tā dzīves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“projekta rezultātu ilgtspēja” izpratnes nepārprotamībai aicinām noteikumu projektā skaidrot, papildināt no anotācijas 1.3.punkta (14.lpp.) sadaļas “Citi nosacījumi” veicamās darbības pēc projekta noslēgšanas, kas to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norādītais precizē izpratni par noteikumu projektā norādīto terminu “projekta rezultātu ilgtspēja” un “projekta rezultātu uzturēšana visā tā dzīves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MK noteikumu projekta 30.11.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nodrošina projekta rezultātu ilgtspēju, uzturēšanu un apsaimniekošanu visā tā projekta dzīves ciklā saskaņā ar spēkā esošo īpaši aizsargājamo dabas teritoriju dabas aizsardzības plānu vai ar ekspertu norādījumiem par teritoriju apsaimniekošanas darbībām pēc projekta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Taisnīgas pārkārtošanās fonda  finansējuma un valsts budžeta 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pasākuma ietvaros sadarbības partnerim – Dabas aizsardzības pārvaldei – valsts budžeta līdzekļu plānošanu un maksājumu veikšanu nodrošinās VARAM, attiecīgi lūdzam izvērtēt, vai atbilstoši ir papildināms arī noteikumu projekta 31.punkts.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noteikumu projekta 32.punktā noteiktajiem nosacījumiem avansa maksājumu izlietošanai, lūdzam salāgot noteikumu projekta 32.punktu "Avansa maksājuma izlietošanas laiks finansējuma saņēmējam nepārsniedz sešus mēnešus" ar anotācijā norādīto, proti, ka avanss jāapgūst sešu mēnešu laikā saimnieciskā gada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sadaļā iekļauto informāciju par avansa un starpposma maksājuma 100% apmēru ar tiesisko pamatojumu, papildinot ar norādi uz Ministru kabineta 2023. gada 25. aprīļa noteikumu Nr. 205 “Valsts budžeta līdzekļu plānošanas kārtība Eiropas Savienības fondu projektu īstenošanai un maksājumu veikšanai 2021.–2027. gada plānošanas periodā” 17. punktā noteikto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3. sadaļas “Cita informācija” un 31.punkta papildināšanas iespējas un konstatējām, ka pilnīgu skaidrību sniedz MK noteikumi Nr. 205, konkrēti to 5. punkts uz kuru pamatojamies anotācijas 3. sadaļā “Cita informācija” norādot, ka DAP plānoto valsts budžeta līdzekļu plānošanu un maksājumu veikšanu nodrošinās VARAM. Normu dublēšana starp abiem MK noteikumiem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punkts papildināts norādīt avansa apgūšanas periodu saimnieciskā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avansa maksājuma tiesisko pamatojumu, papildinot to ar Ministru kabineta 2023. gada 25. aprīļa notikumiem Nr. 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 – 2027. gada plānošanas periodā nodrošina finansējuma saņēmējam avansa maksājumus, kurus var izmaksāt vairākos maksājumos, ievērojot, ka avansa un starpposma maksājumu kopsumma nepārsniedz 100 procentus no projektam piešķirtā Taisnīgas pārkārtošanās fonda  finansējuma un valsts budžeta finansējuma kopsummas.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aicina papildināt noteikumu projekta anotācijas “1.3. Pašreizējā situācija, problēmas un risinājumi” – “Problēmas un risinājumi” sadaļas “Risinājuma apraksts” otro rindkopu ar diviem biotopu veidiem, kuri ir (3160) vai var būt (3150) purvu sastāvdaļa un atkarībā no lieluma var būt izdalīti kā atsevišķu biotopu poligoni.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ES nozīmes biotopos attiecas uz šādiem biotopiem no klasifikatora - 7110* Neskarti augstie purvi, 7120 Degradēti augstie purvi, kuros iespējama vai noris dabiskā atjaunošanās, 7140 Pārejas purvi un slīkšņas, 7150 Rhynchosporion albae pioniersabiedrības uz mitras kūdras vai smiltīm, 7160 Minerālvielām bagāti avoti un avoksnāji, 7210* Kaļķaini zāļu purvi ar dižo aslapi, 7220* Avoti, kuri izgulsnē avotkaļķus, 7230 Kaļķaini zāļu purvi, 9080* Staignāju meži, 91D0* Purvaini meži, 91E0* Aluviāli meži, 4010 Slapji virsāji, </w:t>
            </w:r>
            <w:r w:rsidR="00000000" w:rsidRPr="00000000" w:rsidDel="00000000">
              <w:rPr>
                <w:u w:val="single"/>
                <w:rtl w:val="0"/>
              </w:rPr>
              <w:t xml:space="preserve">3150 Eitrofi ezeri ar iegrimušo ūdensaugu un peldaugu augāju, 3160 Distrofi ezeri</w:t>
            </w:r>
            <w:r w:rsidR="00000000" w:rsidRPr="00000000" w:rsidDel="00000000">
              <w:rPr>
                <w:rtl w:val="0"/>
              </w:rPr>
              <w:t xml:space="preserve"> - un, kas projekta iesniegšanas vai pirms projekta darbību uzsākšanas ir reģistrētas dabas datu pārvaldības sistēmā “Ozols”.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 iekļaujot biotopus 3150 Eitrofi ezeri ar iegrimušo ūdensaugu un peldaugu augāju, 3160 Distrofi ezeri.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skaidru un nepārprotamu informāciju par izmaksu rašanos pirms projekta iesnieguma apstiprināšanas, lūdzam izvērtēt un nepieciešamības gadījumā papildināt anotācijas 1.3. sadaļu ar skaidrojumu no izziņas, ka akciju sabiedrībai “Latvijas valsts meži” nav plānota izmaksu veidošanās pirms projekta iesnieguma apstiprināšanas, bet gadījumā, ja tādas būs veidojušās, tad tās tiks segtas no akciju sabiedrības “Latvijas valsts meži” privātajiem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valsts mežiem” var rasties attiecināmie izdevumi pirms projekta iesnieguma apstiprināšanas un saskaņā ar MK noteikumu projekta 26. punktu izmaksas var tikt attiecinātas sākot no 2024. gada 1. janvāra, bet, ja radušies izdevumi pirms projekta iesnieguma apstiprināšanas ir neattiecināmās izmaksas, kā tas norādīts MK protokollēmuma 4. punktā, tad tās tiks segtas no “Latvijas valsts meži” privātajiem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ar informāciju, ka akciju sabiedrība  "Latvijas valsts meži" pildīs finansējuma saņēmēja funkcijas, un Vides aizsardzības un reģionālās attīstības ministrija pildīs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 sadaļa ar informāciju par finansējuma saņēmēju un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lūdzam svītrot anotācijas 3.sadaļas 6. punkta pirmo teikumu, ņemot vērā, ka anotācijas 3.sadaļā 6.punktā tiek norādīts finansējuma sadalījums 2024.-2029.gadam;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3.sadaļas punktā “Cita informācija” attiecībā uz DAP svītrot norādi “tiks veiktas valsts deleģējuma ietvaros”, ņemot vērā, ka DAP ir valsts budžeta iestāde, attiecīgi tā pilda valsts funkcijas nevis tās tai tiek deleģētas.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3. sadaļas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anotācijas 3. sadaļas 6. punkta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“Cita informācija” svītrota norāde uz DAP “tiks veiktas valsts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šādu precizējumu veikšanu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anotācijas 3.sadaļas 6.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6.punktā norādīto finansējuma sadalījumu pa gadiem, jo, saskaitot kopā šobrīd norādīto TPF finansējumu, kopsumma veidojas 5 999 998 euro apmērā nevis 6 000 000 euro apmērā, savukārt saskaitot kopā šobrīd norādīto valsts budžeta finansējumu kopsumma veidojas 1 058 827 euro apmērā nevis 1 058 825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3.sadaļā precizēt norādītos gadus, kā kārtējo gadu norādot 2024.gadu un atbilstoši tam precizējot arī norādīto finansējumu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6.sadaļu papildināt ar detalizētāku informāciju par attiecīgās nozares/ jomas pārstāvošu biedrību, nodibinājumu, nevalstisko organizāciju  iesaisti noteikumu projekta izstrādē, t.sk. ņemot vērā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vispārīgajām un specifiskajām horizontālā principa "Vienlīdzība, iekļaušana, nediskriminācija un pamattiesību ievērošana" darbībām (lūdzu skatīt projektu iesniegumu vērtēšanas metodiku, kas saskaņota ES fondu  21.12.2023. apakškomitejas sēdē), atbilstoši HP vadlīnijās [1]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tiks īstenotas vispārīgās un specifiskās horizontālā principa "Vienlīdzība, iekļaušana, nediskriminācija un pamattiesību ievērošana", kas veicina personu ar invaliditāti vienlīdzīgas iespējas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tīmeklī  ir piekļūstama cilvēkiem ar funkcionāliem traucējumiem, izmantojot vairākus sensoros (redze, dzirde, tauste) kanālus.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kas attiecas uz personu ar invaliditāti vienlīdzīgu iespēju un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vides piekļūstamības novērtēšanai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kur iegūto punktu skaits nav zemāks par 8 (LM vides un informācijas piekļūstamības pašnovērtējuma metodika pieejama šeit: https://www.lm.gov.lv/lv/vides-pieklustamibas-pasnovertejums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8.1.9.sadaļa anotācijā ar LM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vispārīgajām un specifiskajām horizontālā principa "Vienlīdzība, iekļaušana, nediskriminācija un pamattiesību ievērošana" darbībām (lūdzu skatīt projektu iesniegumu vērtēšanas metodiku, kas saskaņota ES fondu 21.12.2023.   apakškomitejas sēdē), atbilstoši HP vadlīnijās [1]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ietvarso tiks īstenotas horizontālā principa "Vienlīdzība, iekļaušana, nediskriminācija un pamattiesību ievērošana"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nodrošināta vienlīdzīga darba samaksa un vienlīdzīgas karjeras izaugsmes iespējas, tostarp nodrošinot dalību apmācībās, semināros, komandējumos.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8.1.10. sadaļa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6.1.1. specifiskā atbalsta mērķa “Pārejas uz klimatneitralitāti radīto ekonomisko, sociālo un vides seku mazināšana visvairāk skartajos reģionos” 6.1.1.7. pasākuma “Eiropas Savienība nozīmes biotopu vai purvu ekosistēmu atjaunošana ” projektu iesniegumu pirmās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projekta izmaksas paredzēts attiecināt pirms projekta apstiprināšanas, un finansējuma saņēmējs ir valsts budžeta iestāde,  MK sēdes protokollēmuma projektā ir nepieciešams noteikt finanšu plūsmas pirms projekta apstiprināšanas nodrošināšanas nosacījumus. Lūdzam izvērtēt un nepieciešamības gadījumā atbilstoši papildināt MK sēdes protokollēmumu, ņemot vērā, ka tiks piešķirts valsts budžeta līdzfinansējums, tai skaitā ņemot vērā no anotācijas izrietošo informāciju, ka tiks pieprasīts no valsts budžeta programmas 80.00.00 “Nesadalītais finansējums Eiropas Savienības politiku instrumentu un pārējās ārvalstu finanšu palīdzības līdzfinansēto projektu un pasākumu īstenošanai”, un saskaņā ar noteikumu projekta 16. punktu pasākuma ietvaros atbalsts tiek sniegts tikai valsts pārvaldes deleģēto funkciju īstenošanai un valsts pārvaldes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protokollēmumā ir atrunātas situācijas, kad sadarbības partnerim – DAP ir radušās izmaksas pirms projekta iesnieguma apstiprināšanas. Finansējuma saņēmējs - LVM nav plānojis izmaksu veidošanos pirms projekta iesnieguma apstiprināšanas, bet gadījumā, ja tādas būs veidojušās, tad tās tiks segtas no LVM privātajiem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23-TA-2824</w:t>
    </w:r>
    <w:r>
      <w:br/>
    </w:r>
    <w:r w:rsidR="00000000" w:rsidRPr="00000000" w:rsidDel="00000000">
      <w:rPr>
        <w:rtl w:val="0"/>
      </w:rPr>
      <w:t xml:space="preserve">19.04.2024. 09.00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23-TA-2824</w:t>
    </w:r>
    <w:r>
      <w:br/>
    </w:r>
    <w:r w:rsidR="00000000" w:rsidRPr="00000000" w:rsidDel="00000000">
      <w:rPr>
        <w:rtl w:val="0"/>
      </w:rPr>
      <w:t xml:space="preserve">19.04.2024. 09.00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Izziņa_23-TA-2824.docx</dc:title>
</cp:coreProperties>
</file>

<file path=docProps/custom.xml><?xml version="1.0" encoding="utf-8"?>
<Properties xmlns="http://schemas.openxmlformats.org/officeDocument/2006/custom-properties" xmlns:vt="http://schemas.openxmlformats.org/officeDocument/2006/docPropsVTypes"/>
</file>