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25. marta noteikumos Nr. 156 "Būvizstrādājumu tirgus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25.03.2026. 14:31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pašreiz noteikumos ietvertas atsauces uz "saskaņotajām tehniskajām specifikācijām", tomēr lūdzam anotācijā sniegt skaidrojumu, kas un ar kādu tiesību aktu (piemēram, regulu) vai dokumentu minētās specifikācijas apstiprina un kāds ir to juridiski saistošais spēks. Aicinām skaidrojumā arī ietvert atsauces uz konkrētām Eiropas Savienības tiesisko regulējuma normām, kas paredz attiecīgas prasības attiecībā uz saskaņoto tehnisko specifikāciju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ka saskaņotās tehniskās specifikācijas būvizstrādājumu jomā tiek noteiktas saskaņā ar Eiropas Savienība tiesisko regulējumu, tostarp regulu (ES) 2024/3110. Atbilstoši regulas (ES) 2024/3110 3. panta 42. punktam “saskaņotas tehniskās specifikācijas” ir saskaņotie snieguma standarti, kuri ir padarīti par obligātiem šīs regulas piemērošanas vajadzībām saskaņā ar 5. panta 8. punktu, 6. panta 1. punktā minētie īstenošanas akti un 7. panta 1. punktā, 9. panta 3. punktā un 10. panta 2. punktā minētie deleģētie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tabulā sniegt informāciju par Eiropas Parlamenta un Padomes 2024. gada 27. novembra Regulas (ES) 2024/3110, kas nosaka saskaņotus būvizstrādājumu tirdzniecības noteikumus un atceļ Regulu (ES) Nr. 305/2011 (turpmāk – regula (ES) 2024/3110) vienību, kuras paredz pienākumu dalībvalstij (vai rīcības brīvību), ieviešanu (vai izmantošanu vai neizmantošanu) (piemēram, 2. panta 3. punkts, 11. panta 7. un 8. punkts, 16. panta 4. punkts, 22. panta 6. punkts, 92. pants). Attiecībā uz regulas vienībām, kas paredz dalībvalsts rīcības brīvību, aicinām sniegt skaidrojumu, vai un kā rīcības brīvība tiek vai netiek izmantota un skaidrot rīcības brīvības izmantošanas vai neizmantošanas iemeslus. Īpaši aicinām sniegt informāciju par normām, kurās ir ietverts saturiski jauns tiesiskais regulējums, salīdzinot ar Eiropas Parlamenta un Padomes regulā (ES) Nr. 305/2011, ar ko nosaka saskaņotus būvizstrādājumu tirdzniecības nosacījumus un atceļ Padomes direktīvu 89/106/EEK (turpmāk - regula (ES) 305/2011)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detalizētu izvērtējumu par regulas (ES) 2024/3110 normām, kurās dalībvalstīm paredzēts pienākums veikt noteiktus pasākumus vai piešķirta rīcības brīvība attiecībā uz regulas piemērošanu nacionālajā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(ES) 2024/3110 2. panta 3. punktu, secināts, ka minētā norma attiecas uz Eiropas Savienība tālākajiem reģioniem LESD 349. panta izpratnē, un tā kā Latvija nav dalībvalsts ar šādiem reģioniem, noteiktā rīcības brīvība uz Latviju nav attiecināma un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(ES) 2024/3110  11. panta 7. un 8. punktu secināts, ka šajās normās paredzētā dalībvalstu iespēja ieviest obligātas iepakojuma depozīta sistēmas, noteikt ražotāju pienākumu atgūt nepārdotos izstrādājumus vai ierobežot to iznīcināšanu nav tieši saistīta ar būvizstrādājumu tirgus uzraudzības kārtību, kas ir šo Ministru kabineta noteikumu projekta regulējuma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(ES) 2024/3110 16. panta 4. punktu un 22. panta 6. punktu, kuros paredzēts, ka dalībvalsts var noteikt valodu vai valodas, kādās nodrošināma snieguma un atbilstības deklarācija, kā arī vispārīgā informācija par izstrādājumu, lietošanas instrukcija un drošuma informācija, noteikumu projektā šī rīcības brīvība ir izmantota. Ar noteikumu projekta 6. punktu tiek precizēts Ministru kabineta noteikumu Nr. 156 4. punkts, nosakot, ka minētie dokumenti nodrošināmi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(ES) 2024/3110 92. pantu, secināts, ka tajā paredzētais dalībvalstu pienākums noteikt sankcijas par regulas prasību pārkāpumiem. Noteikumu projekts neparedz jaunu sodu sistēmu, jo tā mērķis ir precizēt būvizstrādājumu tirgus uzraudzības kārtību saistībā ar jaunās regulas piemērošanu, nevis noteikt administratīvo atbildību būvizstrādājumu jomā, kas ir noteikta Būvniecības likuma 29.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institūciju, kura veic būvizstrādājumu tirgus (ražošanas un tirdzniecības vietas, būvlaukumi) uzraudzību, kā arī nosaka uzraudzības kārtību, bet būvizstrādājumiem, uz kuriem nav attiecināma Eiropas Parlamenta un Padomes Regula (ES) Nr. 305/2011, ar ko nosaka saskaņotus būvizstrādājumu tirdzniecības nosacījumus un atceļ Padomes Direktīvu </w:t>
            </w:r>
            <w:r w:rsidR="00000000" w:rsidRPr="00000000" w:rsidDel="00000000">
              <w:rPr>
                <w:rtl w:val="0"/>
              </w:rPr>
              <w:t xml:space="preserve">89/106/EEK</w:t>
            </w:r>
            <w:r w:rsidR="00000000" w:rsidRPr="00000000" w:rsidDel="00000000">
              <w:rPr>
                <w:rtl w:val="0"/>
              </w:rPr>
              <w:t xml:space="preserve"> (turpmāk – regula (ES) Nr. 305/2011) un Eiropas Parlamenta un Padomes 2024. gada 27. novembra Regula (ES) 2024/3110, kas nosaka saskaņotus būvizstrādājumu tirdzniecības noteikumus un atceļ Regulu (ES) Nr. 305/2011 (turpmāk – regula (ES) 2024/3110), – arī kārtību, kādā izvirza prasības būvizstrādājuma atbilstībai, pieprasa un saņem būvizstrādājumu paraugus, veic laboratoriskās vai cita veida ekspertīzes, un gadījumus, kad izdevumus par attiecīgu ekspertīžu veikšanu sedz būvizstrādājuma ražotājs, importētājs vai izplatītājs;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5. panta pirmās daļas 10. punktā paredzēts pilnvarojums Ministru kabinetam noteikt kārtību, kādā veic būvizstrādājumu tirgus uzraudzību, bet būvizstrādājumiem, uz kuriem nav attiecināmas </w:t>
            </w:r>
            <w:r w:rsidR="00000000" w:rsidRPr="00000000" w:rsidDel="00000000">
              <w:rPr>
                <w:u w:val="single"/>
                <w:rtl w:val="0"/>
              </w:rPr>
              <w:t xml:space="preserve">Eiropas Parlamenta un Padomes regulas (ES) Nr. 305/2011, ar ko nosaka saskaņotus būvizstrādājumu tirdzniecības nosacījumus un atceļ Padomes direktīvu 89/106/EEK</w:t>
            </w:r>
            <w:r w:rsidR="00000000" w:rsidRPr="00000000" w:rsidDel="00000000">
              <w:rPr>
                <w:rtl w:val="0"/>
              </w:rPr>
              <w:t xml:space="preserve"> prasības, arī kārtību, kādā izvirza prasības būvizstrādājuma atbilstībai, pieprasa un saņem būvizstrādājumu paraugus, veic laboratoriskās vai cita veida ekspertīzes, un gadījumus, kad izdevumus par attiecīgu ekspertīžu veikšanu sedz būvizstrādājuma ražotājs vai izplatītājs. Izprotam, ka minētā regula tiek atcelta ar regulas (ES) 2024/3110 94. pantu (proti, Regulu (ES) 305/2011 atceļ no 2026. gada 8. janvāra, izņemot minētās regulas 2. pantu, 4.–9. pantu, 11.–18. pantu, 27. un 28. pantu, 36.–40. pantu, 47.–49. pantu, 52. un 53. pantu, 55. pantu, 60.–64. pantu un III un V pielikumu, kurus atceļ no 2040. gada 8. janvāra), un atsauces uz atcelto regulu uzskata par atsaucēm uz regulu (ES) 2024/3110, un tās lasa saskaņā ar atbilstības tabulu regulas (ES) 2024/3110 XI pielikumā. Vienlaikus vēršam uzmanību, ka Ministru kabineta 2009. gada 3. februāra noteikumu Nr. 108 "Normatīvo aktu projektu sagatavošanas noteikumi" 100. punkts noteic, ka noteikumu projekta pirmajā punktā secīgi raksta vārdus "noteikumi nosaka" un likumā noteikto pilnvarojumu Ministru kabinetam. Proti, noteikumu projekta 1. punktā ir precīzi jāpārraksta Ministru kabinetam likumā dotais pilnvarojums. Attiecīgi lūdzam svītrot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26-TA-340</w:t>
    </w:r>
    <w:r>
      <w:br/>
    </w:r>
    <w:r w:rsidR="00000000" w:rsidRPr="00000000" w:rsidDel="00000000">
      <w:rPr>
        <w:rtl w:val="0"/>
      </w:rPr>
      <w:t xml:space="preserve">02.06.2026. 13.30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26-TA-340</w:t>
    </w:r>
    <w:r>
      <w:br/>
    </w:r>
    <w:r w:rsidR="00000000" w:rsidRPr="00000000" w:rsidDel="00000000">
      <w:rPr>
        <w:rtl w:val="0"/>
      </w:rPr>
      <w:t xml:space="preserve">02.06.2026. 13.30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Izziņa_26-TA-340.docx</dc:title>
</cp:coreProperties>
</file>

<file path=docProps/custom.xml><?xml version="1.0" encoding="utf-8"?>
<Properties xmlns="http://schemas.openxmlformats.org/officeDocument/2006/custom-properties" xmlns:vt="http://schemas.openxmlformats.org/officeDocument/2006/docPropsVTypes"/>
</file>