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pateicas kopumā par sagatavoto projektu un plānotajām aktivitātēm bāriņtiesām.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"...pasākumu kopumu, kas ļaus pārveidot bāriņtiesu par iestādi, kura prioritāri patiešām  nodrošinās bērna tiesību un tiesisko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(uzsvara) "patiešām" lietošana šajā  gadījumā mudina izdarīt secinājumu, ka šobrīd bāriņtiesa nav iestāde, kas  prioritāri patiešām nodrošina bērna tiesību un tiesisko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vai precizēt šādu tendenciozu un uz faktiem nebalstītu apgalvojumu par visām Latvijas bāriņtiesām.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punkts “Problēmas apraksts”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pamatojums par bāriņtiesu darbu un tā vērtējums nav  vispusīgs un objektīvs, īpaši ņemot vērā to, ka arī valstī kopumā nereti  nav vienotas izpratnes par bērnu tiesību aizsardzības jautājumiem un nepieciešamajām darbībām. Tā, piemēram, nereti atšķiras pat  dažādu kompetento institūciju viedokļi konkrētās lietās, nerunājot jau nemaz par dažādām komisijām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anotācijā ietvertais vērtējums nav attiecināms uz visām bāriņtiesām, kā tas tiek formulēts.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kopumā šādas  un tik kritiskas  argumentācijas nepieciešamība šajā dokumentā. Ir skaidrs, ka jebkuras institūcijas darbu, kā pašvaldībās, tā tiešajā valsts pārvaldē, vajag uzlabot un pilnveidot.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vispārīgos apgalvojumus uz visām bāriņtiesām, kā, piemēram,  "Bāriņtiesās ir nepietiekama izpratne par tiesību normu piemērošanu praksē", 'Bāriņtiesās ir atšķirīga normatīvo aktu interpretācija."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punkts “Problēmas apraksts”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2 875 140 euro finansējums tiek pārdalīts no 4.3.4.3.pasākuma "Pasākumi ģimenes un darba dzīves saskaņošanai” </w:t>
            </w:r>
            <w:r w:rsidR="00000000" w:rsidRPr="00000000" w:rsidDel="00000000">
              <w:rPr>
                <w:u w:val="single"/>
                <w:rtl w:val="0"/>
              </w:rPr>
              <w:t xml:space="preserve">otrai kārtai</w:t>
            </w:r>
            <w:r w:rsidR="00000000" w:rsidRPr="00000000" w:rsidDel="00000000">
              <w:rPr>
                <w:rtl w:val="0"/>
              </w:rPr>
              <w:t xml:space="preserve"> plānotā finansējuma, ņemot vērā, ka tā netiks īstenota.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punkts “Risinājuma apraksts”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finansējuma dalījumu pa visām intervences kategorijām (Intervences laukums, Finansējuma veids, Teritoriālie sasniegšanas mehānismi, ESF+ sekundārās tēmas un Dzimumu līdztiesība), norādot intervences kodus un tam piemērojamo pasākuma fondu finansējuma apjomu, atbilstoši Programmā (2.1. sadaļa "Informācija par dalījumu par intervences kategorijām") un tās papildinājumā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anotācija ir papildināta tikai ar finansējuma sadalījumu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1.6.sadaļas punkts “Cita informācija”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punkta “Pašreizējā situācija” pirmo teikumu, iestādes nosaukumā “Bērnu tiesību aizsardzības centrs” svītrojot vārdu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punkts “Pašreizējā situācija”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anotāciju ar informāciju, vai grozījumi Bērnu tiesību aizsardzības centra vienošanās par projekta īstenošanu neietekmē projekta mērķi un nosacījumus, tādējādi traucējot tā sākotnējo mērķu sasniegšanu, proti, vai grozījumi nav uzskatāmi par būtiskiem,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punkts “Risinājuma apraksts”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paredzētās izmaiņas nav būtiskas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izpratnē un neietekmē 4.3.6.1. pasākuma darbību veidu, projekta mērķus vai īstenošanas nosacījumus, tādējādi traucējot tā sākotnējo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nepieciešamajiem grozījumiem 4.3.4. specifiskā atbalsta mērķa “Sekmēt aktīvu iekļaušanu, lai veicinātu vienlīdzīgas iespējas, nediskriminēšanu un aktīvu līdzdalību, kā arī uzlabotu nodarbināmību, jo īpaši attiecībā uz nelabvēlīgā situācijā esošām grupām” 4.3.4.3.pasākuma “Pasākumi ģimenes un darba dzīves saskaņošanai” un 4.4.1. specifiskā atbalsta mērķa “Veicināt nabadzības vai sociālās atstumtības riskam pakļauto personu sociālo integrāciju, izmantojot sociālās inovācijas” 4.4.1.1. pasākuma “Atbalsts jaunām pieejām sabiedrībā balstītu sociālo pakalpojumu sniegšanā” regulējošos normatīvajos aktos par specifisko atbalsta mērķi, kas būtu jāvirza vienlaicīgi, vai pirms šiem noteikumu projekta grozījumiem, ņemot vērā plānotās finansējuma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punkts “Risinājuma apraksts”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izdoti MK noteikumi 4.3.4.3. pasākuma otrās kārtas īstenošanai un 4.4.1.1. pasākuma finansējuma daļa, kas tiek pārdalīta 4.3.6.1. pasākumam, nav ietverta 4.4.1.1. pasākuma īstenošanas nosacījumos (MK 19.12.2023. noteikumos Nr. 820), pirms TA projekta apstiprināšanas nav nepieciešams virzīt citu saistītu normatīvo aktu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3.sadaļas 6.punkta 5.rindkopā 4.3.6.1.pasākumam norādīto kopējo finansējumu, ESF Plus finansējumu un valsts budžeta līdzfinansējumu, jo, sasummējot norādītos finansējumus pa gadiem, neveidojas spēkā esošo MK 2023.gada 5.decembra noteikumu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8.punktā norādītais kopējais finansējums 3 045 000 </w:t>
            </w:r>
            <w:r w:rsidR="00000000" w:rsidRPr="00000000" w:rsidDel="00000000">
              <w:rPr>
                <w:i w:val="1"/>
                <w:rtl w:val="0"/>
              </w:rPr>
              <w:t xml:space="preserve">euro </w:t>
            </w:r>
            <w:r w:rsidR="00000000" w:rsidRPr="00000000" w:rsidDel="00000000">
              <w:rPr>
                <w:rtl w:val="0"/>
              </w:rPr>
              <w:t xml:space="preserve">apmērā, ESF Plus finansējums 2 583 250 </w:t>
            </w:r>
            <w:r w:rsidR="00000000" w:rsidRPr="00000000" w:rsidDel="00000000">
              <w:rPr>
                <w:i w:val="1"/>
                <w:rtl w:val="0"/>
              </w:rPr>
              <w:t xml:space="preserve">euro </w:t>
            </w:r>
            <w:r w:rsidR="00000000" w:rsidRPr="00000000" w:rsidDel="00000000">
              <w:rPr>
                <w:rtl w:val="0"/>
              </w:rPr>
              <w:t xml:space="preserve">apmērā un valsts budžeta līdzfinansējums 456 780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6.punkts precizēts (finansējuma kopsumma atbilst MK noteikumu Nr.724 8. punktā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5.rindkopu, vārdu “Likumprojektā par valsts budžetu kārtējam gadam un vidēja termiņa budžeta ietvaru” vietā lietojot vārdus “Atbilstoši likumam “Par valsts budžetu 2025.gadam un budžeta ietvaru 2025., 2026. un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6.punkta 5.rindkopu, norādot, ka finansējums 2028. un 2029.gadam ir iekļauts Labklājības ministrijas pamatbudžeta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6.punkta rindkopā, kas sākas ar vārdiem “Pēc TA projekta stāšanas spēkā…”, sniegto informāciju par noteikumu projektā atbalstāmo darbību īstenošanai papildu nepieciešamo finansējumu 2025.gadam un turpmākiem gadiem, norādot kopējo finansējumu, kā arī ESF Plus finansējumu un valsts budžeta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norādīts, ka ESF Plus finansējuma apmērs nepārsniedz 85 procentus, līdz ar to lūdzam precizēt anotācijas 3.sadaļas 6.punktā trešo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projekta vadības un īstenošanas personāla un sadarbības partnera projekta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Ministru kabineta 2023. gada 5. decembra noteikumu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noteikumi Nr. 724) 18.1. apakšpunkta sākotnējo redakciju, tiktāl cik tas skar attiecināmības nosacījumus, ņemot vērā to, ka vadošās iestādes vadlīnijās Nr.1.2. "Vadlīnijas attiecināmo izmaksu noteikšanai Eiropas Savienības kohēzijas politikas programmas 2021.-2027.gada plānošanas periodā" ierosinātie grozījumi, kas paredz arī personāla izmaksu ierobežojumu svītrošanu attiecībā uz daļlaiku u.c., pašlaik ir saskaņošanas procesā, un gala versija vēl nav apstiprināta. Līdz ar to aicinām ņemt vērā, ka vadlīnijās vēl iespējamas izmaiņas, tai skaitā, tādas, kas ietekmētu arī noteikumu Nr. 724 grozījumus. Papildus vēršam uzmanību, ka noteikumu projekta anotācijā minēts, ka finansējuma saņēmēja projekta vadības un īstenošanas personāla un sadarbības partnera projekta īstenošanas personāla izmaksas veicamas saskaņā ar Valsts un pašvaldību institūciju amatpersonu un darbinieku atlīdzības likumu. Lūdzam nodrošināt savstarpēji saskaņotu informāciju noteikumu projektā un tā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projekta vadības un īstenošanas personāla un sadarbības partnera projekta īstenošanas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projektā iekļautā redakcija nosaka, ka attiecināmas ir personāla izmaksas. Savukārt personāla izmaksu ietvars ir noteikts aktuālajās attiecināmo izmaksu vadlīnijas Nr. 1.2 “Vadlīnijas attiecināmo izmaksu noteikšanai Eiropas Savienības kohēzijas politikas programmas 2021.-2027.gada plānošanas periodā” (turpmāk – vadlīnijas). Finansējuma saņēmējam un sadarbības partnerim šīs vadlīnijas ir saistošas, jo to paredz vienošanās ar Centrālo finanšu un līgumu aģentūru par projekta īstenošanu. Proti, vienošanās par projekta īstenošanu 1. pielikums “Līguma vispārīgie noteikumi” ietver finansējuma saņēmēja un tā sadarbības partnera sadarbības noteikumus, t.sk. noteikumu, ka “Finansējuma saņēmējs, īstenojot Projektu sadarbībā ar sadarbības partneri, nodrošina, ka projekts ir atbilstošs normatīvajiem aktiem attiecībā uz Projekta īstenošanu partnerībā un to, ka </w:t>
            </w:r>
            <w:r w:rsidR="00000000" w:rsidRPr="00000000" w:rsidDel="00000000">
              <w:rPr>
                <w:u w:val="single"/>
                <w:rtl w:val="0"/>
              </w:rPr>
              <w:t xml:space="preserve">sadarbības partneris ievēro šajā Līgumā noteiktos Finansējuma saņēmēja pienākumus</w:t>
            </w:r>
            <w:r w:rsidR="00000000" w:rsidRPr="00000000" w:rsidDel="00000000">
              <w:rPr>
                <w:rtl w:val="0"/>
              </w:rPr>
              <w:t xml:space="preserve"> un starp Finansējuma saņēmēju un sadarbības partneri noslēgtajā sadarbības līgumā paredzētos noteikumus”. Savukārt sadarbības līgums starp finansējuma saņēmēju un sadarbības partneri paredz sadarbības partnera pienākumu pamatot veiktos izdevumus atbilstoši vadlīnijām. Attiecīgi finansējuma saņēmējs un sadarbības partneris izmantos un piemēros aktuālās vadlīnijas. Uzskatām, ka TA projektā iestrādātās izmaiņas ļaus pēc iespējas ātrāk uzsākt aktuālo vadlīniju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saņēmējs (Bērnu aizsardzības centrs) ir labklājības ministra pārraudzībā esoša tiešās pārvaldes iestāde un sadarbības partneris (Valsts administrācijas skola) ir Valsts kancelejas pārraudzībā esoša tiešās pārvaldes iestāde, uz tiem tieši attiecas Valsts un pašvaldību institūciju amatpersonu un darbinieku atlīdzības likums. Līdz ar to nav nepieciešams MK noteikumos Nr. 724 ietvert norādi uz normatīvo aktu, kas nemaina tiesību subjektam jau noteiktus pienākumus. Attiecīgi skaidrojumi ir ietverti tiesību akta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projekta vadības un īstenošanas personāla un sadarbības partnera projekta īstenošanas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slēgti uzņēmuma līgumi par projekta vadību, grāmatvedību vai tamlīdzīgu pakalpojumu sniegšanu, tad pēc būtības tas ir pakalpojums, ko piesaistītais personāls sniedz ar saviem materiālajiem resursiem, līdz ar to darba vietas aprīkojuma izmaksas šajā gadījumā nebūtu attiecināmas. Ņemot vērā iepriekš minēto, lūdzam izvērtēt, vai noteikumu projektā 19.4. apakšpunkta nebūtu jāveic precizējumi, norādot, ka darba vietas aprīkojuma izmaksas ir attiecināmas personālam, kas nodarbināti uz darba līguma vai rīkojuma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noteikumos Nr. 724 19.4. apakšpunktā noteikts, ka darba vietas aprīkojuma izmaksas ir attiecināmas. Savukārt, darba vietas aprīkojuma izmaksu skaidrojums ir noteikts aktuālajās vadlīnijās, kuru 9.4. punktā noteikts “Ja projekta vadības vai īstenošanas darbi tiek veikti, pamatojoties uz uzņēmuma (pakalpojuma) līgumu, darba vietas aprīkojuma izmaksas nav attiecināmas.”.  Uzskatām, ka MK noteikumu Nr.724 19.4. punkta redakcija ietver būtiskākos darba vietas aprīkojuma izmaksu attiecināšanas nosacījumus un visus vadlīnijās ietvertos skaidrojumus pārcelt uz normatīvo aktu nav lietderīgi. Kā jau minēts iepriekš, saskaņā ar vienošanos par projekta īstenošanu, finansējuma saņēmējam un sadarbības partnerim ir jāievēro aktuālajās vadlīnijās noteiktie izmaksu plānošanas un veikšanas  nosacījumi. Līdz ar to šis nosacījums par darba vietas aprīkojuma izmaksu attiecināmību finansējuma saņēmējam un sadarbības partnerim ir saistošs arī bez MK noteikumu Nr. 724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maksājuma pieprasījumu un dalībnieku pārskata sagatavošanas nolūkā veic pēcpārbaudi sadarbības partnera veiktajai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24.2.9.</w:t>
            </w:r>
            <w:r w:rsidR="00000000" w:rsidRPr="00000000" w:rsidDel="00000000">
              <w:rPr>
                <w:rtl w:val="0"/>
              </w:rPr>
              <w:t xml:space="preserve"> apakšpunktā</w:t>
            </w:r>
            <w:r w:rsidR="00000000" w:rsidRPr="00000000" w:rsidDel="00000000">
              <w:rPr>
                <w:rtl w:val="0"/>
              </w:rPr>
              <w:t xml:space="preserve"> minētos personas datus, un saskaņā ar Eiropas Parlamenta un Padomes 2021. gada 24. jūnija Regulas (ES) 2021/1057, ar ko izveido Eiropas Sociālo fondu Plus (ESF+) un atceļ Regulu (ES) Nr. 1296/2013, I pielikumu un Ministru kabineta 2023. gada 21. marta noteikumu Nr. 135 "Eiropas Savienības fondu projektu pārbaužu veikšanas kārtība 2021.–2027. gada plānošanas periodā" 1. pielikumu uzskaita un iesniedz sadarbības iestādē apkopotus datus par atbalstu saņēmušajām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30.5. apakšpunktu, nosakot, ka finansējuma saņēmējs veic pēcpārbaudi arī pakalpojuma sniedzēja  nodrošināto mācību dalībnieku (bāriņtiesas amatpersonu) atbilstības pārbaudi, apstrādājot pakalpojuma sniedzēja iesniegtos šo noteikumu 24.1.3.</w:t>
            </w:r>
            <w:r w:rsidR="00000000" w:rsidRPr="00000000" w:rsidDel="00000000">
              <w:rPr>
                <w:vertAlign w:val="superscript"/>
                <w:rtl w:val="0"/>
              </w:rPr>
              <w:t xml:space="preserve">1</w:t>
            </w:r>
            <w:r w:rsidR="00000000" w:rsidRPr="00000000" w:rsidDel="00000000">
              <w:rPr>
                <w:rtl w:val="0"/>
              </w:rPr>
              <w:t xml:space="preserve"> apakšpunktā minētos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30.5.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maksājuma pieprasījumu un dalībnieku pārskata sagatavošanas nolūkā veic pēcpārbaudi sadarbības partnera veiktajai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24.2.9.</w:t>
            </w:r>
            <w:r w:rsidR="00000000" w:rsidRPr="00000000" w:rsidDel="00000000">
              <w:rPr>
                <w:rtl w:val="0"/>
              </w:rPr>
              <w:t xml:space="preserve"> apakšpunktā</w:t>
            </w:r>
            <w:r w:rsidR="00000000" w:rsidRPr="00000000" w:rsidDel="00000000">
              <w:rPr>
                <w:rtl w:val="0"/>
              </w:rPr>
              <w:t xml:space="preserve"> minētos un pakalpojuma sniedzēja iesniegtos šo noteikumu 24.1.3.</w:t>
            </w:r>
            <w:r w:rsidR="00000000" w:rsidRPr="00000000" w:rsidDel="00000000">
              <w:rPr>
                <w:vertAlign w:val="superscript"/>
                <w:rtl w:val="0"/>
              </w:rPr>
              <w:t xml:space="preserve">1</w:t>
            </w:r>
            <w:r w:rsidR="00000000" w:rsidRPr="00000000" w:rsidDel="00000000">
              <w:rPr>
                <w:rtl w:val="0"/>
              </w:rPr>
              <w:t xml:space="preserve"> apakšpunktā minētos personas datus, un saskaņā ar Eiropas Parlamenta un Padomes 2021. gada 24. jūnija Regulas (ES) 2021/1057, ar ko izveido Eiropas Sociālo fondu Plus (ESF+) un atceļ Regulu (ES) Nr. 1296/2013, I pielikumu un Ministru kabineta 2023. gada 21. marta noteikumu Nr. 135 "Eiropas Savienības fondu projektu pārbaužu veikšanas kārtība 2021.–2027. gada plānošanas periodā" 1. pielikumu uzskaita un iesniedz sadarbības iestādē apkopotus datus par atbalstu saņēmušajām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minētajām personām;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25-TA-420</w:t>
    </w:r>
    <w:r>
      <w:br/>
    </w:r>
    <w:r w:rsidR="00000000" w:rsidRPr="00000000" w:rsidDel="00000000">
      <w:rPr>
        <w:rtl w:val="0"/>
      </w:rPr>
      <w:t xml:space="preserve">17.03.2025. 16.48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25-TA-420</w:t>
    </w:r>
    <w:r>
      <w:br/>
    </w:r>
    <w:r w:rsidR="00000000" w:rsidRPr="00000000" w:rsidDel="00000000">
      <w:rPr>
        <w:rtl w:val="0"/>
      </w:rPr>
      <w:t xml:space="preserve">17.03.2025. 16.48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Izziņa_25-TA-420.docx</dc:title>
</cp:coreProperties>
</file>

<file path=docProps/custom.xml><?xml version="1.0" encoding="utf-8"?>
<Properties xmlns="http://schemas.openxmlformats.org/officeDocument/2006/custom-properties" xmlns:vt="http://schemas.openxmlformats.org/officeDocument/2006/docPropsVTypes"/>
</file>