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(19.02.2026.)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10:50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mērķa formulējumu. Tiesību akta mērķim būtu jābūt vērstam uz pozitīvām izmaiņām, ko paredzēts panākt Latvijā, proti nevis vienkārši precizēt viena atskaites punkta sasniegšanu pamatojošos dokumentus, bet to kāds pozitīvs rezultāts no tā 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papildinot tās 1.2. sadaļu "Mērķis" ar informāciju, ka ierosinātie grozījumi vērsti uz 3.1.2.3.i. investīcijas finansējuma saņēmēju administratīvā sloga mazināšanu, apliecinot sasniedzamā mērķrādītāja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precizētās anotācijas 1.2.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līgumos un vienošanās par investīciju projektu īstenošanu. Gadījumā, ja grozījumi tiks veikti, lūdzam atbilstoši aizpildīt arī anotācijas 7.1. sadaļu, kā arī 2.1. sadaļas apakšsadaļu "Juridiskās personas" un atbilstošo apakšsadaļu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Nr. 475 grozījumu rezultātā nebūs nepieciešams rosināt attiecīgu grozījumus līgumos un vienošanās par investīciju projektu īstenošanu. Minētajos līgumos un vienošanās nav noteikta detalizēta informācija par to, kāda veida mērķrādītāja izpildi pamatojošā dokumentācija finansējuma saņēmējam ir jāiesniedz. Iesniedzamo dokumentu veidi ir apkopoti metodiskajās norādēs finansējuma saņēmējam par sagatavojamo informāciju mērķrādītāja sasniegšanas pamatošanai, ko LM sagatavo atbilstoši MK noteikumu Nr. 475 45.2. apakšpunktam. Pamatojoties uz izmaiņām Atveseļošanas un noturības mehānisma (turpmāk – AF) plānā un ierosinātajiem grozījumiem MK noteikumos Nr. 475, LM ir aktualizējusi arī minētās metodiskās norādes un nosūtījusi Centrālajai finanšu un līgumu aģentūrai finansējuma saņēmēju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ir papildināta noteikumu projekta anotācija. Lūdzam skatīt anotācijas 1.6.sadaļu.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turpmāko virzību vai tā skaidrojumus. Anotācijā norādīts, ka, "[v]</w:t>
            </w:r>
            <w:r w:rsidR="00000000" w:rsidRPr="00000000" w:rsidDel="00000000">
              <w:rPr>
                <w:i w:val="1"/>
                <w:u w:val="single"/>
                <w:rtl w:val="0"/>
              </w:rPr>
              <w:t xml:space="preserve">irzot saskaņošanai grozījumus</w:t>
            </w:r>
            <w:r w:rsidR="00000000" w:rsidRPr="00000000" w:rsidDel="00000000">
              <w:rPr>
                <w:i w:val="1"/>
                <w:rtl w:val="0"/>
              </w:rPr>
              <w:t xml:space="preserve"> Nr. 3 Atveseļošanas un noturības mehānisma (turpmāk – AF) plāna Darbības kārtībā, kas saskaņā ar Eiropas Parlamenta un Padomes 2021. gada 12. februāra regulu (ES) Nr. 2021/241, ar ko izveido AF, sīkāk detalizē AF plāna uzraudzības un īstenošanas kārtību, grafikus atskaites punktu/mērķrādītāju izpildei, kā arī Eiropas Komisijā (turpmāk – EK)  iesniedzamos pamatojošos dokumentus, administratīvā sloga mazināšanas nolūkā </w:t>
            </w:r>
            <w:r w:rsidR="00000000" w:rsidRPr="00000000" w:rsidDel="00000000">
              <w:rPr>
                <w:i w:val="1"/>
                <w:u w:val="single"/>
                <w:rtl w:val="0"/>
              </w:rPr>
              <w:t xml:space="preserve">ir pārskatīti </w:t>
            </w:r>
            <w:r w:rsidR="00000000" w:rsidRPr="00000000" w:rsidDel="00000000">
              <w:rPr>
                <w:i w:val="1"/>
                <w:rtl w:val="0"/>
              </w:rPr>
              <w:t xml:space="preserve">3.1.2.3.i. investīcijas ietvaros sasniedzamajam </w:t>
            </w:r>
            <w:r w:rsidR="00000000" w:rsidRPr="00000000" w:rsidDel="00000000">
              <w:rPr>
                <w:i w:val="1"/>
                <w:u w:val="single"/>
                <w:rtl w:val="0"/>
              </w:rPr>
              <w:t xml:space="preserve">mērķrādītāja Nr. 123 "Ilgstošās aprūpes pakalpojumu sniegšanas vietu nodrošināšana" (turpmāk – mērķrādītājs Nr. 123) pamatojošie dokumenti</w:t>
            </w:r>
            <w:r w:rsidR="00000000" w:rsidRPr="00000000" w:rsidDel="00000000">
              <w:rPr>
                <w:rtl w:val="0"/>
              </w:rPr>
              <w:t xml:space="preserve">". Nav viennozīmīgi saprotams, vai projektu pamatojošie grozījumi jau ir stājušies spēkā vai tikai tiek saskaņoti. Gadījumā, ja grozījumi Nr. 3 Atveseļošanas un noturības mehānisma plāna Darbības kārtībā vēl nav pieņemti, lūdzam izvērtēt iespēju projektu virzīt apstiprināšanai Ministru kabinetā pēc tam, kad tie būs stājušies spēkā, tādējādi arī izvairoties no vairākkārtējas tiesiskā regulējuma grozīšanas.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AF plāna Darbības kārtībā, kas saskaņā ar Eiropas Parlamenta un Padomes 2021. gada 12. februāra regulu (ES) Nr. 2021/241, ar ko izveido AF, ir savstarpējās vienošanās starp Latviju un Eiropas Komisiju (turpmāk – EK) darba dokuments, kas detalizē AF plāna uzraudzības un īstenošanas kārtību, grafikus atskaites punktu/mērķrādītāju izpildei, kā arī EK iesniedzamos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administratīvā sloga mazināšanas nolūkā ar Darbības kārtības grozījumiem Nr. 3 minētā informācija nav pārskatīta, pieņemot, ka atskaites punktu/mērķrādītāju prasības, kuras tiek uzskatītas par būtiskām novērtējumam, jau tika iestrādātas Padomes lēmuma pielikumā esošo atskaites punktu/mērķrādītāju aprakstos. Vienlaikus FM un nozaru ministrijas ar EK ir vienojušās par papildu darba dokumenta izstrādi, kurā minētā informācija būs detalizēta (minētais darba dokuments ir savstarpēji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 saskaņoja AF plāna grozījumus Nr. 3 un attiecīgi 2025. gada 12. decembrī tika pieņemts jauns Padomes īstenošanas lēmums, ar ko groza Īstenošanas lēmumu (2021. gada 13. jūlijs) par Latvijas AF plāna apstiprināšanu (turpmāk – CID 2025. gada 12. decembra lēmums), attiecīgi arī tika veiktas atbilstošas izmaiņas arī spēkā esošajā Darbības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(EK) paziņojumu “Norādījumi par atveseļošanas un noturības plāniem” (C/2024/4618) [1] par administratīvā sloga mazināšanu, ir ieviesti vienkāršošanas elementi attiecībā uz Darbības kārtības pārskatīšanu, tāpēc šie Darbības kārtības grozījumi atšķirībā no iepriekšējiem grozījumiem neietvēra apjomīgas izmaiņas attiecībā uz Darbības kārtības I pielikumu [2]. Arī EK 2026. gada 20. janvāra sniegtajā skaidrojumā dalībvalstīm teikts, ka Latvijas AF plāna gadījumā, ņemot vērā, ka pēc pēdējās pārskatīšanas nav ieviests ievērojams skaits jaunu pasākumu, nav nepieciešams grozīt pārbaudes mehānismu, ņemot vērā arī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 norāda, ka atskaites punktu un mērķrādītāju prasības, kuras tika uzskatītas par būtiskām novērtējumam, jau tika iestrādātas CID 2025. gada 12. decembra lēmuma pielikumā esošo atskaites punktu un mērķrādītāju aprakstos. Nozaru ministrijām un institūcijām, kas atbildīgas par AF plāna investīciju un reformu ieviešanu, jānodrošina saistošo AF atskaites punktu un mērķrādītāju izpilde termiņos, kādi noteikti CID 2025. gada 12. decembra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2026. gada 20. janvāra un 2026. gada 5. februāra sniegtajā skaidrojumā dalībvalstīm EK skaidro, ka ņemot vērā, ka ir gadījumi, kuros rodas neatbilstības starp CID pielikumu un Darbības kārtības I pielikumu, CID pielikums ir noteicošais, un tādēļ nav nepieciešams oficiāli mainīt Darbības kārtības I pielikumā minētos pārbaudes mehānismus. Šāda rīcība radītu nevajadzīgu un nesamērīgu administratīvo slogu abām pusēm, ko ne dalībvalstis, ne Komisija nevar atļauties, ņemot vērā ierobežoto laiku, kas pieejams, lai pabeigtu AF īstenošanu. Izmaiņas pārbaudes mehānismā šobrīd tiek skaņotas darba tabulā ar EK – par to tikts panākta divpusēja vienošanās un tabulu neformāli izmantos, lai nodrošinātu skaidrību un konsekvenci  nacionālā īstenošanas un revīzijas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475 nepieciešami, lai finansējuma saņēmējs nodrošinātu tādas informācijas iesniegšanu, kas atbilst savstarpējai vienošanās ar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https://eur-lex.europa.eu/legal-content/LV/ALL/?uri=CELEX:52024XC04618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paziņojumā “Norādījumi par atveseļošanas un noturības plāniem” (C/2024/4618) tika noteikts, ka, lai, mazinātu administratīvo slogu, Darbības kārtība būs jāpārskata tikai tad, ja tiks pievienots ievērojams skaits jaunu pasākumu (piem., REPowerEU nodaļa) vai ja Darbības kārtībā būs jāpievieno papildu specifikācijas vai tās jāgroza (paziņojuma I sadaļa “Ievads”).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 sadaļu, ņemot vērā skaidrojumu par to, ka projektam ir pozitīva ietekme uz finansējuma saņēmēju un to, ka atbilstoši Ministru kabineta 2023. gada 22. augusta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Noteikumi) 14.2. apakšpunktam finansējuma saņēmējs to izpratnē ir arī komersants, biedrība vai nodibinājums. Līdzīgi lūdzam pārskatīt arī anotācijas 7. sadaļu, jo atbilstoši noteikumu 14.1. apakšpunktam finansējuma saņēmējs ir arī, piemēram, pašvaldības. Tāpat no anotācijas 1.3. apakšsadaļas saprotama ietekme arī uz Centrālo finanšu un līgumu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papildinot 2.1. sadaļu "Sabiedrības grupas, kuras tiesiskais regulējums ietekmē, vai varētu ietekmēt" ar informāciju par ietekmi uz ilgstošas sociālās aprūpes pakalpojuma sniedzējiem – biedrībām un komersantiem, kuri īsteno AF 3.1.2.3.i. investīcijas projektus. Savukārt anotācijas 7.1. sadaļa "Projekta izpildē iesaistītās institūcijas" papildināta ar ietekmi uz pašvaldībām, kuras ir AF 3.1.2.3.i. investīcijas projektus īstenotājas, un Centrālo finanšu un līgumu aģentūru, kas atbilstoši noslēgtajiem līgumiem un vienošanās par projekta īstenošanu nodrošina projekta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precizētās anotācijas 2.1. un 7.1.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minētais finansējuma saņēmējs investīcijas otrās kārtas projekta ietvaros plāno sniegt ģimeniskai videi pietuvinātu pakalpojumu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minētajām personām, tas ģimeniskai videi pietuvinātu pakalpojumu sniedz kā vispārējas tautsaimnieciskas nozīmes pakalpojumu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2026. gada 8. janvārī stājies spēkā 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Tas aizstāj Komisijas Lēmumu 2012/21/ES (2011.gada 20.decembris) par Līguma par Eiropas Savienības darbību 106. panta 2. punkta piemērošanu valsts atbalstam attiecībā uz kompensāciju par sabiedriskajiem pakalpojumiem dažiem uzņēmumiem, kuriem uzticēts sniegt pakalpojumus ar vispārēju tautsaimniecisku nozīmi (turpmāk – vecais VTNP lēmums). Jaunajā VTNP lēmumā ir noteikts, ka visas atbalsta programmas, kas stājās spēkā pirms tā spēkā stāšanās un kas bija saderīgas ar iekšējo tirgu un atbrīvotas no paziņošanas prasības saskaņā ar veco VTNP lēmumu, arī turpmāk ir saderīgas ar iekšējo tirgu un atbrīvotas no paziņošanas prasības vēl divu gadu laikposmā pēc šā lēmuma stāšanās spēkā. Vēršam uzmanību, ka atbilstoši jaunā VTNP lēmuma pārejas noteikumiem (9. panta a) punkts) atbalsta shēmas, kas stājās spēkā pirms jaunā lēmuma spēkā stāšanās un bija saderīgas ar Eiropas Savienības iekšējo tirgu un atbrīvotas no paziņošanas pienākuma saskaņā ar veco VTNP lēmumu, arī turpmāk ir saderīgas ar iekšējo tirgu un atbrīvotas no paziņošanas prasības vēl divu gadu laikposmā pēc šā lēmuma stāšanās spēkā, t.i., līdz 2028. gada 7. janvārim. Saderības ar ES iekšējo tirgu pamatnosacījumi nav konceptuāli mainīti, proti, gan vecais VTNP lēmums, gan jaunais VTNP lēmums balstās uz tiem pašiem principiem, un jaunais lēmums būtiski nepārskata šos principus, bet tikai precizē terminoloģiju un atsevišķus aspektus, piemēram, pilnvarojuma satura prasības un atsevišķu vispārējas tautsaimniecības nozīmes pakalpojuma kategoriju definīcijas. Lai būtu skaidrs, ka, neveicot grozījumus MK noteikumos, atbalstu programmas ietvaros saskaņā ar veco VTNP lēmumu var saņemt arī subjekti, kam noslēgts pilnvarojuma akts ar jauno VTNP lēmumu, aicinām anotācijā iekļaut atrunu, ka atbalstu saskaņā ar veco VTNP lēmumu var saņemt arī subjekti, kam noslēgts pilnvarojuma akts ar jauno VTNP lēmumu, ievērojot noteikumos ietvertos atbalsta nosacījumus un nosacījumus, kas izriet no vecā VTNP lēmuma, un atsauces neesamība pilnvarojuma aktā uz veco VTNP lēmumu nav šķērslis, lai piešķirtu atbalstu saskaņā ar veco VTNP lēmumu. Taču, ja plānots, ka gadījumos, kad pilnvarojuma akts noslēgts atbilstoši jaunajam VTNP lēmumam, atbalstu piešķirs ar jauno VTNP lēmumu, tad lūgums veikt precizējumus MK noteikumos un sniegt atbilstošu skaidrojumu anotācijā, skaidri nosakot, kuros gadījumos atbalstu piešķirs atbilstoši vecajam VTNP lēmumam un kuros – atbilstoši jaunajam VTNP lēmumam (atkarībā no tā, ar kuru Lēmumu pilnvarojuma akts). Piemēram, tad MK noteikumu 48.</w:t>
            </w:r>
            <w:r w:rsidR="00000000" w:rsidRPr="00000000" w:rsidDel="00000000">
              <w:rPr>
                <w:vertAlign w:val="superscript"/>
                <w:rtl w:val="0"/>
              </w:rPr>
              <w:t xml:space="preserve">1</w:t>
            </w:r>
            <w:r w:rsidR="00000000" w:rsidRPr="00000000" w:rsidDel="00000000">
              <w:rPr>
                <w:rtl w:val="0"/>
              </w:rPr>
              <w:t xml:space="preserve">2.7. apakšpunkts būtu papildināms ar tekstu "(izņemot, ja pilnvarojuma akts ir ar Komisijas Lēmumu (ES) 2025/2630 (2025. gada 16. decembris)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un jāsniedz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475  14.</w:t>
            </w:r>
            <w:r w:rsidR="00000000" w:rsidRPr="00000000" w:rsidDel="00000000">
              <w:rPr>
                <w:vertAlign w:val="superscript"/>
                <w:rtl w:val="0"/>
              </w:rPr>
              <w:t xml:space="preserve">1</w:t>
            </w:r>
            <w:r w:rsidR="00000000" w:rsidRPr="00000000" w:rsidDel="00000000">
              <w:rPr>
                <w:rtl w:val="0"/>
              </w:rPr>
              <w:t xml:space="preserve"> punktu, minēto noteikumu 4.2. apakšpunktā minētajām personām ģimeniskai videi pietuvinātu pakalpojumu sniedz kā vispārējas tautsaimnieciskas nozīmes pakalpojumu (turpmāk – VTNP) atbilstoši Eiropas Komisijas 2011. gada 20. decembra lēmumam Nr. 2012/21/ES (turpmāk – vecais VTNP lēmums). Ņemot vērā to, ka vecais VTNP lēmums ir spēkā līdz 2028. gada 7. janvārim, kā arī to, ka 2026. gada 8. janvārī stājās spēkā Komisijas lēmums (ES) 2025/2630 (turpmāk – jaunais VTNP lēmums), 3.1.2.3.i investīcijas ietvaros atbalstu saskaņā ar veco VTNP lēmumu var saņemt arī subjekti, ar kuriem noslēgts pilnvarojuma akts atbilstoši jaunajam VTNP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ir ievērojami noteikumos ietvertie atbalsta nosacījumi, kā arī nosacījumi, kas izriet no vecā VTNP lēmuma. Atsauces neesamība pilnvarojuma aktā uz veco VTNP lēmumu pati par sevi nav uzskatāma par šķērsli atbalsta piešķiršanai saskaņā ar jauno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minētais finansējuma saņēmējs investīcijas otrās kārtas projekta ietvaros plāno sniegt ģimeniskai videi pietuvinātu pakalpojumu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minētajām personām, tas ģimeniskai videi pietuvinātu pakalpojumu sniedz kā vispārējas tautsaimnieciskas nozīmes pakalpojumu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(16.04.2025.)</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26-TA-358</w:t>
    </w:r>
    <w:r>
      <w:br/>
    </w:r>
    <w:r w:rsidR="00000000" w:rsidRPr="00000000" w:rsidDel="00000000">
      <w:rPr>
        <w:rtl w:val="0"/>
      </w:rPr>
      <w:t xml:space="preserve">14.05.2026. 14.52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26-TA-358</w:t>
    </w:r>
    <w:r>
      <w:br/>
    </w:r>
    <w:r w:rsidR="00000000" w:rsidRPr="00000000" w:rsidDel="00000000">
      <w:rPr>
        <w:rtl w:val="0"/>
      </w:rPr>
      <w:t xml:space="preserve">14.05.2026. 14.52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Izziņa_26-TA-358.docx</dc:title>
</cp:coreProperties>
</file>

<file path=docProps/custom.xml><?xml version="1.0" encoding="utf-8"?>
<Properties xmlns="http://schemas.openxmlformats.org/officeDocument/2006/custom-properties" xmlns:vt="http://schemas.openxmlformats.org/officeDocument/2006/docPropsVTypes"/>
</file>