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3E1" w14:textId="75B2CC50" w:rsidR="00CC6591" w:rsidRPr="001A73BA" w:rsidRDefault="00CC6591" w:rsidP="00A3143D">
      <w:pPr>
        <w:pStyle w:val="naisnod"/>
        <w:spacing w:before="0" w:after="0"/>
        <w:jc w:val="left"/>
      </w:pPr>
    </w:p>
    <w:tbl>
      <w:tblPr>
        <w:tblW w:w="0" w:type="auto"/>
        <w:jc w:val="center"/>
        <w:tblLook w:val="00A0" w:firstRow="1" w:lastRow="0" w:firstColumn="1" w:lastColumn="0" w:noHBand="0" w:noVBand="0"/>
      </w:tblPr>
      <w:tblGrid>
        <w:gridCol w:w="10773"/>
      </w:tblGrid>
      <w:tr w:rsidR="00CC6591" w:rsidRPr="001A73BA" w14:paraId="29058C7C" w14:textId="77777777" w:rsidTr="00A20799">
        <w:trPr>
          <w:jc w:val="center"/>
        </w:trPr>
        <w:tc>
          <w:tcPr>
            <w:tcW w:w="10773" w:type="dxa"/>
            <w:tcBorders>
              <w:bottom w:val="single" w:sz="6" w:space="0" w:color="000000"/>
            </w:tcBorders>
          </w:tcPr>
          <w:p w14:paraId="3822C5A8" w14:textId="148C6CBB" w:rsidR="00CC6591" w:rsidRPr="00A20799" w:rsidRDefault="00A3143D" w:rsidP="00A3143D">
            <w:pPr>
              <w:jc w:val="center"/>
              <w:rPr>
                <w:b/>
                <w:bCs/>
              </w:rPr>
            </w:pPr>
            <w:r w:rsidRPr="00A20799">
              <w:rPr>
                <w:b/>
                <w:bCs/>
              </w:rPr>
              <w:t>Izziņa par atzinumos sniegtajiem iebildumiem par</w:t>
            </w:r>
            <w:r w:rsidR="00A20799" w:rsidRPr="00A20799">
              <w:rPr>
                <w:b/>
                <w:bCs/>
              </w:rPr>
              <w:t xml:space="preserve"> noteikumu projektu “</w:t>
            </w:r>
            <w:r w:rsidR="00C277D6" w:rsidRPr="00F619D4">
              <w:rPr>
                <w:b/>
                <w:bCs/>
                <w:iCs/>
              </w:rPr>
              <w:t>Nacionālie antidopinga noteikumi</w:t>
            </w:r>
            <w:r w:rsidR="00C277D6">
              <w:rPr>
                <w:b/>
                <w:bCs/>
                <w:iCs/>
              </w:rPr>
              <w:t>”</w:t>
            </w:r>
            <w:r w:rsidR="00A20799" w:rsidRPr="00A20799">
              <w:rPr>
                <w:b/>
                <w:bCs/>
              </w:rPr>
              <w:t xml:space="preserve"> (VSS-71</w:t>
            </w:r>
            <w:r w:rsidR="00F955F0">
              <w:rPr>
                <w:b/>
                <w:bCs/>
              </w:rPr>
              <w:t>4</w:t>
            </w:r>
            <w:r w:rsidR="00A20799" w:rsidRPr="00A20799">
              <w:rPr>
                <w:b/>
                <w:bCs/>
              </w:rPr>
              <w:t>)</w:t>
            </w:r>
          </w:p>
        </w:tc>
      </w:tr>
    </w:tbl>
    <w:p w14:paraId="54EB2B57" w14:textId="77777777" w:rsidR="00CC6591" w:rsidRPr="001A73BA" w:rsidRDefault="00CC6591" w:rsidP="00CC6591">
      <w:pPr>
        <w:pStyle w:val="naisc"/>
        <w:spacing w:before="0" w:after="0"/>
        <w:ind w:firstLine="1080"/>
      </w:pPr>
      <w:r w:rsidRPr="001A73BA">
        <w:t>(dokumenta veids un nosaukums)</w:t>
      </w:r>
    </w:p>
    <w:p w14:paraId="5CEA8E95" w14:textId="77777777" w:rsidR="00CC6591" w:rsidRPr="001A73BA" w:rsidRDefault="00CC6591" w:rsidP="00CC6591">
      <w:pPr>
        <w:pStyle w:val="naisf"/>
        <w:spacing w:before="0" w:after="0"/>
        <w:ind w:firstLine="720"/>
      </w:pPr>
    </w:p>
    <w:p w14:paraId="2D6CCC23" w14:textId="77777777" w:rsidR="00CC6591" w:rsidRPr="001A73BA" w:rsidRDefault="00CC6591" w:rsidP="00CC6591">
      <w:pPr>
        <w:pStyle w:val="naisf"/>
        <w:spacing w:before="0" w:after="0"/>
        <w:ind w:firstLine="0"/>
        <w:jc w:val="center"/>
        <w:rPr>
          <w:b/>
        </w:rPr>
      </w:pPr>
      <w:r w:rsidRPr="001A73BA">
        <w:rPr>
          <w:b/>
        </w:rPr>
        <w:t>I. Jautājumi, par kuriem saskaņošanā vienošanās nav panākta</w:t>
      </w:r>
    </w:p>
    <w:p w14:paraId="41E024AB" w14:textId="77777777" w:rsidR="00CC6591" w:rsidRPr="001A73BA" w:rsidRDefault="00CC6591" w:rsidP="00CC659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CC6591" w:rsidRPr="001A73BA" w14:paraId="4D911B5B" w14:textId="77777777" w:rsidTr="002B6155">
        <w:tc>
          <w:tcPr>
            <w:tcW w:w="708" w:type="dxa"/>
            <w:tcBorders>
              <w:top w:val="single" w:sz="6" w:space="0" w:color="000000"/>
              <w:left w:val="single" w:sz="6" w:space="0" w:color="000000"/>
              <w:bottom w:val="single" w:sz="6" w:space="0" w:color="000000"/>
              <w:right w:val="single" w:sz="6" w:space="0" w:color="000000"/>
            </w:tcBorders>
            <w:vAlign w:val="center"/>
          </w:tcPr>
          <w:p w14:paraId="4EEB98AD" w14:textId="77777777" w:rsidR="00CC6591" w:rsidRPr="001A73BA" w:rsidRDefault="00CC6591" w:rsidP="006457C3">
            <w:pPr>
              <w:pStyle w:val="naisc"/>
              <w:spacing w:before="0" w:after="0"/>
            </w:pPr>
            <w:r w:rsidRPr="001A73BA">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4CF58C" w14:textId="77777777" w:rsidR="00CC6591" w:rsidRPr="001A73BA" w:rsidRDefault="00CC6591" w:rsidP="006457C3">
            <w:pPr>
              <w:pStyle w:val="naisc"/>
              <w:spacing w:before="0" w:after="0"/>
              <w:ind w:firstLine="12"/>
            </w:pPr>
            <w:r w:rsidRPr="001A73B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674C764" w14:textId="77777777" w:rsidR="00CC6591" w:rsidRPr="001A73BA" w:rsidRDefault="00CC6591" w:rsidP="006457C3">
            <w:pPr>
              <w:pStyle w:val="naisc"/>
              <w:spacing w:before="0" w:after="0"/>
              <w:ind w:right="3"/>
            </w:pPr>
            <w:r w:rsidRPr="001A73BA">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911FE66" w14:textId="77777777" w:rsidR="00CC6591" w:rsidRPr="001A73BA" w:rsidRDefault="00CC6591" w:rsidP="006457C3">
            <w:pPr>
              <w:pStyle w:val="naisc"/>
              <w:spacing w:before="0" w:after="0"/>
              <w:ind w:firstLine="21"/>
            </w:pPr>
            <w:r w:rsidRPr="001A73BA">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2597C4D" w14:textId="77777777" w:rsidR="00CC6591" w:rsidRPr="001A73BA" w:rsidRDefault="00CC6591" w:rsidP="006457C3">
            <w:pPr>
              <w:jc w:val="center"/>
            </w:pPr>
            <w:r w:rsidRPr="001A73B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E02695E" w14:textId="77777777" w:rsidR="00CC6591" w:rsidRPr="001A73BA" w:rsidRDefault="00CC6591" w:rsidP="006457C3">
            <w:pPr>
              <w:jc w:val="center"/>
            </w:pPr>
            <w:r w:rsidRPr="001A73BA">
              <w:t>Projekta attiecīgā punkta (panta) galīgā redakcija</w:t>
            </w:r>
          </w:p>
        </w:tc>
      </w:tr>
      <w:tr w:rsidR="00CC6591" w:rsidRPr="001A73BA" w14:paraId="6C05639F" w14:textId="77777777" w:rsidTr="002B6155">
        <w:tc>
          <w:tcPr>
            <w:tcW w:w="708" w:type="dxa"/>
            <w:tcBorders>
              <w:top w:val="single" w:sz="6" w:space="0" w:color="000000"/>
              <w:left w:val="single" w:sz="6" w:space="0" w:color="000000"/>
              <w:bottom w:val="single" w:sz="6" w:space="0" w:color="000000"/>
              <w:right w:val="single" w:sz="6" w:space="0" w:color="000000"/>
            </w:tcBorders>
          </w:tcPr>
          <w:p w14:paraId="52D35497" w14:textId="77777777" w:rsidR="00CC6591" w:rsidRPr="001A73BA" w:rsidRDefault="00CC6591" w:rsidP="006457C3">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1060F93A" w14:textId="77777777" w:rsidR="00CC6591" w:rsidRPr="001A73BA" w:rsidRDefault="00CC6591" w:rsidP="006457C3">
            <w:pPr>
              <w:pStyle w:val="naisc"/>
              <w:spacing w:before="0" w:after="0"/>
              <w:ind w:firstLine="720"/>
            </w:pPr>
            <w:r w:rsidRPr="001A73BA">
              <w:t>2</w:t>
            </w:r>
          </w:p>
        </w:tc>
        <w:tc>
          <w:tcPr>
            <w:tcW w:w="3118" w:type="dxa"/>
            <w:tcBorders>
              <w:top w:val="single" w:sz="6" w:space="0" w:color="000000"/>
              <w:left w:val="single" w:sz="6" w:space="0" w:color="000000"/>
              <w:bottom w:val="single" w:sz="6" w:space="0" w:color="000000"/>
              <w:right w:val="single" w:sz="6" w:space="0" w:color="000000"/>
            </w:tcBorders>
          </w:tcPr>
          <w:p w14:paraId="7345EDC6" w14:textId="77777777" w:rsidR="00CC6591" w:rsidRPr="001A73BA" w:rsidRDefault="00CC6591" w:rsidP="006457C3">
            <w:pPr>
              <w:pStyle w:val="naisc"/>
              <w:spacing w:before="0" w:after="0"/>
              <w:ind w:firstLine="720"/>
            </w:pPr>
            <w:r w:rsidRPr="001A73BA">
              <w:t>3</w:t>
            </w:r>
          </w:p>
        </w:tc>
        <w:tc>
          <w:tcPr>
            <w:tcW w:w="2977" w:type="dxa"/>
            <w:tcBorders>
              <w:top w:val="single" w:sz="6" w:space="0" w:color="000000"/>
              <w:left w:val="single" w:sz="6" w:space="0" w:color="000000"/>
              <w:bottom w:val="single" w:sz="6" w:space="0" w:color="000000"/>
              <w:right w:val="single" w:sz="6" w:space="0" w:color="000000"/>
            </w:tcBorders>
          </w:tcPr>
          <w:p w14:paraId="5CBFBE9D" w14:textId="77777777" w:rsidR="00CC6591" w:rsidRPr="001A73BA" w:rsidRDefault="00CC6591" w:rsidP="006457C3">
            <w:pPr>
              <w:pStyle w:val="naisc"/>
              <w:spacing w:before="0" w:after="0"/>
              <w:ind w:firstLine="720"/>
            </w:pPr>
            <w:r w:rsidRPr="001A73BA">
              <w:t>4</w:t>
            </w:r>
          </w:p>
        </w:tc>
        <w:tc>
          <w:tcPr>
            <w:tcW w:w="2459" w:type="dxa"/>
            <w:tcBorders>
              <w:top w:val="single" w:sz="4" w:space="0" w:color="auto"/>
              <w:left w:val="single" w:sz="4" w:space="0" w:color="auto"/>
              <w:bottom w:val="single" w:sz="4" w:space="0" w:color="auto"/>
              <w:right w:val="single" w:sz="4" w:space="0" w:color="auto"/>
            </w:tcBorders>
          </w:tcPr>
          <w:p w14:paraId="43006646" w14:textId="77777777" w:rsidR="00CC6591" w:rsidRPr="001A73BA" w:rsidRDefault="00CC6591" w:rsidP="006457C3">
            <w:pPr>
              <w:jc w:val="center"/>
            </w:pPr>
            <w:r w:rsidRPr="001A73BA">
              <w:t>5</w:t>
            </w:r>
          </w:p>
        </w:tc>
        <w:tc>
          <w:tcPr>
            <w:tcW w:w="1920" w:type="dxa"/>
            <w:tcBorders>
              <w:top w:val="single" w:sz="4" w:space="0" w:color="auto"/>
              <w:left w:val="single" w:sz="4" w:space="0" w:color="auto"/>
              <w:bottom w:val="single" w:sz="4" w:space="0" w:color="auto"/>
            </w:tcBorders>
          </w:tcPr>
          <w:p w14:paraId="01607216" w14:textId="77777777" w:rsidR="00CC6591" w:rsidRPr="001A73BA" w:rsidRDefault="00CC6591" w:rsidP="006457C3">
            <w:pPr>
              <w:jc w:val="center"/>
            </w:pPr>
            <w:r w:rsidRPr="001A73BA">
              <w:t>6</w:t>
            </w:r>
          </w:p>
        </w:tc>
      </w:tr>
      <w:tr w:rsidR="00CC6591" w:rsidRPr="001A73BA" w14:paraId="04B12BA9" w14:textId="77777777" w:rsidTr="002B6155">
        <w:tc>
          <w:tcPr>
            <w:tcW w:w="708" w:type="dxa"/>
            <w:tcBorders>
              <w:top w:val="single" w:sz="6" w:space="0" w:color="000000"/>
              <w:left w:val="single" w:sz="6" w:space="0" w:color="000000"/>
              <w:bottom w:val="single" w:sz="6" w:space="0" w:color="000000"/>
              <w:right w:val="single" w:sz="6" w:space="0" w:color="000000"/>
            </w:tcBorders>
          </w:tcPr>
          <w:p w14:paraId="25CBBC5B" w14:textId="77777777" w:rsidR="00CC6591" w:rsidRPr="001A73BA" w:rsidRDefault="00CC6591" w:rsidP="006457C3">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1405BC2A" w14:textId="77777777" w:rsidR="00CC6591" w:rsidRPr="001A73BA" w:rsidRDefault="00CC6591" w:rsidP="006457C3">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14:paraId="3B104736" w14:textId="77777777" w:rsidR="00CC6591" w:rsidRPr="001A73BA" w:rsidRDefault="00CC6591" w:rsidP="006457C3">
            <w:pPr>
              <w:pStyle w:val="naisc"/>
              <w:spacing w:before="0" w:after="0"/>
              <w:ind w:firstLine="720"/>
            </w:pPr>
          </w:p>
        </w:tc>
        <w:tc>
          <w:tcPr>
            <w:tcW w:w="2977" w:type="dxa"/>
            <w:tcBorders>
              <w:top w:val="single" w:sz="6" w:space="0" w:color="000000"/>
              <w:left w:val="single" w:sz="6" w:space="0" w:color="000000"/>
              <w:bottom w:val="single" w:sz="6" w:space="0" w:color="000000"/>
              <w:right w:val="single" w:sz="6" w:space="0" w:color="000000"/>
            </w:tcBorders>
          </w:tcPr>
          <w:p w14:paraId="7A88C60B" w14:textId="77777777" w:rsidR="00CC6591" w:rsidRPr="001A73BA" w:rsidRDefault="00CC6591" w:rsidP="006457C3">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C22959F" w14:textId="77777777" w:rsidR="00CC6591" w:rsidRPr="001A73BA" w:rsidRDefault="00CC6591" w:rsidP="006457C3">
            <w:pPr>
              <w:jc w:val="center"/>
            </w:pPr>
          </w:p>
        </w:tc>
        <w:tc>
          <w:tcPr>
            <w:tcW w:w="1920" w:type="dxa"/>
            <w:tcBorders>
              <w:top w:val="single" w:sz="4" w:space="0" w:color="auto"/>
              <w:left w:val="single" w:sz="4" w:space="0" w:color="auto"/>
              <w:bottom w:val="single" w:sz="4" w:space="0" w:color="auto"/>
            </w:tcBorders>
          </w:tcPr>
          <w:p w14:paraId="05D2D7E5" w14:textId="77777777" w:rsidR="00CC6591" w:rsidRPr="001A73BA" w:rsidRDefault="00CC6591" w:rsidP="006457C3">
            <w:pPr>
              <w:jc w:val="center"/>
            </w:pPr>
          </w:p>
        </w:tc>
      </w:tr>
    </w:tbl>
    <w:p w14:paraId="48FCA690" w14:textId="77777777" w:rsidR="00CC6591" w:rsidRPr="001A73BA" w:rsidRDefault="00CC6591" w:rsidP="00CC6591">
      <w:pPr>
        <w:pStyle w:val="naisf"/>
        <w:spacing w:before="0" w:after="0"/>
        <w:ind w:firstLine="0"/>
        <w:rPr>
          <w:b/>
        </w:rPr>
      </w:pPr>
    </w:p>
    <w:p w14:paraId="1F8ECA8A" w14:textId="77777777" w:rsidR="00CC6591" w:rsidRPr="001A73BA" w:rsidRDefault="00CC6591" w:rsidP="00CC6591">
      <w:pPr>
        <w:pStyle w:val="naisf"/>
        <w:spacing w:before="0" w:after="0"/>
        <w:ind w:firstLine="0"/>
        <w:rPr>
          <w:b/>
        </w:rPr>
      </w:pPr>
      <w:r w:rsidRPr="001A73BA">
        <w:rPr>
          <w:b/>
        </w:rPr>
        <w:t>Informācija par starpministriju (starpinstitūciju) sanāksmi vai elektronisko saskaņošanu</w:t>
      </w:r>
    </w:p>
    <w:p w14:paraId="43FCDD02" w14:textId="77777777" w:rsidR="00CC6591" w:rsidRPr="001A73BA" w:rsidRDefault="00CC6591" w:rsidP="00CC6591">
      <w:pPr>
        <w:pStyle w:val="naisf"/>
        <w:spacing w:before="0" w:after="0"/>
        <w:ind w:firstLine="0"/>
        <w:rPr>
          <w:b/>
        </w:rPr>
      </w:pPr>
    </w:p>
    <w:tbl>
      <w:tblPr>
        <w:tblW w:w="12582" w:type="dxa"/>
        <w:tblLook w:val="00A0" w:firstRow="1" w:lastRow="0" w:firstColumn="1" w:lastColumn="0" w:noHBand="0" w:noVBand="0"/>
      </w:tblPr>
      <w:tblGrid>
        <w:gridCol w:w="6345"/>
        <w:gridCol w:w="6237"/>
      </w:tblGrid>
      <w:tr w:rsidR="00CC6591" w:rsidRPr="001A73BA" w14:paraId="0A912263" w14:textId="77777777" w:rsidTr="006457C3">
        <w:tc>
          <w:tcPr>
            <w:tcW w:w="6345" w:type="dxa"/>
          </w:tcPr>
          <w:p w14:paraId="56B77D80" w14:textId="77777777" w:rsidR="00CC6591" w:rsidRPr="001A73BA" w:rsidRDefault="00CC6591" w:rsidP="006457C3">
            <w:pPr>
              <w:pStyle w:val="naisf"/>
              <w:spacing w:before="0" w:after="0"/>
              <w:ind w:firstLine="0"/>
            </w:pPr>
            <w:r w:rsidRPr="001A73BA">
              <w:t>Datums</w:t>
            </w:r>
          </w:p>
        </w:tc>
        <w:tc>
          <w:tcPr>
            <w:tcW w:w="6237" w:type="dxa"/>
            <w:tcBorders>
              <w:bottom w:val="single" w:sz="4" w:space="0" w:color="auto"/>
            </w:tcBorders>
          </w:tcPr>
          <w:p w14:paraId="45F15D60" w14:textId="35E01DB9" w:rsidR="00CC6591" w:rsidRDefault="00E258C7" w:rsidP="006457C3">
            <w:pPr>
              <w:pStyle w:val="NormalWeb"/>
              <w:spacing w:before="0" w:beforeAutospacing="0" w:after="0" w:afterAutospacing="0"/>
            </w:pPr>
            <w:r w:rsidRPr="001A73BA">
              <w:t xml:space="preserve">Elektroniskā saskaņošana </w:t>
            </w:r>
            <w:r w:rsidR="00781D62">
              <w:t>03.09.2021</w:t>
            </w:r>
            <w:r w:rsidR="007A70EA">
              <w:t xml:space="preserve"> ar visām ministrijām</w:t>
            </w:r>
          </w:p>
          <w:p w14:paraId="5856874B" w14:textId="32D75D23" w:rsidR="00723201" w:rsidRPr="001A73BA" w:rsidRDefault="00723201" w:rsidP="006457C3">
            <w:pPr>
              <w:pStyle w:val="NormalWeb"/>
              <w:spacing w:before="0" w:beforeAutospacing="0" w:after="0" w:afterAutospacing="0"/>
            </w:pPr>
            <w:r>
              <w:t>Elektroniskā saskaņošana</w:t>
            </w:r>
            <w:r w:rsidR="007A70EA">
              <w:t xml:space="preserve"> tikai</w:t>
            </w:r>
            <w:r>
              <w:t xml:space="preserve"> ar Tieslietu ministriju 10.09.2021</w:t>
            </w:r>
            <w:r w:rsidR="007A70EA">
              <w:t xml:space="preserve">, </w:t>
            </w:r>
            <w:r>
              <w:t>1</w:t>
            </w:r>
            <w:r w:rsidR="00EE1FBC">
              <w:t>4</w:t>
            </w:r>
            <w:r>
              <w:t>.09.2021</w:t>
            </w:r>
            <w:r w:rsidR="007A70EA">
              <w:t xml:space="preserve"> un 15.09.2021</w:t>
            </w:r>
          </w:p>
        </w:tc>
      </w:tr>
      <w:tr w:rsidR="00CC6591" w:rsidRPr="001A73BA" w14:paraId="1AF756EB" w14:textId="77777777" w:rsidTr="006457C3">
        <w:tc>
          <w:tcPr>
            <w:tcW w:w="6345" w:type="dxa"/>
          </w:tcPr>
          <w:p w14:paraId="7CE0F725" w14:textId="77777777" w:rsidR="00CC6591" w:rsidRPr="001A73BA" w:rsidRDefault="00CC6591" w:rsidP="006457C3">
            <w:pPr>
              <w:pStyle w:val="naisf"/>
              <w:spacing w:before="0" w:after="0"/>
              <w:ind w:firstLine="0"/>
            </w:pPr>
          </w:p>
        </w:tc>
        <w:tc>
          <w:tcPr>
            <w:tcW w:w="6237" w:type="dxa"/>
            <w:tcBorders>
              <w:top w:val="single" w:sz="4" w:space="0" w:color="auto"/>
            </w:tcBorders>
          </w:tcPr>
          <w:p w14:paraId="5D7635B5" w14:textId="77777777" w:rsidR="00CC6591" w:rsidRPr="001A73BA" w:rsidRDefault="00CC6591" w:rsidP="006457C3">
            <w:pPr>
              <w:pStyle w:val="NormalWeb"/>
              <w:spacing w:before="0" w:beforeAutospacing="0" w:after="0" w:afterAutospacing="0"/>
              <w:ind w:firstLine="720"/>
            </w:pPr>
          </w:p>
        </w:tc>
      </w:tr>
      <w:tr w:rsidR="00CC6591" w:rsidRPr="001A73BA" w14:paraId="4CBE8D37" w14:textId="77777777" w:rsidTr="006457C3">
        <w:tc>
          <w:tcPr>
            <w:tcW w:w="6345" w:type="dxa"/>
          </w:tcPr>
          <w:p w14:paraId="1DCE3A02" w14:textId="77777777" w:rsidR="00CC6591" w:rsidRPr="001A73BA" w:rsidRDefault="00CC6591" w:rsidP="006457C3">
            <w:pPr>
              <w:pStyle w:val="naiskr"/>
              <w:spacing w:before="0" w:after="0"/>
            </w:pPr>
            <w:r w:rsidRPr="001A73BA">
              <w:t>Saskaņošanas dalībnieki</w:t>
            </w:r>
          </w:p>
        </w:tc>
        <w:tc>
          <w:tcPr>
            <w:tcW w:w="6237" w:type="dxa"/>
            <w:tcBorders>
              <w:bottom w:val="single" w:sz="4" w:space="0" w:color="auto"/>
            </w:tcBorders>
          </w:tcPr>
          <w:p w14:paraId="0B9420E4" w14:textId="6F41BFE8" w:rsidR="00CC6591" w:rsidRPr="001A73BA" w:rsidRDefault="00CC6591" w:rsidP="006457C3">
            <w:pPr>
              <w:pStyle w:val="NormalWeb"/>
              <w:spacing w:before="0" w:beforeAutospacing="0" w:after="0" w:afterAutospacing="0"/>
            </w:pPr>
            <w:r w:rsidRPr="001A73BA">
              <w:t>Tieslietu ministrija, Izglītības un zinātnes ministrija, Finanšu ministrija, Ārlietu ministrija</w:t>
            </w:r>
            <w:r w:rsidR="00A20799">
              <w:t xml:space="preserve">, </w:t>
            </w:r>
            <w:r w:rsidR="00E258C7" w:rsidRPr="001A73BA">
              <w:t>Vides aizsardzības un reģionālās attīstības ministrija</w:t>
            </w:r>
          </w:p>
        </w:tc>
      </w:tr>
    </w:tbl>
    <w:p w14:paraId="3CFA2DBF" w14:textId="77777777" w:rsidR="00CC6591" w:rsidRPr="001A73BA" w:rsidRDefault="00CC6591" w:rsidP="00CC6591"/>
    <w:tbl>
      <w:tblPr>
        <w:tblW w:w="12582" w:type="dxa"/>
        <w:tblLook w:val="00A0" w:firstRow="1" w:lastRow="0" w:firstColumn="1" w:lastColumn="0" w:noHBand="0" w:noVBand="0"/>
      </w:tblPr>
      <w:tblGrid>
        <w:gridCol w:w="6708"/>
        <w:gridCol w:w="840"/>
        <w:gridCol w:w="5034"/>
      </w:tblGrid>
      <w:tr w:rsidR="00CC6591" w:rsidRPr="001A73BA" w14:paraId="3517F21B" w14:textId="77777777" w:rsidTr="006457C3">
        <w:trPr>
          <w:trHeight w:val="285"/>
        </w:trPr>
        <w:tc>
          <w:tcPr>
            <w:tcW w:w="6708" w:type="dxa"/>
          </w:tcPr>
          <w:p w14:paraId="64B9DC57" w14:textId="77777777" w:rsidR="00CC6591" w:rsidRPr="001A73BA" w:rsidRDefault="00CC6591" w:rsidP="006457C3">
            <w:pPr>
              <w:pStyle w:val="naiskr"/>
              <w:spacing w:before="0" w:after="0"/>
            </w:pPr>
            <w:r w:rsidRPr="001A73BA">
              <w:t>Saskaņošanas dalībnieki izskatīja šādu ministriju (citu institūciju) iebildumus</w:t>
            </w:r>
          </w:p>
        </w:tc>
        <w:tc>
          <w:tcPr>
            <w:tcW w:w="840" w:type="dxa"/>
          </w:tcPr>
          <w:p w14:paraId="4946DB48" w14:textId="77777777" w:rsidR="00CC6591" w:rsidRPr="001A73BA" w:rsidRDefault="00CC6591" w:rsidP="006457C3">
            <w:pPr>
              <w:pStyle w:val="naiskr"/>
              <w:spacing w:before="0" w:after="0"/>
              <w:ind w:firstLine="720"/>
            </w:pPr>
          </w:p>
        </w:tc>
        <w:tc>
          <w:tcPr>
            <w:tcW w:w="5034" w:type="dxa"/>
            <w:tcBorders>
              <w:bottom w:val="single" w:sz="4" w:space="0" w:color="auto"/>
            </w:tcBorders>
          </w:tcPr>
          <w:p w14:paraId="3E5745A7" w14:textId="310454C0" w:rsidR="00CC6591" w:rsidRPr="001A73BA" w:rsidRDefault="00CC6591" w:rsidP="006457C3">
            <w:pPr>
              <w:pStyle w:val="naiskr"/>
              <w:spacing w:before="0" w:after="0"/>
              <w:ind w:firstLine="12"/>
            </w:pPr>
          </w:p>
        </w:tc>
      </w:tr>
      <w:tr w:rsidR="00CC6591" w:rsidRPr="007E6C63" w14:paraId="3BDF8F74" w14:textId="77777777" w:rsidTr="006457C3">
        <w:tc>
          <w:tcPr>
            <w:tcW w:w="6708" w:type="dxa"/>
          </w:tcPr>
          <w:p w14:paraId="72AFD8DC" w14:textId="77777777" w:rsidR="00CC6591" w:rsidRPr="007E6C63" w:rsidRDefault="00CC6591" w:rsidP="007E6C63">
            <w:pPr>
              <w:pStyle w:val="naiskr"/>
              <w:spacing w:before="0" w:after="0"/>
            </w:pPr>
          </w:p>
          <w:p w14:paraId="5F1F7511" w14:textId="77777777" w:rsidR="00CC6591" w:rsidRPr="007E6C63" w:rsidRDefault="00CC6591" w:rsidP="007E6C63">
            <w:pPr>
              <w:pStyle w:val="naiskr"/>
              <w:spacing w:before="0" w:after="0"/>
            </w:pPr>
            <w:r w:rsidRPr="007E6C63">
              <w:t>Ministrijas (citas institūcijas), kuras nav ieradušās uz sanāksmi vai kuras nav atbildējušas uz uzaicinājumu piedalīties elektroniskajā saskaņošanā</w:t>
            </w:r>
          </w:p>
        </w:tc>
        <w:tc>
          <w:tcPr>
            <w:tcW w:w="5874" w:type="dxa"/>
            <w:gridSpan w:val="2"/>
          </w:tcPr>
          <w:p w14:paraId="54DB04D6" w14:textId="77777777" w:rsidR="00CC6591" w:rsidRPr="007E6C63" w:rsidRDefault="00CC6591" w:rsidP="007E6C63">
            <w:pPr>
              <w:pBdr>
                <w:bottom w:val="single" w:sz="4" w:space="1" w:color="auto"/>
              </w:pBdr>
            </w:pPr>
            <w:r w:rsidRPr="007E6C63">
              <w:tab/>
            </w:r>
          </w:p>
          <w:p w14:paraId="715562A7" w14:textId="77777777" w:rsidR="00CC6591" w:rsidRPr="007E6C63" w:rsidRDefault="00CC6591" w:rsidP="007E6C63">
            <w:pPr>
              <w:pBdr>
                <w:bottom w:val="single" w:sz="4" w:space="1" w:color="auto"/>
              </w:pBdr>
            </w:pPr>
          </w:p>
          <w:p w14:paraId="73B6837F" w14:textId="22EAFA16" w:rsidR="00CC6591" w:rsidRPr="007E6C63" w:rsidRDefault="00CC6591" w:rsidP="007E6C63">
            <w:pPr>
              <w:pBdr>
                <w:bottom w:val="single" w:sz="4" w:space="1" w:color="auto"/>
              </w:pBdr>
            </w:pPr>
          </w:p>
        </w:tc>
      </w:tr>
    </w:tbl>
    <w:p w14:paraId="7F856312" w14:textId="0E340E8A" w:rsidR="00F955F0" w:rsidRDefault="00F955F0" w:rsidP="00C277D6">
      <w:pPr>
        <w:pStyle w:val="naisf"/>
        <w:spacing w:before="0" w:after="0"/>
        <w:ind w:firstLine="0"/>
        <w:rPr>
          <w:b/>
        </w:rPr>
      </w:pPr>
    </w:p>
    <w:p w14:paraId="7E1E6DDD" w14:textId="77777777" w:rsidR="00C277D6" w:rsidRDefault="00C277D6" w:rsidP="00C277D6">
      <w:pPr>
        <w:pStyle w:val="naisf"/>
        <w:spacing w:before="0" w:after="0"/>
        <w:ind w:firstLine="0"/>
        <w:rPr>
          <w:b/>
        </w:rPr>
      </w:pPr>
    </w:p>
    <w:p w14:paraId="0A8F39C6" w14:textId="58D6206A" w:rsidR="00CC6591" w:rsidRPr="007E6C63" w:rsidRDefault="00CC6591" w:rsidP="007E6C63">
      <w:pPr>
        <w:pStyle w:val="naisf"/>
        <w:spacing w:before="0" w:after="0"/>
        <w:ind w:firstLine="0"/>
        <w:jc w:val="center"/>
        <w:rPr>
          <w:b/>
        </w:rPr>
      </w:pPr>
      <w:r w:rsidRPr="007E6C63">
        <w:rPr>
          <w:b/>
        </w:rPr>
        <w:t>II. Jautājumi, par kuriem saskaņošanā vienošanās ir panākta</w:t>
      </w:r>
    </w:p>
    <w:p w14:paraId="33A8123C" w14:textId="77777777" w:rsidR="00CC6591" w:rsidRPr="007E6C63" w:rsidRDefault="00CC6591" w:rsidP="007E6C63">
      <w:pPr>
        <w:pStyle w:val="naisf"/>
        <w:spacing w:before="0" w:after="0"/>
        <w:ind w:firstLine="720"/>
        <w:jc w:val="center"/>
      </w:pPr>
    </w:p>
    <w:tbl>
      <w:tblPr>
        <w:tblW w:w="150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3995"/>
        <w:gridCol w:w="2801"/>
        <w:gridCol w:w="8"/>
      </w:tblGrid>
      <w:tr w:rsidR="00CC6591" w:rsidRPr="00313F5B" w14:paraId="508581AA"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51D04F34" w14:textId="77777777" w:rsidR="00CC6591" w:rsidRPr="00313F5B" w:rsidRDefault="00CC6591" w:rsidP="007E6C63">
            <w:pPr>
              <w:pStyle w:val="naisc"/>
              <w:spacing w:before="0" w:after="0"/>
            </w:pPr>
            <w:r w:rsidRPr="00313F5B">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7B5BB4" w14:textId="77777777" w:rsidR="00CC6591" w:rsidRPr="00313F5B" w:rsidRDefault="00CC6591" w:rsidP="007E6C63">
            <w:pPr>
              <w:pStyle w:val="naisc"/>
              <w:spacing w:before="0" w:after="0"/>
              <w:ind w:firstLine="12"/>
            </w:pPr>
            <w:r w:rsidRPr="00313F5B">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14:paraId="7A79CBBF" w14:textId="77777777" w:rsidR="00CC6591" w:rsidRPr="00313F5B" w:rsidRDefault="00CC6591" w:rsidP="007E6C63">
            <w:pPr>
              <w:pStyle w:val="naisc"/>
              <w:spacing w:before="0" w:after="0"/>
              <w:ind w:right="3"/>
            </w:pPr>
            <w:r w:rsidRPr="00313F5B">
              <w:t>Atzinumā norādītais ministrijas (citas institūcijas) iebildums, kā arī saskaņošanā papildus izteiktais iebildums par projekta konkrēto punktu (pantu)</w:t>
            </w:r>
          </w:p>
        </w:tc>
        <w:tc>
          <w:tcPr>
            <w:tcW w:w="3995" w:type="dxa"/>
            <w:tcBorders>
              <w:top w:val="single" w:sz="6" w:space="0" w:color="000000"/>
              <w:left w:val="single" w:sz="6" w:space="0" w:color="000000"/>
              <w:bottom w:val="single" w:sz="6" w:space="0" w:color="000000"/>
              <w:right w:val="single" w:sz="6" w:space="0" w:color="000000"/>
            </w:tcBorders>
            <w:vAlign w:val="center"/>
          </w:tcPr>
          <w:p w14:paraId="2D8A69E8" w14:textId="77777777" w:rsidR="00CC6591" w:rsidRPr="00313F5B" w:rsidRDefault="00CC6591" w:rsidP="007E6C63">
            <w:pPr>
              <w:pStyle w:val="naisc"/>
              <w:spacing w:before="0" w:after="0"/>
              <w:ind w:firstLine="21"/>
            </w:pPr>
            <w:r w:rsidRPr="00313F5B">
              <w:t>Atbildīgās ministrijas norāde par to, ka iebildums ir ņemts vērā, vai informācija par saskaņošanā panākto alternatīvo risinājumu</w:t>
            </w:r>
          </w:p>
        </w:tc>
        <w:tc>
          <w:tcPr>
            <w:tcW w:w="2809" w:type="dxa"/>
            <w:gridSpan w:val="2"/>
            <w:tcBorders>
              <w:top w:val="single" w:sz="4" w:space="0" w:color="auto"/>
              <w:left w:val="single" w:sz="4" w:space="0" w:color="auto"/>
              <w:bottom w:val="single" w:sz="4" w:space="0" w:color="auto"/>
            </w:tcBorders>
            <w:vAlign w:val="center"/>
          </w:tcPr>
          <w:p w14:paraId="320DA526" w14:textId="77777777" w:rsidR="00CC6591" w:rsidRPr="00313F5B" w:rsidRDefault="00CC6591" w:rsidP="007E6C63">
            <w:pPr>
              <w:jc w:val="center"/>
            </w:pPr>
            <w:r w:rsidRPr="00313F5B">
              <w:t>Projekta attiecīgā punkta (panta) galīgā redakcija</w:t>
            </w:r>
          </w:p>
        </w:tc>
      </w:tr>
      <w:tr w:rsidR="00CC6591" w:rsidRPr="00313F5B" w14:paraId="72498EB4"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CCC2EF3" w14:textId="77777777" w:rsidR="00CC6591" w:rsidRPr="00313F5B" w:rsidRDefault="00CC6591" w:rsidP="007E6C63">
            <w:pPr>
              <w:pStyle w:val="naisc"/>
              <w:spacing w:before="0" w:after="0"/>
            </w:pPr>
            <w:r w:rsidRPr="00313F5B">
              <w:t>1</w:t>
            </w:r>
          </w:p>
        </w:tc>
        <w:tc>
          <w:tcPr>
            <w:tcW w:w="3086" w:type="dxa"/>
            <w:tcBorders>
              <w:top w:val="single" w:sz="6" w:space="0" w:color="000000"/>
              <w:left w:val="single" w:sz="6" w:space="0" w:color="000000"/>
              <w:bottom w:val="single" w:sz="6" w:space="0" w:color="000000"/>
              <w:right w:val="single" w:sz="6" w:space="0" w:color="000000"/>
            </w:tcBorders>
          </w:tcPr>
          <w:p w14:paraId="3031F21A" w14:textId="77777777" w:rsidR="00CC6591" w:rsidRPr="00313F5B" w:rsidRDefault="00CC6591" w:rsidP="007E6C63">
            <w:pPr>
              <w:pStyle w:val="naisc"/>
              <w:spacing w:before="0" w:after="0"/>
              <w:ind w:firstLine="720"/>
            </w:pPr>
            <w:r w:rsidRPr="00313F5B">
              <w:t>2</w:t>
            </w:r>
          </w:p>
        </w:tc>
        <w:tc>
          <w:tcPr>
            <w:tcW w:w="4394" w:type="dxa"/>
            <w:gridSpan w:val="2"/>
            <w:tcBorders>
              <w:top w:val="single" w:sz="6" w:space="0" w:color="000000"/>
              <w:left w:val="single" w:sz="6" w:space="0" w:color="000000"/>
              <w:bottom w:val="single" w:sz="6" w:space="0" w:color="000000"/>
              <w:right w:val="single" w:sz="6" w:space="0" w:color="000000"/>
            </w:tcBorders>
          </w:tcPr>
          <w:p w14:paraId="07219069" w14:textId="77777777" w:rsidR="00CC6591" w:rsidRPr="00313F5B" w:rsidRDefault="00CC6591" w:rsidP="007E6C63">
            <w:pPr>
              <w:pStyle w:val="naisc"/>
              <w:spacing w:before="0" w:after="0"/>
              <w:ind w:firstLine="720"/>
            </w:pPr>
            <w:r w:rsidRPr="00313F5B">
              <w:t>3</w:t>
            </w:r>
          </w:p>
        </w:tc>
        <w:tc>
          <w:tcPr>
            <w:tcW w:w="3995" w:type="dxa"/>
            <w:tcBorders>
              <w:top w:val="single" w:sz="6" w:space="0" w:color="000000"/>
              <w:left w:val="single" w:sz="6" w:space="0" w:color="000000"/>
              <w:bottom w:val="single" w:sz="6" w:space="0" w:color="000000"/>
              <w:right w:val="single" w:sz="6" w:space="0" w:color="000000"/>
            </w:tcBorders>
          </w:tcPr>
          <w:p w14:paraId="2DADD221" w14:textId="77777777" w:rsidR="00CC6591" w:rsidRPr="00313F5B" w:rsidRDefault="00CC6591" w:rsidP="007E6C63">
            <w:pPr>
              <w:pStyle w:val="naisc"/>
              <w:spacing w:before="0" w:after="0"/>
              <w:ind w:firstLine="720"/>
            </w:pPr>
            <w:r w:rsidRPr="00313F5B">
              <w:t>4</w:t>
            </w:r>
          </w:p>
        </w:tc>
        <w:tc>
          <w:tcPr>
            <w:tcW w:w="2809" w:type="dxa"/>
            <w:gridSpan w:val="2"/>
            <w:tcBorders>
              <w:top w:val="single" w:sz="4" w:space="0" w:color="auto"/>
              <w:left w:val="single" w:sz="4" w:space="0" w:color="auto"/>
              <w:bottom w:val="single" w:sz="4" w:space="0" w:color="auto"/>
            </w:tcBorders>
          </w:tcPr>
          <w:p w14:paraId="0063087F" w14:textId="77777777" w:rsidR="00CC6591" w:rsidRPr="00313F5B" w:rsidRDefault="00CC6591" w:rsidP="007E6C63">
            <w:pPr>
              <w:jc w:val="center"/>
            </w:pPr>
            <w:r w:rsidRPr="00313F5B">
              <w:t>5</w:t>
            </w:r>
          </w:p>
        </w:tc>
      </w:tr>
      <w:tr w:rsidR="001F513C" w:rsidRPr="00313F5B" w14:paraId="2C391C0D" w14:textId="77777777" w:rsidTr="00313F5B">
        <w:trPr>
          <w:gridBefore w:val="1"/>
          <w:wBefore w:w="8" w:type="dxa"/>
        </w:trPr>
        <w:tc>
          <w:tcPr>
            <w:tcW w:w="14992" w:type="dxa"/>
            <w:gridSpan w:val="7"/>
            <w:tcBorders>
              <w:top w:val="single" w:sz="6" w:space="0" w:color="000000"/>
              <w:left w:val="single" w:sz="6" w:space="0" w:color="000000"/>
              <w:bottom w:val="single" w:sz="6" w:space="0" w:color="000000"/>
            </w:tcBorders>
          </w:tcPr>
          <w:p w14:paraId="303AA674" w14:textId="2CCC5A2B" w:rsidR="00DF2064" w:rsidRPr="00313F5B" w:rsidRDefault="001F513C" w:rsidP="007E6C63">
            <w:pPr>
              <w:jc w:val="center"/>
              <w:rPr>
                <w:b/>
                <w:bCs/>
              </w:rPr>
            </w:pPr>
            <w:r w:rsidRPr="00313F5B">
              <w:rPr>
                <w:b/>
                <w:bCs/>
              </w:rPr>
              <w:t>Tieslietu ministrija</w:t>
            </w:r>
          </w:p>
          <w:p w14:paraId="0515B122" w14:textId="2BE94CF9" w:rsidR="00DF2064" w:rsidRPr="00313F5B" w:rsidRDefault="00DF2064" w:rsidP="007E6C63">
            <w:pPr>
              <w:jc w:val="center"/>
              <w:rPr>
                <w:b/>
                <w:bCs/>
              </w:rPr>
            </w:pPr>
          </w:p>
        </w:tc>
      </w:tr>
      <w:tr w:rsidR="001F513C" w:rsidRPr="00662859" w14:paraId="253DCB91"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A9956AA" w14:textId="4F46C218" w:rsidR="001F513C" w:rsidRPr="00662859" w:rsidRDefault="000C6F34" w:rsidP="00662859">
            <w:pPr>
              <w:pStyle w:val="naisc"/>
              <w:spacing w:before="0" w:after="0"/>
              <w:jc w:val="both"/>
            </w:pPr>
            <w:r w:rsidRPr="00662859">
              <w:t>1.</w:t>
            </w:r>
          </w:p>
        </w:tc>
        <w:tc>
          <w:tcPr>
            <w:tcW w:w="3086" w:type="dxa"/>
            <w:tcBorders>
              <w:top w:val="single" w:sz="6" w:space="0" w:color="000000"/>
              <w:left w:val="single" w:sz="6" w:space="0" w:color="000000"/>
              <w:bottom w:val="single" w:sz="6" w:space="0" w:color="000000"/>
              <w:right w:val="single" w:sz="6" w:space="0" w:color="000000"/>
            </w:tcBorders>
          </w:tcPr>
          <w:p w14:paraId="60BC0BCC" w14:textId="6D42C868" w:rsidR="00DE07E7" w:rsidRPr="00662859" w:rsidRDefault="00DE07E7" w:rsidP="00662859">
            <w:pPr>
              <w:jc w:val="both"/>
            </w:pPr>
            <w:r w:rsidRPr="00662859">
              <w:t>Noteikumu projekta izdošanas tiesiskais pamatojums –</w:t>
            </w:r>
          </w:p>
          <w:p w14:paraId="7F7AE044" w14:textId="48647A23" w:rsidR="00DE07E7" w:rsidRPr="00662859" w:rsidRDefault="00DE07E7" w:rsidP="00662859">
            <w:pPr>
              <w:jc w:val="both"/>
            </w:pPr>
            <w:r w:rsidRPr="00662859">
              <w:t xml:space="preserve"> Izdoti saskaņā ar Sporta likuma</w:t>
            </w:r>
            <w:r w:rsidR="00662859">
              <w:t xml:space="preserve"> </w:t>
            </w:r>
            <w:r w:rsidRPr="00662859">
              <w:t>11.</w:t>
            </w:r>
            <w:r w:rsidRPr="00662859">
              <w:rPr>
                <w:vertAlign w:val="superscript"/>
              </w:rPr>
              <w:t xml:space="preserve">1 </w:t>
            </w:r>
            <w:r w:rsidRPr="00662859">
              <w:t xml:space="preserve">panta pirmo daļu, </w:t>
            </w:r>
          </w:p>
          <w:p w14:paraId="27FA8D16" w14:textId="77777777" w:rsidR="00DE07E7" w:rsidRPr="00662859" w:rsidRDefault="00DE07E7" w:rsidP="00662859">
            <w:pPr>
              <w:jc w:val="both"/>
            </w:pPr>
            <w:r w:rsidRPr="00662859">
              <w:t>11.</w:t>
            </w:r>
            <w:r w:rsidRPr="00662859">
              <w:rPr>
                <w:vertAlign w:val="superscript"/>
              </w:rPr>
              <w:t xml:space="preserve">3 </w:t>
            </w:r>
            <w:r w:rsidRPr="00662859">
              <w:t xml:space="preserve">panta 2. </w:t>
            </w:r>
            <w:r w:rsidRPr="00662859">
              <w:rPr>
                <w:vertAlign w:val="superscript"/>
              </w:rPr>
              <w:t>3</w:t>
            </w:r>
            <w:r w:rsidRPr="00662859">
              <w:t xml:space="preserve">  un sesto daļu,</w:t>
            </w:r>
          </w:p>
          <w:p w14:paraId="279E8BE7" w14:textId="52034C8C" w:rsidR="00A20799" w:rsidRPr="00662859" w:rsidRDefault="00DE07E7" w:rsidP="00662859">
            <w:pPr>
              <w:jc w:val="both"/>
            </w:pPr>
            <w:r w:rsidRPr="00662859">
              <w:t>11.</w:t>
            </w:r>
            <w:r w:rsidRPr="00662859">
              <w:rPr>
                <w:vertAlign w:val="superscript"/>
              </w:rPr>
              <w:t xml:space="preserve">4 </w:t>
            </w:r>
            <w:r w:rsidRPr="00662859">
              <w:t>panta sesto daļu</w:t>
            </w:r>
          </w:p>
        </w:tc>
        <w:tc>
          <w:tcPr>
            <w:tcW w:w="4394" w:type="dxa"/>
            <w:gridSpan w:val="2"/>
            <w:tcBorders>
              <w:top w:val="single" w:sz="6" w:space="0" w:color="000000"/>
              <w:left w:val="single" w:sz="6" w:space="0" w:color="000000"/>
              <w:bottom w:val="single" w:sz="6" w:space="0" w:color="000000"/>
              <w:right w:val="single" w:sz="6" w:space="0" w:color="000000"/>
            </w:tcBorders>
          </w:tcPr>
          <w:p w14:paraId="011B0775" w14:textId="77777777" w:rsidR="00F955F0" w:rsidRPr="00662859" w:rsidRDefault="00A20799" w:rsidP="00662859">
            <w:pPr>
              <w:ind w:right="12"/>
              <w:jc w:val="both"/>
            </w:pPr>
            <w:r w:rsidRPr="00662859">
              <w:rPr>
                <w:b/>
                <w:bCs/>
              </w:rPr>
              <w:t xml:space="preserve">27.08.2021 atzinums Nr. </w:t>
            </w:r>
            <w:r w:rsidR="00F955F0" w:rsidRPr="00662859">
              <w:rPr>
                <w:b/>
                <w:bCs/>
              </w:rPr>
              <w:t>1-9.1/928</w:t>
            </w:r>
          </w:p>
          <w:p w14:paraId="6DBC45E7" w14:textId="77777777" w:rsidR="007F168F" w:rsidRDefault="00F955F0" w:rsidP="007F168F">
            <w:pPr>
              <w:ind w:right="12"/>
              <w:jc w:val="both"/>
            </w:pPr>
            <w:r w:rsidRPr="00662859">
              <w:t>1. Kā viens no projekta izdošanas tiesiskajiem pamatiem norādīta Sporta likuma 11.1 panta pirmā daļa, kas noteic, ka Antidopinga jomu regulē antidopinga konvenciju noteikumi un Nacionālie antidopinga noteikumi. Ministru kabinets izdod Nacionālos antidopinga noteikumus. Vēršam uzmanību, ka minētais pilnvarojums nesatur projekta saturiskos virzienus, kas savukārt noteikti Sporta likuma 11.</w:t>
            </w:r>
            <w:r w:rsidRPr="00662859">
              <w:rPr>
                <w:vertAlign w:val="superscript"/>
              </w:rPr>
              <w:t>1</w:t>
            </w:r>
            <w:r w:rsidRPr="00662859">
              <w:t xml:space="preserve"> panta otrajā daļā. Ņemot vērā minēto, lūdzam precizēt projekta izdošanas tiesisko pamatojumu.</w:t>
            </w:r>
          </w:p>
          <w:p w14:paraId="0869F616" w14:textId="26B7A186" w:rsidR="00A20799" w:rsidRPr="00662859" w:rsidRDefault="00F955F0" w:rsidP="007F168F">
            <w:pPr>
              <w:ind w:right="12"/>
              <w:jc w:val="both"/>
            </w:pPr>
            <w:r w:rsidRPr="00662859">
              <w:t>Šajā kontekstā norādām, ka diemžēl ne Sporta likuma 11.</w:t>
            </w:r>
            <w:r w:rsidRPr="00662859">
              <w:rPr>
                <w:vertAlign w:val="superscript"/>
              </w:rPr>
              <w:t>1</w:t>
            </w:r>
            <w:r w:rsidRPr="00662859">
              <w:t xml:space="preserve"> panta pirmā daļa, ne otrā daļa nav izveidota kā viennozīmīgi juridiski korekts pilnvarojums Ministru kabinetam atbilstoši Ministru kabineta 2009. gada 3. februāra noteikumu Nr. 108 “Normatīvo aktu projektu sagatavošanas noteikumi” </w:t>
            </w:r>
            <w:r w:rsidRPr="00662859">
              <w:lastRenderedPageBreak/>
              <w:t>(turpmāk – MKN. 108) 47. punktam. Ievērojot minēto, lūdzam projekta anotācijā pamatot, kura no norādītajām Sporta likuma normām vēsturiski izveidota kā viens no projekta izdošanas tiesiskajiem pamatiem, nepieciešamības gadījumā precizējot projekta izdošanas tiesisko pamatu. Vienlaikus norādītos apsvērumus lūdzam ņemt vērā nākamajā Sporta likuma grozīšanas reizē.</w:t>
            </w:r>
          </w:p>
        </w:tc>
        <w:tc>
          <w:tcPr>
            <w:tcW w:w="3995" w:type="dxa"/>
            <w:tcBorders>
              <w:top w:val="single" w:sz="6" w:space="0" w:color="000000"/>
              <w:left w:val="single" w:sz="6" w:space="0" w:color="000000"/>
              <w:bottom w:val="single" w:sz="6" w:space="0" w:color="000000"/>
              <w:right w:val="single" w:sz="6" w:space="0" w:color="000000"/>
            </w:tcBorders>
          </w:tcPr>
          <w:p w14:paraId="45595180" w14:textId="21CA4B9E" w:rsidR="00802737" w:rsidRPr="00662859" w:rsidRDefault="00DE07E7" w:rsidP="00662859">
            <w:pPr>
              <w:pStyle w:val="naisc"/>
              <w:spacing w:before="0" w:after="0"/>
              <w:jc w:val="both"/>
              <w:rPr>
                <w:b/>
                <w:bCs/>
              </w:rPr>
            </w:pPr>
            <w:r w:rsidRPr="00662859">
              <w:rPr>
                <w:b/>
                <w:bCs/>
              </w:rPr>
              <w:lastRenderedPageBreak/>
              <w:t>Ņemts vērā</w:t>
            </w:r>
          </w:p>
          <w:p w14:paraId="68C3BC45" w14:textId="30B9E05A" w:rsidR="00DE07E7" w:rsidRPr="00662859" w:rsidRDefault="00DE07E7" w:rsidP="00662859">
            <w:pPr>
              <w:pStyle w:val="naisc"/>
              <w:spacing w:before="0" w:after="0"/>
              <w:jc w:val="both"/>
              <w:rPr>
                <w:b/>
                <w:bCs/>
              </w:rPr>
            </w:pPr>
            <w:r w:rsidRPr="00662859">
              <w:t>Veikti precizējumi noteikumu projekta tiesiskajā pamatojumā papildinot, izdošanas pamatojumu arī ar Sporta likuma 11.</w:t>
            </w:r>
            <w:r w:rsidRPr="00662859">
              <w:rPr>
                <w:vertAlign w:val="superscript"/>
              </w:rPr>
              <w:t>1</w:t>
            </w:r>
            <w:r w:rsidRPr="00662859">
              <w:t xml:space="preserve"> panta otro daļu. Skaidrojam, ka vēsturiski šobrīd spēkā esošajos Nacionālajos antidopinga noteikumos ir ticis iekļauts pamatojums Ministru kabineta noteikum</w:t>
            </w:r>
            <w:r w:rsidR="00662859">
              <w:t>u izdošanai</w:t>
            </w:r>
            <w:r w:rsidRPr="00662859">
              <w:t>, atsaucoties tikai  uz Sporta likuma 11.</w:t>
            </w:r>
            <w:r w:rsidRPr="00662859">
              <w:rPr>
                <w:vertAlign w:val="superscript"/>
              </w:rPr>
              <w:t>1</w:t>
            </w:r>
            <w:r w:rsidRPr="00662859">
              <w:t xml:space="preserve"> panta pirmo daļu, kas nosaka</w:t>
            </w:r>
            <w:r w:rsidR="00662859" w:rsidRPr="00662859">
              <w:t xml:space="preserve">, ka </w:t>
            </w:r>
            <w:r w:rsidR="00662859" w:rsidRPr="00662859">
              <w:rPr>
                <w:color w:val="414142"/>
                <w:shd w:val="clear" w:color="auto" w:fill="FFFFFF"/>
              </w:rPr>
              <w:t>Ministru kabinets izdod Nacionālos antidopinga noteikumus. Vienlaikus ņemot vērā, ka Sporta likuma 11.</w:t>
            </w:r>
            <w:r w:rsidR="00662859" w:rsidRPr="00662859">
              <w:rPr>
                <w:color w:val="414142"/>
                <w:shd w:val="clear" w:color="auto" w:fill="FFFFFF"/>
                <w:vertAlign w:val="superscript"/>
              </w:rPr>
              <w:t>1</w:t>
            </w:r>
            <w:r w:rsidRPr="00662859">
              <w:t xml:space="preserve"> </w:t>
            </w:r>
            <w:r w:rsidR="00662859" w:rsidRPr="00662859">
              <w:t xml:space="preserve">panta pirmā daļa </w:t>
            </w:r>
            <w:r w:rsidR="00662859">
              <w:t xml:space="preserve">nenosaka Ministru kabineta noteikumu saturu un tvērumu,  noteikumu projekts tika papildināts ar atsauci uz Sporta likuma </w:t>
            </w:r>
            <w:r w:rsidRPr="00662859">
              <w:br/>
            </w:r>
            <w:r w:rsidR="00662859" w:rsidRPr="00662859">
              <w:t>11.</w:t>
            </w:r>
            <w:r w:rsidR="00662859" w:rsidRPr="00662859">
              <w:rPr>
                <w:vertAlign w:val="superscript"/>
              </w:rPr>
              <w:t>1</w:t>
            </w:r>
            <w:r w:rsidR="00662859" w:rsidRPr="00662859">
              <w:t xml:space="preserve"> panta otro daļu</w:t>
            </w:r>
            <w:r w:rsidRPr="00662859">
              <w:t>.</w:t>
            </w:r>
            <w:r w:rsidRPr="00662859">
              <w:br/>
            </w:r>
            <w:r w:rsidR="00662859">
              <w:t>Vienlaikus papildināta arī noteikumu projekta anotācija.</w:t>
            </w:r>
          </w:p>
          <w:p w14:paraId="473E6120" w14:textId="77777777" w:rsidR="00DE07E7" w:rsidRPr="00662859" w:rsidRDefault="00DE07E7" w:rsidP="00662859">
            <w:pPr>
              <w:pStyle w:val="naisc"/>
              <w:spacing w:before="0" w:after="0"/>
              <w:jc w:val="both"/>
            </w:pPr>
          </w:p>
          <w:p w14:paraId="4A58BB57" w14:textId="77777777" w:rsidR="00802737" w:rsidRPr="00662859" w:rsidRDefault="00802737" w:rsidP="00662859">
            <w:pPr>
              <w:pStyle w:val="naisc"/>
              <w:spacing w:before="0" w:after="0"/>
              <w:jc w:val="both"/>
            </w:pPr>
          </w:p>
          <w:p w14:paraId="6412634F" w14:textId="2927833A" w:rsidR="00802737" w:rsidRPr="00662859" w:rsidRDefault="00802737" w:rsidP="00662859">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638B4339" w14:textId="77777777" w:rsidR="00DE07E7" w:rsidRPr="00781D62" w:rsidRDefault="00DE07E7" w:rsidP="00662859">
            <w:pPr>
              <w:jc w:val="both"/>
            </w:pPr>
            <w:r w:rsidRPr="00781D62">
              <w:lastRenderedPageBreak/>
              <w:t>Noteikumu projekta izdošanas tiesiskais pamatojums  -</w:t>
            </w:r>
          </w:p>
          <w:p w14:paraId="4C418BA0" w14:textId="78D0ACEA" w:rsidR="00B240D2" w:rsidRPr="00662859" w:rsidRDefault="00DE07E7" w:rsidP="00662859">
            <w:pPr>
              <w:jc w:val="both"/>
              <w:rPr>
                <w:lang w:eastAsia="en-US"/>
              </w:rPr>
            </w:pPr>
            <w:r w:rsidRPr="00781D62">
              <w:rPr>
                <w:lang w:eastAsia="en-US"/>
              </w:rPr>
              <w:t>Izdoti saskaņā ar Sporta likuma</w:t>
            </w:r>
            <w:r w:rsidR="00662859" w:rsidRPr="00781D62">
              <w:rPr>
                <w:lang w:eastAsia="en-US"/>
              </w:rPr>
              <w:t xml:space="preserve"> </w:t>
            </w:r>
            <w:r w:rsidRPr="00781D62">
              <w:rPr>
                <w:lang w:eastAsia="en-US"/>
              </w:rPr>
              <w:t>11.</w:t>
            </w:r>
            <w:r w:rsidRPr="00781D62">
              <w:rPr>
                <w:vertAlign w:val="superscript"/>
                <w:lang w:eastAsia="en-US"/>
              </w:rPr>
              <w:t xml:space="preserve">1 </w:t>
            </w:r>
            <w:r w:rsidRPr="00781D62">
              <w:rPr>
                <w:lang w:eastAsia="en-US"/>
              </w:rPr>
              <w:t xml:space="preserve">panta pirmo un  otro daļu, </w:t>
            </w:r>
            <w:r w:rsidR="00662859" w:rsidRPr="00781D62">
              <w:rPr>
                <w:lang w:eastAsia="en-US"/>
              </w:rPr>
              <w:t xml:space="preserve"> </w:t>
            </w:r>
            <w:r w:rsidRPr="00781D62">
              <w:rPr>
                <w:lang w:eastAsia="en-US"/>
              </w:rPr>
              <w:t>11.</w:t>
            </w:r>
            <w:r w:rsidRPr="00781D62">
              <w:rPr>
                <w:vertAlign w:val="superscript"/>
                <w:lang w:eastAsia="en-US"/>
              </w:rPr>
              <w:t xml:space="preserve">3 </w:t>
            </w:r>
            <w:r w:rsidRPr="00781D62">
              <w:rPr>
                <w:lang w:eastAsia="en-US"/>
              </w:rPr>
              <w:t xml:space="preserve">panta </w:t>
            </w:r>
            <w:r w:rsidRPr="00781D62">
              <w:t xml:space="preserve">2. </w:t>
            </w:r>
            <w:r w:rsidRPr="00781D62">
              <w:rPr>
                <w:vertAlign w:val="superscript"/>
              </w:rPr>
              <w:t>3</w:t>
            </w:r>
            <w:r w:rsidRPr="00781D62">
              <w:rPr>
                <w:lang w:eastAsia="en-US"/>
              </w:rPr>
              <w:t xml:space="preserve">  un sesto daļu,</w:t>
            </w:r>
            <w:r w:rsidR="00662859" w:rsidRPr="00781D62">
              <w:rPr>
                <w:lang w:eastAsia="en-US"/>
              </w:rPr>
              <w:t xml:space="preserve"> </w:t>
            </w:r>
            <w:r w:rsidRPr="00781D62">
              <w:rPr>
                <w:lang w:eastAsia="en-US"/>
              </w:rPr>
              <w:t>11.</w:t>
            </w:r>
            <w:r w:rsidRPr="00781D62">
              <w:rPr>
                <w:vertAlign w:val="superscript"/>
                <w:lang w:eastAsia="en-US"/>
              </w:rPr>
              <w:t xml:space="preserve">4 </w:t>
            </w:r>
            <w:r w:rsidRPr="00781D62">
              <w:rPr>
                <w:lang w:eastAsia="en-US"/>
              </w:rPr>
              <w:t xml:space="preserve">panta sesto daļu, </w:t>
            </w:r>
          </w:p>
          <w:p w14:paraId="68D9A9CD" w14:textId="77777777" w:rsidR="00B240D2" w:rsidRPr="00662859" w:rsidRDefault="00B240D2" w:rsidP="00662859">
            <w:pPr>
              <w:jc w:val="both"/>
            </w:pPr>
          </w:p>
          <w:p w14:paraId="134B244A" w14:textId="77777777" w:rsidR="00B240D2" w:rsidRPr="00662859" w:rsidRDefault="00B240D2" w:rsidP="00662859">
            <w:pPr>
              <w:jc w:val="both"/>
            </w:pPr>
          </w:p>
          <w:p w14:paraId="780BD88C" w14:textId="77777777" w:rsidR="00B240D2" w:rsidRPr="00662859" w:rsidRDefault="00B240D2" w:rsidP="00662859">
            <w:pPr>
              <w:jc w:val="both"/>
            </w:pPr>
          </w:p>
          <w:p w14:paraId="27D2F0FB" w14:textId="77777777" w:rsidR="00B240D2" w:rsidRPr="00662859" w:rsidRDefault="00B240D2" w:rsidP="00662859">
            <w:pPr>
              <w:jc w:val="both"/>
            </w:pPr>
          </w:p>
          <w:p w14:paraId="06210DCB" w14:textId="77777777" w:rsidR="00B240D2" w:rsidRPr="00662859" w:rsidRDefault="00B240D2" w:rsidP="00662859">
            <w:pPr>
              <w:jc w:val="both"/>
            </w:pPr>
          </w:p>
          <w:p w14:paraId="47E62B66" w14:textId="77777777" w:rsidR="00B240D2" w:rsidRPr="00662859" w:rsidRDefault="00B240D2" w:rsidP="00662859">
            <w:pPr>
              <w:jc w:val="both"/>
            </w:pPr>
          </w:p>
          <w:p w14:paraId="188B38A0" w14:textId="77777777" w:rsidR="00B240D2" w:rsidRPr="00662859" w:rsidRDefault="00B240D2" w:rsidP="00662859">
            <w:pPr>
              <w:jc w:val="both"/>
            </w:pPr>
          </w:p>
          <w:p w14:paraId="3EA3786E" w14:textId="77777777" w:rsidR="00B240D2" w:rsidRPr="00662859" w:rsidRDefault="00B240D2" w:rsidP="00662859">
            <w:pPr>
              <w:jc w:val="both"/>
            </w:pPr>
          </w:p>
          <w:p w14:paraId="327744C5" w14:textId="77777777" w:rsidR="00B240D2" w:rsidRPr="00662859" w:rsidRDefault="00B240D2" w:rsidP="00662859">
            <w:pPr>
              <w:jc w:val="both"/>
            </w:pPr>
          </w:p>
          <w:p w14:paraId="2BFA93E3" w14:textId="77777777" w:rsidR="00B240D2" w:rsidRPr="00662859" w:rsidRDefault="00B240D2" w:rsidP="00662859">
            <w:pPr>
              <w:jc w:val="both"/>
            </w:pPr>
          </w:p>
          <w:p w14:paraId="2077B41E" w14:textId="77777777" w:rsidR="00B240D2" w:rsidRPr="00662859" w:rsidRDefault="00B240D2" w:rsidP="00662859">
            <w:pPr>
              <w:jc w:val="both"/>
            </w:pPr>
          </w:p>
          <w:p w14:paraId="2A755238" w14:textId="77777777" w:rsidR="00B240D2" w:rsidRPr="00662859" w:rsidRDefault="00B240D2" w:rsidP="00662859">
            <w:pPr>
              <w:jc w:val="both"/>
            </w:pPr>
          </w:p>
          <w:p w14:paraId="35AA7E2B" w14:textId="77777777" w:rsidR="00B240D2" w:rsidRPr="00662859" w:rsidRDefault="00B240D2" w:rsidP="00662859">
            <w:pPr>
              <w:jc w:val="both"/>
            </w:pPr>
          </w:p>
          <w:p w14:paraId="5059C23B" w14:textId="77777777" w:rsidR="00B240D2" w:rsidRPr="00662859" w:rsidRDefault="00B240D2" w:rsidP="00662859">
            <w:pPr>
              <w:jc w:val="both"/>
            </w:pPr>
          </w:p>
          <w:p w14:paraId="43F4A276" w14:textId="77777777" w:rsidR="00B240D2" w:rsidRPr="00662859" w:rsidRDefault="00B240D2" w:rsidP="00662859">
            <w:pPr>
              <w:jc w:val="both"/>
            </w:pPr>
          </w:p>
          <w:p w14:paraId="53F3F637" w14:textId="77777777" w:rsidR="00B240D2" w:rsidRPr="00662859" w:rsidRDefault="00B240D2" w:rsidP="00662859">
            <w:pPr>
              <w:jc w:val="both"/>
            </w:pPr>
          </w:p>
          <w:p w14:paraId="3078CC2E" w14:textId="61DEAFFB" w:rsidR="00B240D2" w:rsidRPr="00662859" w:rsidRDefault="00B240D2" w:rsidP="00662859">
            <w:pPr>
              <w:jc w:val="both"/>
            </w:pPr>
          </w:p>
        </w:tc>
      </w:tr>
      <w:tr w:rsidR="00412F14" w:rsidRPr="00412F14" w14:paraId="6A903DC0"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67497B99" w14:textId="2515A2FA" w:rsidR="00F955F0" w:rsidRPr="00412F14" w:rsidRDefault="00304590" w:rsidP="00313F5B">
            <w:pPr>
              <w:pStyle w:val="naisc"/>
              <w:spacing w:before="0" w:after="0"/>
              <w:jc w:val="both"/>
            </w:pPr>
            <w:r w:rsidRPr="00412F14">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15EA3EC3" w14:textId="77777777" w:rsidR="00662859" w:rsidRPr="00412F14" w:rsidRDefault="00662859" w:rsidP="00662859">
            <w:pPr>
              <w:jc w:val="both"/>
            </w:pPr>
            <w:r w:rsidRPr="00412F14">
              <w:t>Noteikumu projekta izdošanas tiesiskais pamatojums –</w:t>
            </w:r>
          </w:p>
          <w:p w14:paraId="56766A39" w14:textId="77777777" w:rsidR="00662859" w:rsidRPr="00412F14" w:rsidRDefault="00662859" w:rsidP="00662859">
            <w:pPr>
              <w:jc w:val="both"/>
            </w:pPr>
            <w:r w:rsidRPr="00412F14">
              <w:t xml:space="preserve"> Izdoti saskaņā ar Sporta likuma 11.</w:t>
            </w:r>
            <w:r w:rsidRPr="00412F14">
              <w:rPr>
                <w:vertAlign w:val="superscript"/>
              </w:rPr>
              <w:t>1</w:t>
            </w:r>
            <w:r w:rsidRPr="00412F14">
              <w:t xml:space="preserve"> panta pirmo daļu, </w:t>
            </w:r>
          </w:p>
          <w:p w14:paraId="17D5ED11" w14:textId="77777777" w:rsidR="00662859" w:rsidRPr="00412F14" w:rsidRDefault="00662859" w:rsidP="00662859">
            <w:pPr>
              <w:jc w:val="both"/>
            </w:pPr>
            <w:r w:rsidRPr="00412F14">
              <w:t>11.</w:t>
            </w:r>
            <w:r w:rsidRPr="00412F14">
              <w:rPr>
                <w:vertAlign w:val="superscript"/>
              </w:rPr>
              <w:t>3</w:t>
            </w:r>
            <w:r w:rsidRPr="00412F14">
              <w:t xml:space="preserve"> panta 2. </w:t>
            </w:r>
            <w:r w:rsidRPr="00412F14">
              <w:rPr>
                <w:vertAlign w:val="superscript"/>
              </w:rPr>
              <w:t>3</w:t>
            </w:r>
            <w:r w:rsidRPr="00412F14">
              <w:t xml:space="preserve">  un sesto daļu,</w:t>
            </w:r>
          </w:p>
          <w:p w14:paraId="09179718" w14:textId="04F46F49" w:rsidR="00F955F0" w:rsidRPr="00412F14" w:rsidRDefault="00662859" w:rsidP="00662859">
            <w:pPr>
              <w:jc w:val="both"/>
            </w:pPr>
            <w:r w:rsidRPr="00412F14">
              <w:t>11.</w:t>
            </w:r>
            <w:r w:rsidRPr="00412F14">
              <w:rPr>
                <w:vertAlign w:val="superscript"/>
              </w:rPr>
              <w:t>4</w:t>
            </w:r>
            <w:r w:rsidRPr="00412F14">
              <w:t xml:space="preserve"> panta sesto daļu</w:t>
            </w:r>
          </w:p>
        </w:tc>
        <w:tc>
          <w:tcPr>
            <w:tcW w:w="4394" w:type="dxa"/>
            <w:gridSpan w:val="2"/>
            <w:tcBorders>
              <w:top w:val="single" w:sz="6" w:space="0" w:color="000000"/>
              <w:left w:val="single" w:sz="6" w:space="0" w:color="000000"/>
              <w:bottom w:val="single" w:sz="6" w:space="0" w:color="000000"/>
              <w:right w:val="single" w:sz="6" w:space="0" w:color="000000"/>
            </w:tcBorders>
          </w:tcPr>
          <w:p w14:paraId="74BBE6B6" w14:textId="294BA0DA" w:rsidR="00F955F0" w:rsidRPr="00412F14" w:rsidRDefault="00F955F0" w:rsidP="00313F5B">
            <w:pPr>
              <w:ind w:right="12"/>
              <w:jc w:val="both"/>
            </w:pPr>
            <w:r w:rsidRPr="00412F14">
              <w:t>2. Projekta izdošanas tiesiskais pamats noteic, ka projektā ietverami jautājumi gan par Disciplinārās antidopinga komisijas, gan Terapeitiskās lietošanas izņēmumu komisijas darbību, tomēr, lai arī projektā atrunāta arī Pārsūdzības komisijas darbība, tomēr projekta izdošanas tiesiskais pamats atšķirībā no Disciplinārās antidopinga komisijas un Terapeitiskās lietošanas izņēmumu komisijas skaidru norādi uz Pārsūdzības komisiju neietver. Attiecīgi lūdzam projekta anotācijā pamatot regulējuma par Pārsūdzības komisijas sasaisti ar projekta izdošanas tiesisko pamatu vai precizēt projektu.</w:t>
            </w:r>
          </w:p>
          <w:p w14:paraId="55669838" w14:textId="5BEA920E" w:rsidR="00723201" w:rsidRPr="00412F14" w:rsidRDefault="00723201" w:rsidP="00313F5B">
            <w:pPr>
              <w:ind w:right="12"/>
              <w:jc w:val="both"/>
            </w:pPr>
          </w:p>
          <w:p w14:paraId="50F20AA3" w14:textId="2397A182" w:rsidR="00723201" w:rsidRPr="00412F14" w:rsidRDefault="00723201" w:rsidP="00313F5B">
            <w:pPr>
              <w:ind w:right="12"/>
              <w:jc w:val="both"/>
              <w:rPr>
                <w:b/>
                <w:bCs/>
              </w:rPr>
            </w:pPr>
            <w:r w:rsidRPr="00412F14">
              <w:rPr>
                <w:b/>
                <w:bCs/>
              </w:rPr>
              <w:t>Tieslietu ministrijas 10.09.2021 izteiktais iebildums</w:t>
            </w:r>
          </w:p>
          <w:p w14:paraId="6677BF15" w14:textId="0E972F65" w:rsidR="00066F17" w:rsidRPr="00412F14" w:rsidRDefault="00066F17" w:rsidP="00066F17">
            <w:pPr>
              <w:pStyle w:val="NormalWeb"/>
              <w:shd w:val="clear" w:color="auto" w:fill="FFFFFF"/>
              <w:spacing w:before="0" w:beforeAutospacing="0" w:after="0" w:afterAutospacing="0"/>
              <w:jc w:val="both"/>
              <w:rPr>
                <w:bdr w:val="none" w:sz="0" w:space="0" w:color="auto" w:frame="1"/>
              </w:rPr>
            </w:pPr>
            <w:r w:rsidRPr="00412F14">
              <w:rPr>
                <w:bdr w:val="none" w:sz="0" w:space="0" w:color="auto" w:frame="1"/>
              </w:rPr>
              <w:t xml:space="preserve">1.Nepieciešams no noteikumu projektā ietvertajā norādē uz tā izdošanas tiesisko pamatu svītrot norādes uz Sporta likuma normām, kas vērtējamas kā atsauces uz </w:t>
            </w:r>
            <w:r w:rsidRPr="00412F14">
              <w:rPr>
                <w:bdr w:val="none" w:sz="0" w:space="0" w:color="auto" w:frame="1"/>
              </w:rPr>
              <w:lastRenderedPageBreak/>
              <w:t>noteikumu projektu, nevis deleģējošās normas (sk. norādi uz Sporta likuma 11.</w:t>
            </w:r>
            <w:r w:rsidRPr="00412F14">
              <w:rPr>
                <w:bdr w:val="none" w:sz="0" w:space="0" w:color="auto" w:frame="1"/>
                <w:vertAlign w:val="superscript"/>
              </w:rPr>
              <w:t>5</w:t>
            </w:r>
            <w:r w:rsidRPr="00412F14">
              <w:rPr>
                <w:bdr w:val="none" w:sz="0" w:space="0" w:color="auto" w:frame="1"/>
              </w:rPr>
              <w:t> panta pirmo daļu);</w:t>
            </w:r>
          </w:p>
          <w:p w14:paraId="1AEA670B" w14:textId="3A497D8F" w:rsidR="00066F17" w:rsidRPr="00412F14" w:rsidRDefault="00066F17" w:rsidP="00066F17">
            <w:pPr>
              <w:pStyle w:val="NormalWeb"/>
              <w:shd w:val="clear" w:color="auto" w:fill="FFFFFF"/>
              <w:spacing w:before="0" w:beforeAutospacing="0" w:after="0" w:afterAutospacing="0"/>
              <w:jc w:val="both"/>
              <w:rPr>
                <w:bdr w:val="none" w:sz="0" w:space="0" w:color="auto" w:frame="1"/>
              </w:rPr>
            </w:pPr>
            <w:r w:rsidRPr="00412F14">
              <w:rPr>
                <w:bdr w:val="none" w:sz="0" w:space="0" w:color="auto" w:frame="1"/>
              </w:rPr>
              <w:t>2. Nepieciešams vērtēt noteikumu projekta 1.5. apakšpunkta atbilstību noteikumu projekta izdošanas tiesiskajam pamatam, ciktāl tas paredz kārtību un termiņus kādā Sporta likuma 11.</w:t>
            </w:r>
            <w:r w:rsidRPr="00412F14">
              <w:rPr>
                <w:bdr w:val="none" w:sz="0" w:space="0" w:color="auto" w:frame="1"/>
                <w:vertAlign w:val="superscript"/>
              </w:rPr>
              <w:t>6</w:t>
            </w:r>
            <w:r w:rsidRPr="00412F14">
              <w:rPr>
                <w:bdr w:val="none" w:sz="0" w:space="0" w:color="auto" w:frame="1"/>
              </w:rPr>
              <w:t> pantā noteiktās personas vēršas Pārsūdzības komisijā un kārtību un termiņus kādos Pārsūdzības komisija izskata iesniegumus un pieņem par tiem lēmumus. Iespējams, šāds deleģējums varētu izrietēt no Sporta likuma 11.</w:t>
            </w:r>
            <w:r w:rsidRPr="00412F14">
              <w:rPr>
                <w:bdr w:val="none" w:sz="0" w:space="0" w:color="auto" w:frame="1"/>
                <w:vertAlign w:val="superscript"/>
              </w:rPr>
              <w:t>1</w:t>
            </w:r>
            <w:r w:rsidRPr="00412F14">
              <w:rPr>
                <w:bdr w:val="none" w:sz="0" w:space="0" w:color="auto" w:frame="1"/>
              </w:rPr>
              <w:t> pirmās daļas, tomēr šāds secinājums ir izvērsti pamatojams noteikumu projekta anotācijā vai alternatīvi attiecīgais tiesiskais regulējums no noteikumu projekta svītrojams.</w:t>
            </w:r>
          </w:p>
          <w:p w14:paraId="0B1BC0C3" w14:textId="77777777" w:rsidR="00066F17" w:rsidRPr="00412F14" w:rsidRDefault="00066F17" w:rsidP="00313F5B">
            <w:pPr>
              <w:ind w:right="12"/>
              <w:jc w:val="both"/>
            </w:pPr>
          </w:p>
          <w:p w14:paraId="690C2685" w14:textId="77777777" w:rsidR="00F955F0" w:rsidRPr="00412F14" w:rsidRDefault="00F955F0" w:rsidP="00313F5B">
            <w:pPr>
              <w:ind w:right="12"/>
              <w:jc w:val="both"/>
              <w:rPr>
                <w:b/>
                <w:bCs/>
              </w:rPr>
            </w:pPr>
          </w:p>
        </w:tc>
        <w:tc>
          <w:tcPr>
            <w:tcW w:w="3995" w:type="dxa"/>
            <w:tcBorders>
              <w:top w:val="single" w:sz="6" w:space="0" w:color="000000"/>
              <w:left w:val="single" w:sz="6" w:space="0" w:color="000000"/>
              <w:bottom w:val="single" w:sz="6" w:space="0" w:color="000000"/>
              <w:right w:val="single" w:sz="6" w:space="0" w:color="000000"/>
            </w:tcBorders>
          </w:tcPr>
          <w:p w14:paraId="786303FC" w14:textId="5CC414B4" w:rsidR="00066F17" w:rsidRPr="00412F14" w:rsidRDefault="00066F17" w:rsidP="00723201">
            <w:pPr>
              <w:pStyle w:val="NoSpacing"/>
              <w:rPr>
                <w:b/>
                <w:bCs/>
                <w:sz w:val="24"/>
                <w:szCs w:val="24"/>
              </w:rPr>
            </w:pPr>
            <w:r w:rsidRPr="00412F14">
              <w:rPr>
                <w:b/>
                <w:bCs/>
                <w:sz w:val="24"/>
                <w:szCs w:val="24"/>
              </w:rPr>
              <w:lastRenderedPageBreak/>
              <w:t>Panākta vienošanās</w:t>
            </w:r>
            <w:r w:rsidR="00412F14">
              <w:rPr>
                <w:b/>
                <w:bCs/>
                <w:sz w:val="24"/>
                <w:szCs w:val="24"/>
              </w:rPr>
              <w:t>.</w:t>
            </w:r>
          </w:p>
          <w:p w14:paraId="526A5603" w14:textId="19AB7B0F" w:rsidR="00723201" w:rsidRPr="00412F14" w:rsidRDefault="00662859" w:rsidP="00723201">
            <w:pPr>
              <w:pStyle w:val="NoSpacing"/>
              <w:rPr>
                <w:iCs/>
                <w:sz w:val="24"/>
                <w:szCs w:val="24"/>
                <w:lang w:eastAsia="lv-LV"/>
              </w:rPr>
            </w:pPr>
            <w:r w:rsidRPr="00412F14">
              <w:rPr>
                <w:sz w:val="24"/>
                <w:szCs w:val="24"/>
              </w:rPr>
              <w:t xml:space="preserve">Papildināts noteikumu projekta izdošanas tiesiskais pamatojums ar atsauci uz </w:t>
            </w:r>
            <w:r w:rsidR="00F02100" w:rsidRPr="00412F14">
              <w:rPr>
                <w:sz w:val="24"/>
                <w:szCs w:val="24"/>
              </w:rPr>
              <w:t>Sporta likuma</w:t>
            </w:r>
            <w:r w:rsidR="00F02100" w:rsidRPr="00412F14">
              <w:rPr>
                <w:b/>
                <w:bCs/>
                <w:sz w:val="24"/>
                <w:szCs w:val="24"/>
              </w:rPr>
              <w:t xml:space="preserve"> </w:t>
            </w:r>
            <w:r w:rsidR="00F02100" w:rsidRPr="00412F14">
              <w:rPr>
                <w:sz w:val="24"/>
                <w:szCs w:val="24"/>
              </w:rPr>
              <w:t>11.</w:t>
            </w:r>
            <w:r w:rsidR="00723201" w:rsidRPr="00412F14">
              <w:rPr>
                <w:sz w:val="24"/>
                <w:szCs w:val="24"/>
                <w:vertAlign w:val="superscript"/>
              </w:rPr>
              <w:t>1</w:t>
            </w:r>
            <w:r w:rsidR="00F02100" w:rsidRPr="00412F14">
              <w:rPr>
                <w:sz w:val="24"/>
                <w:szCs w:val="24"/>
              </w:rPr>
              <w:t xml:space="preserve"> </w:t>
            </w:r>
            <w:r w:rsidR="00723201" w:rsidRPr="00412F14">
              <w:rPr>
                <w:sz w:val="24"/>
                <w:szCs w:val="24"/>
              </w:rPr>
              <w:t>otro</w:t>
            </w:r>
            <w:r w:rsidR="00F02100" w:rsidRPr="00412F14">
              <w:rPr>
                <w:sz w:val="24"/>
                <w:szCs w:val="24"/>
              </w:rPr>
              <w:t xml:space="preserve"> daļu, vienlaikus papildinot arī noteikumu projekta anotāciju.</w:t>
            </w:r>
            <w:r w:rsidR="00066F17" w:rsidRPr="00412F14">
              <w:rPr>
                <w:sz w:val="24"/>
                <w:szCs w:val="24"/>
              </w:rPr>
              <w:t xml:space="preserve"> Svītrota atsauce uz Sporta likuma 11.</w:t>
            </w:r>
            <w:r w:rsidR="00066F17" w:rsidRPr="00412F14">
              <w:rPr>
                <w:sz w:val="24"/>
                <w:szCs w:val="24"/>
                <w:vertAlign w:val="superscript"/>
              </w:rPr>
              <w:t>5</w:t>
            </w:r>
            <w:r w:rsidR="00066F17" w:rsidRPr="00412F14">
              <w:rPr>
                <w:sz w:val="24"/>
                <w:szCs w:val="24"/>
              </w:rPr>
              <w:t xml:space="preserve"> panta pirmo daļu.</w:t>
            </w:r>
            <w:r w:rsidR="00F02100" w:rsidRPr="00412F14">
              <w:rPr>
                <w:sz w:val="24"/>
                <w:szCs w:val="24"/>
              </w:rPr>
              <w:t xml:space="preserve"> </w:t>
            </w:r>
            <w:r w:rsidR="00723201" w:rsidRPr="00412F14">
              <w:rPr>
                <w:iCs/>
                <w:sz w:val="24"/>
                <w:szCs w:val="24"/>
              </w:rPr>
              <w:t xml:space="preserve">Vienlaikus jānorāda, ka </w:t>
            </w:r>
            <w:r w:rsidR="00723201" w:rsidRPr="00412F14">
              <w:rPr>
                <w:iCs/>
                <w:sz w:val="24"/>
                <w:szCs w:val="24"/>
                <w:lang w:eastAsia="lv-LV"/>
              </w:rPr>
              <w:t xml:space="preserve">vispārējs deleģējums pārsūdzības kārtības noteikšanai noteikumu projektā, tai skaitā attiecībā uz </w:t>
            </w:r>
            <w:r w:rsidR="00723201" w:rsidRPr="00412F14">
              <w:rPr>
                <w:iCs/>
                <w:sz w:val="24"/>
                <w:szCs w:val="24"/>
              </w:rPr>
              <w:t>s</w:t>
            </w:r>
            <w:r w:rsidR="00723201" w:rsidRPr="00412F14">
              <w:rPr>
                <w:iCs/>
                <w:sz w:val="24"/>
                <w:szCs w:val="24"/>
                <w:lang w:eastAsia="lv-LV"/>
              </w:rPr>
              <w:t>tarptautisko sporta organizāciju un citu dalībvalstu antidopinga organizāciju pārsūdzības tiesībām  ir noteikts Sporta likuma 11.</w:t>
            </w:r>
            <w:r w:rsidR="00723201" w:rsidRPr="00412F14">
              <w:rPr>
                <w:iCs/>
                <w:sz w:val="24"/>
                <w:szCs w:val="24"/>
                <w:vertAlign w:val="superscript"/>
                <w:lang w:eastAsia="lv-LV"/>
              </w:rPr>
              <w:t xml:space="preserve">1 </w:t>
            </w:r>
            <w:r w:rsidR="00723201" w:rsidRPr="00412F14">
              <w:rPr>
                <w:iCs/>
                <w:sz w:val="24"/>
                <w:szCs w:val="24"/>
                <w:lang w:eastAsia="lv-LV"/>
              </w:rPr>
              <w:t>panta</w:t>
            </w:r>
            <w:r w:rsidR="00723201" w:rsidRPr="00412F14">
              <w:rPr>
                <w:iCs/>
                <w:sz w:val="24"/>
                <w:szCs w:val="24"/>
                <w:bdr w:val="none" w:sz="0" w:space="0" w:color="auto" w:frame="1"/>
              </w:rPr>
              <w:t xml:space="preserve"> otrajā daļā</w:t>
            </w:r>
            <w:r w:rsidR="00723201" w:rsidRPr="00412F14">
              <w:rPr>
                <w:iCs/>
                <w:sz w:val="24"/>
                <w:szCs w:val="24"/>
              </w:rPr>
              <w:t xml:space="preserve">, kurā minēts, ka Nacionālie antidopinga noteikumi nosaka </w:t>
            </w:r>
            <w:r w:rsidR="00723201" w:rsidRPr="00412F14">
              <w:rPr>
                <w:sz w:val="24"/>
                <w:szCs w:val="24"/>
                <w:shd w:val="clear" w:color="auto" w:fill="FFFFFF"/>
              </w:rPr>
              <w:t>kārtību un termiņus, kādos iesniedz un izskata pārsūdzības par antidopinga jomā iesaistīto institūciju pieņemtajiem lēmumiem. Vienlaikus, jau šobrīd spēkā esoš</w:t>
            </w:r>
            <w:r w:rsidR="00066F17" w:rsidRPr="00412F14">
              <w:rPr>
                <w:sz w:val="24"/>
                <w:szCs w:val="24"/>
                <w:shd w:val="clear" w:color="auto" w:fill="FFFFFF"/>
              </w:rPr>
              <w:t>o</w:t>
            </w:r>
            <w:r w:rsidR="00723201" w:rsidRPr="00412F14">
              <w:rPr>
                <w:sz w:val="24"/>
                <w:szCs w:val="24"/>
                <w:shd w:val="clear" w:color="auto" w:fill="FFFFFF"/>
              </w:rPr>
              <w:t xml:space="preserve"> Nacionāl</w:t>
            </w:r>
            <w:r w:rsidR="00066F17" w:rsidRPr="00412F14">
              <w:rPr>
                <w:sz w:val="24"/>
                <w:szCs w:val="24"/>
                <w:shd w:val="clear" w:color="auto" w:fill="FFFFFF"/>
              </w:rPr>
              <w:t xml:space="preserve">o </w:t>
            </w:r>
            <w:r w:rsidR="00723201" w:rsidRPr="00412F14">
              <w:rPr>
                <w:sz w:val="24"/>
                <w:szCs w:val="24"/>
                <w:shd w:val="clear" w:color="auto" w:fill="FFFFFF"/>
              </w:rPr>
              <w:t>antidopinga</w:t>
            </w:r>
            <w:r w:rsidR="00066F17" w:rsidRPr="00412F14">
              <w:rPr>
                <w:sz w:val="24"/>
                <w:szCs w:val="24"/>
                <w:shd w:val="clear" w:color="auto" w:fill="FFFFFF"/>
              </w:rPr>
              <w:t xml:space="preserve"> </w:t>
            </w:r>
            <w:r w:rsidR="00723201" w:rsidRPr="00412F14">
              <w:rPr>
                <w:sz w:val="24"/>
                <w:szCs w:val="24"/>
                <w:shd w:val="clear" w:color="auto" w:fill="FFFFFF"/>
              </w:rPr>
              <w:t xml:space="preserve">noteikumu </w:t>
            </w:r>
            <w:r w:rsidR="00723201" w:rsidRPr="00412F14">
              <w:rPr>
                <w:sz w:val="24"/>
                <w:szCs w:val="24"/>
                <w:shd w:val="clear" w:color="auto" w:fill="FFFFFF"/>
              </w:rPr>
              <w:lastRenderedPageBreak/>
              <w:t>1.1.apakšpunktā ir minēts tas pats</w:t>
            </w:r>
            <w:r w:rsidR="00066F17" w:rsidRPr="00412F14">
              <w:rPr>
                <w:sz w:val="24"/>
                <w:szCs w:val="24"/>
                <w:shd w:val="clear" w:color="auto" w:fill="FFFFFF"/>
              </w:rPr>
              <w:t xml:space="preserve"> saturs, kā </w:t>
            </w:r>
            <w:r w:rsidR="00723201" w:rsidRPr="00412F14">
              <w:rPr>
                <w:sz w:val="24"/>
                <w:szCs w:val="24"/>
                <w:shd w:val="clear" w:color="auto" w:fill="FFFFFF"/>
              </w:rPr>
              <w:t>Sporta likuma 11.</w:t>
            </w:r>
            <w:r w:rsidR="00723201" w:rsidRPr="00412F14">
              <w:rPr>
                <w:sz w:val="24"/>
                <w:szCs w:val="24"/>
                <w:shd w:val="clear" w:color="auto" w:fill="FFFFFF"/>
                <w:vertAlign w:val="superscript"/>
              </w:rPr>
              <w:t>1</w:t>
            </w:r>
            <w:r w:rsidR="00723201" w:rsidRPr="00412F14">
              <w:rPr>
                <w:sz w:val="24"/>
                <w:szCs w:val="24"/>
                <w:shd w:val="clear" w:color="auto" w:fill="FFFFFF"/>
              </w:rPr>
              <w:t xml:space="preserve"> panta otrajā daļā</w:t>
            </w:r>
            <w:r w:rsidR="00066F17" w:rsidRPr="00412F14">
              <w:rPr>
                <w:sz w:val="24"/>
                <w:szCs w:val="24"/>
                <w:shd w:val="clear" w:color="auto" w:fill="FFFFFF"/>
              </w:rPr>
              <w:t xml:space="preserve"> attiecībā uz pārsūdzības kārtību. </w:t>
            </w:r>
            <w:r w:rsidR="00723201" w:rsidRPr="00412F14">
              <w:rPr>
                <w:sz w:val="24"/>
                <w:szCs w:val="24"/>
                <w:shd w:val="clear" w:color="auto" w:fill="FFFFFF"/>
              </w:rPr>
              <w:t>Šobrīd pēc veiktajiem  grozījumiem Sporta likumā, papildinot 11.</w:t>
            </w:r>
            <w:r w:rsidR="00723201" w:rsidRPr="00412F14">
              <w:rPr>
                <w:sz w:val="24"/>
                <w:szCs w:val="24"/>
                <w:shd w:val="clear" w:color="auto" w:fill="FFFFFF"/>
                <w:vertAlign w:val="superscript"/>
              </w:rPr>
              <w:t xml:space="preserve">5 </w:t>
            </w:r>
            <w:r w:rsidR="00723201" w:rsidRPr="00412F14">
              <w:rPr>
                <w:sz w:val="24"/>
                <w:szCs w:val="24"/>
                <w:shd w:val="clear" w:color="auto" w:fill="FFFFFF"/>
              </w:rPr>
              <w:t>panta pirmo daļu un papildinot ar jaunu 11.</w:t>
            </w:r>
            <w:r w:rsidR="00723201" w:rsidRPr="00412F14">
              <w:rPr>
                <w:sz w:val="24"/>
                <w:szCs w:val="24"/>
                <w:shd w:val="clear" w:color="auto" w:fill="FFFFFF"/>
                <w:vertAlign w:val="superscript"/>
              </w:rPr>
              <w:t>6</w:t>
            </w:r>
            <w:r w:rsidR="00723201" w:rsidRPr="00412F14">
              <w:rPr>
                <w:sz w:val="24"/>
                <w:szCs w:val="24"/>
                <w:shd w:val="clear" w:color="auto" w:fill="FFFFFF"/>
              </w:rPr>
              <w:t xml:space="preserve"> </w:t>
            </w:r>
            <w:r w:rsidR="00066F17" w:rsidRPr="00412F14">
              <w:rPr>
                <w:sz w:val="24"/>
                <w:szCs w:val="24"/>
                <w:shd w:val="clear" w:color="auto" w:fill="FFFFFF"/>
              </w:rPr>
              <w:t xml:space="preserve">, Sporta likumā </w:t>
            </w:r>
            <w:r w:rsidR="00723201" w:rsidRPr="00412F14">
              <w:rPr>
                <w:sz w:val="24"/>
                <w:szCs w:val="24"/>
                <w:shd w:val="clear" w:color="auto" w:fill="FFFFFF"/>
              </w:rPr>
              <w:t>ir noteikti sūdzību veidi ar kādām var vērsties Pārsūdzības komisijā un</w:t>
            </w:r>
            <w:r w:rsidR="00723201" w:rsidRPr="00412F14">
              <w:rPr>
                <w:iCs/>
                <w:sz w:val="24"/>
                <w:szCs w:val="24"/>
              </w:rPr>
              <w:t xml:space="preserve"> s</w:t>
            </w:r>
            <w:r w:rsidR="00723201" w:rsidRPr="00412F14">
              <w:rPr>
                <w:iCs/>
                <w:sz w:val="24"/>
                <w:szCs w:val="24"/>
                <w:lang w:eastAsia="lv-LV"/>
              </w:rPr>
              <w:t>tarptautisko sporta organizāciju un citu dalībvalstu antidopinga organizāciju pārsūdzības tiesības, tomēr likumā netiek atrunāta procesuālā kārtība un termiņ</w:t>
            </w:r>
            <w:r w:rsidR="00066F17" w:rsidRPr="00412F14">
              <w:rPr>
                <w:iCs/>
                <w:sz w:val="24"/>
                <w:szCs w:val="24"/>
                <w:lang w:eastAsia="lv-LV"/>
              </w:rPr>
              <w:t>i</w:t>
            </w:r>
            <w:r w:rsidR="00723201" w:rsidRPr="00412F14">
              <w:rPr>
                <w:iCs/>
                <w:sz w:val="24"/>
                <w:szCs w:val="24"/>
                <w:lang w:eastAsia="lv-LV"/>
              </w:rPr>
              <w:t xml:space="preserve">, kādos izskata iesniegtās sūdzības. Kārtība un termiņi kādos izskata </w:t>
            </w:r>
            <w:r w:rsidR="00723201" w:rsidRPr="00412F14">
              <w:rPr>
                <w:sz w:val="24"/>
                <w:szCs w:val="24"/>
                <w:shd w:val="clear" w:color="auto" w:fill="FFFFFF"/>
              </w:rPr>
              <w:t>pārsūdzības par antidopinga jomā iesaistīto institūciju pieņemtajiem lēmumiem ir iekļauti</w:t>
            </w:r>
            <w:r w:rsidR="00723201" w:rsidRPr="00412F14">
              <w:rPr>
                <w:iCs/>
                <w:sz w:val="24"/>
                <w:szCs w:val="24"/>
                <w:lang w:eastAsia="lv-LV"/>
              </w:rPr>
              <w:t xml:space="preserve"> noteikumu projekta sestajā nodaļā.</w:t>
            </w:r>
            <w:r w:rsidR="00723201" w:rsidRPr="00412F14">
              <w:rPr>
                <w:sz w:val="24"/>
                <w:szCs w:val="24"/>
                <w:shd w:val="clear" w:color="auto" w:fill="FFFFFF"/>
              </w:rPr>
              <w:t xml:space="preserve">  </w:t>
            </w:r>
          </w:p>
          <w:p w14:paraId="5B474B86" w14:textId="54728CE0" w:rsidR="00781D62" w:rsidRPr="00412F14" w:rsidRDefault="00781D62" w:rsidP="00F02100">
            <w:pPr>
              <w:jc w:val="both"/>
              <w:rPr>
                <w:shd w:val="clear" w:color="auto" w:fill="FFFFFF"/>
              </w:rPr>
            </w:pPr>
          </w:p>
          <w:p w14:paraId="122E9C01" w14:textId="1A80010F" w:rsidR="00662859" w:rsidRPr="00412F14" w:rsidRDefault="00662859" w:rsidP="00313F5B">
            <w:pPr>
              <w:pStyle w:val="naisc"/>
              <w:spacing w:before="0" w:after="0"/>
              <w:jc w:val="both"/>
              <w:rPr>
                <w:b/>
                <w:bCs/>
              </w:rPr>
            </w:pPr>
          </w:p>
        </w:tc>
        <w:tc>
          <w:tcPr>
            <w:tcW w:w="2809" w:type="dxa"/>
            <w:gridSpan w:val="2"/>
            <w:tcBorders>
              <w:top w:val="single" w:sz="4" w:space="0" w:color="auto"/>
              <w:left w:val="single" w:sz="4" w:space="0" w:color="auto"/>
              <w:bottom w:val="single" w:sz="4" w:space="0" w:color="auto"/>
            </w:tcBorders>
          </w:tcPr>
          <w:p w14:paraId="0004CB7E" w14:textId="77777777" w:rsidR="00662859" w:rsidRPr="00412F14" w:rsidRDefault="00662859" w:rsidP="00662859">
            <w:pPr>
              <w:jc w:val="both"/>
            </w:pPr>
            <w:r w:rsidRPr="00412F14">
              <w:lastRenderedPageBreak/>
              <w:t>Noteikumu projekta izdošanas tiesiskais pamatojums  -</w:t>
            </w:r>
          </w:p>
          <w:p w14:paraId="52FF59DE" w14:textId="60FBA656" w:rsidR="00662859" w:rsidRPr="00412F14" w:rsidRDefault="00662859" w:rsidP="00662859">
            <w:pPr>
              <w:jc w:val="both"/>
              <w:rPr>
                <w:lang w:eastAsia="en-US"/>
              </w:rPr>
            </w:pPr>
            <w:r w:rsidRPr="00412F14">
              <w:rPr>
                <w:lang w:eastAsia="en-US"/>
              </w:rPr>
              <w:t>Izdoti saskaņā ar Sporta likuma 11.</w:t>
            </w:r>
            <w:r w:rsidRPr="00412F14">
              <w:rPr>
                <w:vertAlign w:val="superscript"/>
                <w:lang w:eastAsia="en-US"/>
              </w:rPr>
              <w:t xml:space="preserve">1 </w:t>
            </w:r>
            <w:r w:rsidRPr="00412F14">
              <w:rPr>
                <w:lang w:eastAsia="en-US"/>
              </w:rPr>
              <w:t>panta pirmo un  otro daļu,  11.</w:t>
            </w:r>
            <w:r w:rsidRPr="00412F14">
              <w:rPr>
                <w:vertAlign w:val="superscript"/>
                <w:lang w:eastAsia="en-US"/>
              </w:rPr>
              <w:t xml:space="preserve">3 </w:t>
            </w:r>
            <w:r w:rsidRPr="00412F14">
              <w:rPr>
                <w:lang w:eastAsia="en-US"/>
              </w:rPr>
              <w:t xml:space="preserve">panta </w:t>
            </w:r>
            <w:r w:rsidRPr="00412F14">
              <w:t xml:space="preserve">2. </w:t>
            </w:r>
            <w:r w:rsidRPr="00412F14">
              <w:rPr>
                <w:vertAlign w:val="superscript"/>
              </w:rPr>
              <w:t>3</w:t>
            </w:r>
            <w:r w:rsidRPr="00412F14">
              <w:rPr>
                <w:lang w:eastAsia="en-US"/>
              </w:rPr>
              <w:t xml:space="preserve">  un sesto daļu, 11.</w:t>
            </w:r>
            <w:r w:rsidRPr="00412F14">
              <w:rPr>
                <w:vertAlign w:val="superscript"/>
                <w:lang w:eastAsia="en-US"/>
              </w:rPr>
              <w:t xml:space="preserve">4 </w:t>
            </w:r>
            <w:r w:rsidRPr="00412F14">
              <w:rPr>
                <w:lang w:eastAsia="en-US"/>
              </w:rPr>
              <w:t>panta sesto daļu</w:t>
            </w:r>
          </w:p>
          <w:p w14:paraId="4963C974" w14:textId="122A38C6" w:rsidR="00781D62" w:rsidRPr="00412F14" w:rsidRDefault="00781D62" w:rsidP="00781D62">
            <w:pPr>
              <w:pStyle w:val="NoSpacing"/>
              <w:rPr>
                <w:sz w:val="24"/>
                <w:szCs w:val="24"/>
              </w:rPr>
            </w:pPr>
            <w:r w:rsidRPr="00412F14">
              <w:rPr>
                <w:sz w:val="24"/>
                <w:szCs w:val="24"/>
              </w:rPr>
              <w:t xml:space="preserve"> </w:t>
            </w:r>
          </w:p>
          <w:p w14:paraId="0325D248" w14:textId="14344687" w:rsidR="00781D62" w:rsidRPr="00412F14" w:rsidRDefault="00781D62" w:rsidP="00662859">
            <w:pPr>
              <w:jc w:val="both"/>
              <w:rPr>
                <w:lang w:eastAsia="en-US"/>
              </w:rPr>
            </w:pPr>
          </w:p>
          <w:p w14:paraId="2123841E" w14:textId="77777777" w:rsidR="00F955F0" w:rsidRPr="00412F14" w:rsidRDefault="00F955F0" w:rsidP="00313F5B">
            <w:pPr>
              <w:jc w:val="both"/>
            </w:pPr>
          </w:p>
        </w:tc>
      </w:tr>
      <w:tr w:rsidR="00F955F0" w:rsidRPr="00134C8B" w14:paraId="338C9A37"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43EF7D0" w14:textId="65D86A1D" w:rsidR="00F955F0" w:rsidRPr="00134C8B" w:rsidRDefault="00304590" w:rsidP="00313F5B">
            <w:pPr>
              <w:pStyle w:val="naisc"/>
              <w:spacing w:before="0" w:after="0"/>
              <w:jc w:val="both"/>
            </w:pPr>
            <w:r>
              <w:t>3.</w:t>
            </w:r>
          </w:p>
        </w:tc>
        <w:tc>
          <w:tcPr>
            <w:tcW w:w="3086" w:type="dxa"/>
            <w:tcBorders>
              <w:top w:val="single" w:sz="6" w:space="0" w:color="000000"/>
              <w:left w:val="single" w:sz="6" w:space="0" w:color="000000"/>
              <w:bottom w:val="single" w:sz="6" w:space="0" w:color="000000"/>
              <w:right w:val="single" w:sz="6" w:space="0" w:color="000000"/>
            </w:tcBorders>
          </w:tcPr>
          <w:p w14:paraId="03B6B751" w14:textId="5AA60165" w:rsidR="00134C8B" w:rsidRPr="00134C8B" w:rsidRDefault="00134C8B" w:rsidP="00134C8B">
            <w:pPr>
              <w:pStyle w:val="NoSpacing"/>
              <w:rPr>
                <w:sz w:val="24"/>
                <w:szCs w:val="24"/>
              </w:rPr>
            </w:pPr>
            <w:r w:rsidRPr="00134C8B">
              <w:rPr>
                <w:sz w:val="24"/>
                <w:szCs w:val="24"/>
              </w:rPr>
              <w:t xml:space="preserve">1.1. dopinga definīciju, antidopinga noteikumu pārkāpumus, reglamentē to pierādīšanas kārtību un termiņus, rezultātu anulēšanu un sankcijas, kārtību un termiņus, kādos iesniedz un izskata pārsūdzības par antidopinga jomā iesaistīto institūciju pieņemtajiem lēmumiem, antidopinga jomā iesaistīto institūciju lēmumu </w:t>
            </w:r>
            <w:r w:rsidRPr="00134C8B">
              <w:rPr>
                <w:sz w:val="24"/>
                <w:szCs w:val="24"/>
              </w:rPr>
              <w:lastRenderedPageBreak/>
              <w:t>atzīšanas kārtību un termiņus, ierobežojošos noteikumus sankciju piemērošanai, kā arī citus noteikumus atbilstoši antidopinga 2005. gada 19. oktobra Starptautiskajai konvencijai pret dopingu sportā un 1989. gada 16.  novembra Eiropas Padomes Antidopinga konvencijai Nr. 135;</w:t>
            </w:r>
          </w:p>
          <w:p w14:paraId="1EB5B34B" w14:textId="13A35534" w:rsidR="00134C8B" w:rsidRPr="00134C8B" w:rsidRDefault="00134C8B" w:rsidP="00313F5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2B3773F0" w14:textId="503749A0" w:rsidR="00F955F0" w:rsidRPr="00134C8B" w:rsidRDefault="00F955F0" w:rsidP="00313F5B">
            <w:pPr>
              <w:ind w:right="12"/>
              <w:jc w:val="both"/>
            </w:pPr>
            <w:r w:rsidRPr="00134C8B">
              <w:lastRenderedPageBreak/>
              <w:t>3. Saistībā ar projekta 1.1. apakšpunkta regulējumu lūdzam vismaz projekta anotācijā  skaidri identificēt, kas uzskatāmi par citiem noteikumiem atbilstoši antidopinga 2005. gada 19. oktobra Starptautiskajai konvencijai pret dopingu sportā un 1989. gada 16.  novembra Eiropas Padomes Antidopinga konvencijai Nr. 135, tādējādi atvieglojot projekta piemērošanu praksē.</w:t>
            </w:r>
          </w:p>
          <w:p w14:paraId="3BABF7B9" w14:textId="77777777" w:rsidR="00F955F0" w:rsidRPr="00134C8B" w:rsidRDefault="00F955F0" w:rsidP="00313F5B">
            <w:pPr>
              <w:ind w:right="12"/>
              <w:jc w:val="both"/>
              <w:rPr>
                <w:b/>
                <w:bCs/>
              </w:rPr>
            </w:pPr>
          </w:p>
        </w:tc>
        <w:tc>
          <w:tcPr>
            <w:tcW w:w="3995" w:type="dxa"/>
            <w:tcBorders>
              <w:top w:val="single" w:sz="6" w:space="0" w:color="000000"/>
              <w:left w:val="single" w:sz="6" w:space="0" w:color="000000"/>
              <w:bottom w:val="single" w:sz="6" w:space="0" w:color="000000"/>
              <w:right w:val="single" w:sz="6" w:space="0" w:color="000000"/>
            </w:tcBorders>
          </w:tcPr>
          <w:p w14:paraId="550797AA" w14:textId="77777777" w:rsidR="00F955F0" w:rsidRDefault="00A34437" w:rsidP="00313F5B">
            <w:pPr>
              <w:pStyle w:val="naisc"/>
              <w:spacing w:before="0" w:after="0"/>
              <w:jc w:val="both"/>
              <w:rPr>
                <w:b/>
                <w:bCs/>
              </w:rPr>
            </w:pPr>
            <w:r w:rsidRPr="00134C8B">
              <w:rPr>
                <w:b/>
                <w:bCs/>
              </w:rPr>
              <w:t xml:space="preserve">Ņemts vērā </w:t>
            </w:r>
          </w:p>
          <w:p w14:paraId="4F4B45E1" w14:textId="466A5D7A" w:rsidR="00134C8B" w:rsidRPr="00536EFB" w:rsidRDefault="00134C8B" w:rsidP="00313F5B">
            <w:pPr>
              <w:pStyle w:val="naisc"/>
              <w:spacing w:before="0" w:after="0"/>
              <w:jc w:val="both"/>
            </w:pPr>
            <w:r w:rsidRPr="00536EFB">
              <w:t>Precizēta noteikumu projekta anotācija</w:t>
            </w:r>
            <w:r w:rsidR="00536EFB" w:rsidRPr="00536EFB">
              <w:t>, papildinot ar skaidrojumu, kas ir uzskatāmi par citiem noteikumiem.</w:t>
            </w:r>
          </w:p>
        </w:tc>
        <w:tc>
          <w:tcPr>
            <w:tcW w:w="2809" w:type="dxa"/>
            <w:gridSpan w:val="2"/>
            <w:tcBorders>
              <w:top w:val="single" w:sz="4" w:space="0" w:color="auto"/>
              <w:left w:val="single" w:sz="4" w:space="0" w:color="auto"/>
              <w:bottom w:val="single" w:sz="4" w:space="0" w:color="auto"/>
            </w:tcBorders>
          </w:tcPr>
          <w:p w14:paraId="15C4A221" w14:textId="0AF58500" w:rsidR="00F955F0" w:rsidRPr="00134C8B" w:rsidRDefault="00F02100" w:rsidP="00313F5B">
            <w:pPr>
              <w:jc w:val="both"/>
            </w:pPr>
            <w:r w:rsidRPr="00134C8B">
              <w:t>Noteikumu projekta anotācija</w:t>
            </w:r>
            <w:r w:rsidR="00134C8B">
              <w:t>.</w:t>
            </w:r>
          </w:p>
        </w:tc>
      </w:tr>
      <w:tr w:rsidR="00412F14" w:rsidRPr="00412F14" w14:paraId="24014AD1"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CDF2203" w14:textId="518631F3" w:rsidR="00F955F0" w:rsidRPr="00412F14" w:rsidRDefault="00304590" w:rsidP="00313F5B">
            <w:pPr>
              <w:pStyle w:val="naisc"/>
              <w:spacing w:before="0" w:after="0"/>
              <w:jc w:val="both"/>
            </w:pPr>
            <w:r w:rsidRPr="00412F14">
              <w:t>4.</w:t>
            </w:r>
          </w:p>
        </w:tc>
        <w:tc>
          <w:tcPr>
            <w:tcW w:w="3086" w:type="dxa"/>
            <w:tcBorders>
              <w:top w:val="single" w:sz="6" w:space="0" w:color="000000"/>
              <w:left w:val="single" w:sz="6" w:space="0" w:color="000000"/>
              <w:bottom w:val="single" w:sz="6" w:space="0" w:color="000000"/>
              <w:right w:val="single" w:sz="6" w:space="0" w:color="000000"/>
            </w:tcBorders>
          </w:tcPr>
          <w:p w14:paraId="27A71297" w14:textId="55720614" w:rsidR="00026D2D" w:rsidRPr="00412F14" w:rsidRDefault="00026D2D" w:rsidP="00026D2D">
            <w:pPr>
              <w:pStyle w:val="NoSpacing"/>
              <w:rPr>
                <w:sz w:val="24"/>
                <w:szCs w:val="24"/>
              </w:rPr>
            </w:pPr>
            <w:r w:rsidRPr="00412F14">
              <w:rPr>
                <w:sz w:val="24"/>
                <w:szCs w:val="24"/>
              </w:rPr>
              <w:t>6. 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p>
          <w:p w14:paraId="672880B7" w14:textId="77777777" w:rsidR="00F955F0" w:rsidRPr="00412F14" w:rsidRDefault="00F955F0" w:rsidP="00313F5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79B9284C" w14:textId="77777777" w:rsidR="00F955F0" w:rsidRPr="00412F14" w:rsidRDefault="00F955F0" w:rsidP="00313F5B">
            <w:pPr>
              <w:ind w:right="12"/>
              <w:jc w:val="both"/>
            </w:pPr>
            <w:r w:rsidRPr="00412F14">
              <w:t>4. Projekta 6. punkts  noteic, ka 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 Norādām, ka regulējums par pārstāvību jau dublē citviet normatīvajos aktos noteikto, piemēram, Civillikuma ceturto nodaļu. Vēršam uzmanību, ka saskaņā ar MKN. 108 3.2. apakšpunktu normatīvā akta projektā neietver normas, kas dublē augstāka vai tāda paša spēka normatīvā akta tiesību normās ietverto normatīvo regulējumu. Attiecīgi lūdzam precizēt projekta 6. punktu, norādot tikai regulējumu par dopinga kontroles veikšanu</w:t>
            </w:r>
            <w:r w:rsidR="00026D2D" w:rsidRPr="00412F14">
              <w:t>.</w:t>
            </w:r>
          </w:p>
          <w:p w14:paraId="2AE24781" w14:textId="77777777" w:rsidR="00066F17" w:rsidRPr="00412F14" w:rsidRDefault="00066F17" w:rsidP="00313F5B">
            <w:pPr>
              <w:ind w:right="12"/>
              <w:jc w:val="both"/>
            </w:pPr>
          </w:p>
          <w:p w14:paraId="09B472F0" w14:textId="77777777" w:rsidR="00066F17" w:rsidRPr="00412F14" w:rsidRDefault="00066F17" w:rsidP="00313F5B">
            <w:pPr>
              <w:ind w:right="12"/>
              <w:jc w:val="both"/>
              <w:rPr>
                <w:b/>
                <w:bCs/>
              </w:rPr>
            </w:pPr>
            <w:r w:rsidRPr="00412F14">
              <w:rPr>
                <w:b/>
                <w:bCs/>
              </w:rPr>
              <w:lastRenderedPageBreak/>
              <w:t>Tieslietu ministrijas 10.09.2021 iebildums</w:t>
            </w:r>
          </w:p>
          <w:p w14:paraId="05DA3A27" w14:textId="77777777" w:rsidR="00066F17" w:rsidRPr="00412F14" w:rsidRDefault="00066F17" w:rsidP="00066F17">
            <w:pPr>
              <w:pStyle w:val="NormalWeb"/>
              <w:shd w:val="clear" w:color="auto" w:fill="FFFFFF"/>
              <w:spacing w:before="0" w:beforeAutospacing="0" w:after="0" w:afterAutospacing="0"/>
              <w:jc w:val="both"/>
              <w:rPr>
                <w:bdr w:val="none" w:sz="0" w:space="0" w:color="auto" w:frame="1"/>
              </w:rPr>
            </w:pPr>
            <w:r w:rsidRPr="00412F14">
              <w:rPr>
                <w:bdr w:val="none" w:sz="0" w:space="0" w:color="auto" w:frame="1"/>
              </w:rPr>
              <w:t>Noteikumu projekta 6. punkts paredz, ka sportistiem, kuri ir nepilngadīgas personas, dopinga kontroles tiek veiktas atbilstoši kodeksa  5. panta 4. punktam. Savukārt noteikumu projekta anotācijā minēts, tā kā izmaiņas, kas saistītas ar dopinga kontroles procedūras veikšanu nepilngadīgām personām ir atrunātas Pārbaužu un izmeklējumu starptautiskā standarta B pielikumā un standarts nav tieši piemērojams, noteikumu projekta 6.punktā ir iekļauta redakcija ar atsauci uz Kodeksa pantu, kas ir veidota līdzīgi  pēc analoģijas kā tas ir veikts noteikumu projekta 7. punktā. Saistībā ar minēto lūdzam izvērtēt un attiecīgo tiesisko regulējumu, ciktāl tas izriet no Pārbaužu un izmeklējumu starptautiskā standarta B pielikuma un nedublē nacionālā regulējuma saturu, ietvert noteikumu projektā tādējādi nodrošinot privātpersonu pamattiesību zināt savas tiesības īstenošanu, vienlaikus papildinot noteikumu projekta anotācijas V sadaļas 1. tabulu atbilstoši Ministru kabineta 2009. gada 15. decembra instrukcijas Nr. 19 "Tiesību akta projekta sākotnējās ietekmes izvērtēšanas kārtība" 58. punktam</w:t>
            </w:r>
          </w:p>
          <w:p w14:paraId="17DECC17" w14:textId="374FC139" w:rsidR="00066F17" w:rsidRPr="00412F14" w:rsidRDefault="00066F17" w:rsidP="00313F5B">
            <w:pPr>
              <w:ind w:right="12"/>
              <w:jc w:val="both"/>
              <w:rPr>
                <w:b/>
                <w:bCs/>
              </w:rPr>
            </w:pPr>
          </w:p>
        </w:tc>
        <w:tc>
          <w:tcPr>
            <w:tcW w:w="3995" w:type="dxa"/>
            <w:tcBorders>
              <w:top w:val="single" w:sz="6" w:space="0" w:color="000000"/>
              <w:left w:val="single" w:sz="6" w:space="0" w:color="000000"/>
              <w:bottom w:val="single" w:sz="6" w:space="0" w:color="000000"/>
              <w:right w:val="single" w:sz="6" w:space="0" w:color="000000"/>
            </w:tcBorders>
          </w:tcPr>
          <w:p w14:paraId="28EBA437" w14:textId="77777777" w:rsidR="00066F17" w:rsidRPr="00412F14" w:rsidRDefault="00066F17" w:rsidP="00F94C3E">
            <w:pPr>
              <w:jc w:val="both"/>
            </w:pPr>
            <w:r w:rsidRPr="00412F14">
              <w:rPr>
                <w:b/>
                <w:bCs/>
              </w:rPr>
              <w:lastRenderedPageBreak/>
              <w:t>Panākta vienošanās</w:t>
            </w:r>
            <w:r w:rsidRPr="00412F14">
              <w:t>.</w:t>
            </w:r>
          </w:p>
          <w:p w14:paraId="44D1A079" w14:textId="4D9155C8" w:rsidR="00505285" w:rsidRPr="00412F14" w:rsidRDefault="00026D2D" w:rsidP="00505285">
            <w:pPr>
              <w:jc w:val="both"/>
            </w:pPr>
            <w:r w:rsidRPr="00412F14">
              <w:t>Veikti precizējumi noteikumu projekta 6.punktā, kā arī anotācij</w:t>
            </w:r>
            <w:r w:rsidR="00505285" w:rsidRPr="00412F14">
              <w:t xml:space="preserve">ā. </w:t>
            </w:r>
            <w:r w:rsidR="00873C32" w:rsidRPr="00412F14">
              <w:t xml:space="preserve">2021.gada Kodeksā ir veiktas </w:t>
            </w:r>
            <w:r w:rsidR="00464228" w:rsidRPr="00412F14">
              <w:t>izmaiņas, kas saistītas ar dopinga kontroles procedūras veikšanu nepilngadīgām personām</w:t>
            </w:r>
            <w:r w:rsidR="00873C32" w:rsidRPr="00412F14">
              <w:t xml:space="preserve"> un tās</w:t>
            </w:r>
            <w:r w:rsidR="00464228" w:rsidRPr="00412F14">
              <w:t xml:space="preserve"> ir atrunāt</w:t>
            </w:r>
            <w:r w:rsidR="00873C32" w:rsidRPr="00412F14">
              <w:t>as</w:t>
            </w:r>
            <w:r w:rsidR="00464228" w:rsidRPr="00412F14">
              <w:t xml:space="preserve"> Pārbaužu un izmeklējumu starptautiskā standarta B pielikumā</w:t>
            </w:r>
            <w:r w:rsidR="00873C32" w:rsidRPr="00412F14">
              <w:t xml:space="preserve"> (kurā ir atrunātas tiesības nepilngadīga sportista  dopinga kontroles veikšanas procesā piesaistīt pārstāvi paziņošanā un dopinga kontroles veikšanā, atrunātas arī Biroja tiesības piesaistīt pārstāvi paziņošanas laikā, kā arī dopinga kontroles veikšana bez pārstāvja klātbūtnes, ja nepilngadīgais sportists no tāda atsakās, u.c.), vienlaikus </w:t>
            </w:r>
            <w:r w:rsidR="00464228" w:rsidRPr="00412F14">
              <w:t>standarts nav tieši piemērojams</w:t>
            </w:r>
            <w:r w:rsidR="003E7D14" w:rsidRPr="00412F14">
              <w:t>.</w:t>
            </w:r>
            <w:r w:rsidR="00505285" w:rsidRPr="00412F14">
              <w:t xml:space="preserve"> Lai nodrošinātu atbilstību Kodeksam, obligāti jāievēro </w:t>
            </w:r>
            <w:r w:rsidR="00505285" w:rsidRPr="00412F14">
              <w:lastRenderedPageBreak/>
              <w:t>starptautiskie standarti. Lai nodrošinātu pamattiesības zināt savas tiesības, starptautiskais standarts un visas to pārskatītās redakcijas tiek publicētas Aģentūras tīmekļa vietnē, tāpat tulkotie standarti pieejami Valsts valodas centra un Biroja mājas lapā, lai ieinteresētās personas ar tām varētu iepazīties. Tādējādi nav nepieciešams Pārbaužu un izmeklējumu starptautiskā standarta B pielikumā minētās prasības pārrakstīt noteikumu projektā. Vēl jo vairāk, pašā antidopinga procedūrā nav būtiskas atšķirības kā dopinga kontrole tiek veikta pilngadīgai un kā nepilngadīgai personai, un vienīgā atšķirība ir tajā, ka nepilngadīgas personas dopinga kontroles veikšanas laikā sportistam, kurš ir nepilngadīga persona, ir tiesības pieaicināt jebkuru pilngadīgu personu kā pārstāvi dopinga kontroles parauga nodošanai. Tādējādi šobrīd dopinga parauga nodošana nepilngadīgai personai var notikt arī likumiskā vai bez pilnvarota pārstāvja, kuru likumiskais pārstāvis pilnvarojis Bērnu tiesību aizsardzības likuma un Civillikuma noteiktajā kārtībā.</w:t>
            </w:r>
          </w:p>
          <w:p w14:paraId="59485F80" w14:textId="3906107C" w:rsidR="00F955F0" w:rsidRPr="00412F14" w:rsidRDefault="00F955F0" w:rsidP="00F94C3E">
            <w:pPr>
              <w:jc w:val="both"/>
            </w:pPr>
          </w:p>
        </w:tc>
        <w:tc>
          <w:tcPr>
            <w:tcW w:w="2809" w:type="dxa"/>
            <w:gridSpan w:val="2"/>
            <w:tcBorders>
              <w:top w:val="single" w:sz="4" w:space="0" w:color="auto"/>
              <w:left w:val="single" w:sz="4" w:space="0" w:color="auto"/>
              <w:bottom w:val="single" w:sz="4" w:space="0" w:color="auto"/>
            </w:tcBorders>
          </w:tcPr>
          <w:p w14:paraId="3AEE7F91" w14:textId="695B1D39" w:rsidR="00723201" w:rsidRPr="00412F14" w:rsidRDefault="00026D2D" w:rsidP="00723201">
            <w:pPr>
              <w:pStyle w:val="NoSpacing"/>
              <w:rPr>
                <w:sz w:val="24"/>
                <w:szCs w:val="24"/>
              </w:rPr>
            </w:pPr>
            <w:r w:rsidRPr="00412F14">
              <w:rPr>
                <w:sz w:val="24"/>
                <w:szCs w:val="24"/>
              </w:rPr>
              <w:lastRenderedPageBreak/>
              <w:t>6.</w:t>
            </w:r>
            <w:r w:rsidR="00536EFB" w:rsidRPr="00412F14">
              <w:rPr>
                <w:sz w:val="24"/>
                <w:szCs w:val="24"/>
              </w:rPr>
              <w:t xml:space="preserve"> </w:t>
            </w:r>
            <w:r w:rsidR="00723201" w:rsidRPr="00412F14">
              <w:rPr>
                <w:sz w:val="24"/>
                <w:szCs w:val="24"/>
                <w:lang w:eastAsia="lv-LV"/>
              </w:rPr>
              <w:t>Ja sportists ir nepilngadīga persona, šajos noteikumos noteiktās tiesības uz pārsūdzību, kā arī citas tiesības un pienākumus, izņemot dopinga kontroles parauga nodošanu, tas īsteno ar likumiskā pārstāvja starpniecību vai citas personas starpniecību, kuru likumiskais pārstāvis pilnvarojis</w:t>
            </w:r>
            <w:r w:rsidR="00412F14" w:rsidRPr="00412F14">
              <w:rPr>
                <w:sz w:val="24"/>
                <w:szCs w:val="24"/>
                <w:lang w:eastAsia="lv-LV"/>
              </w:rPr>
              <w:t>,</w:t>
            </w:r>
            <w:r w:rsidR="00723201" w:rsidRPr="00412F14">
              <w:rPr>
                <w:sz w:val="24"/>
                <w:szCs w:val="24"/>
                <w:lang w:eastAsia="lv-LV"/>
              </w:rPr>
              <w:t xml:space="preserve"> Bērnu tiesību aizsardzības likuma un Civillikuma noteiktajā kārtībā.</w:t>
            </w:r>
            <w:r w:rsidR="00723201" w:rsidRPr="00412F14">
              <w:rPr>
                <w:sz w:val="24"/>
                <w:szCs w:val="24"/>
              </w:rPr>
              <w:t xml:space="preserve"> </w:t>
            </w:r>
            <w:r w:rsidR="00723201" w:rsidRPr="00412F14">
              <w:rPr>
                <w:sz w:val="24"/>
                <w:szCs w:val="24"/>
                <w:lang w:eastAsia="lv-LV"/>
              </w:rPr>
              <w:t xml:space="preserve">Sportistam, kurš ir nepilngadīga persona, ir tiesības pieaicināt jebkuru pilngadīgu personu kā </w:t>
            </w:r>
            <w:r w:rsidR="00723201" w:rsidRPr="00412F14">
              <w:rPr>
                <w:sz w:val="24"/>
                <w:szCs w:val="24"/>
                <w:lang w:eastAsia="lv-LV"/>
              </w:rPr>
              <w:lastRenderedPageBreak/>
              <w:t>pārstāvi dopinga kontroles parauga nodošanai.</w:t>
            </w:r>
          </w:p>
          <w:p w14:paraId="28693829" w14:textId="6AA0B9E9" w:rsidR="00026D2D" w:rsidRPr="00412F14" w:rsidRDefault="00026D2D" w:rsidP="00026D2D">
            <w:pPr>
              <w:spacing w:after="160" w:line="259" w:lineRule="auto"/>
              <w:jc w:val="both"/>
              <w:rPr>
                <w:lang w:eastAsia="en-US"/>
              </w:rPr>
            </w:pPr>
          </w:p>
          <w:p w14:paraId="4884A6D6" w14:textId="77777777" w:rsidR="00F955F0" w:rsidRPr="00412F14" w:rsidRDefault="00F955F0" w:rsidP="00313F5B">
            <w:pPr>
              <w:jc w:val="both"/>
            </w:pPr>
          </w:p>
        </w:tc>
      </w:tr>
      <w:tr w:rsidR="00F955F0" w:rsidRPr="00E87F53" w14:paraId="7A65E917"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6DA55D5C" w14:textId="080FEA8A" w:rsidR="00F955F0" w:rsidRPr="00E87F53" w:rsidRDefault="00D40C02" w:rsidP="00313F5B">
            <w:pPr>
              <w:pStyle w:val="naisc"/>
              <w:spacing w:before="0" w:after="0"/>
              <w:jc w:val="both"/>
            </w:pPr>
            <w:r>
              <w:lastRenderedPageBreak/>
              <w:t>5.</w:t>
            </w:r>
          </w:p>
        </w:tc>
        <w:tc>
          <w:tcPr>
            <w:tcW w:w="3086" w:type="dxa"/>
            <w:tcBorders>
              <w:top w:val="single" w:sz="6" w:space="0" w:color="000000"/>
              <w:left w:val="single" w:sz="6" w:space="0" w:color="000000"/>
              <w:bottom w:val="single" w:sz="6" w:space="0" w:color="000000"/>
              <w:right w:val="single" w:sz="6" w:space="0" w:color="000000"/>
            </w:tcBorders>
          </w:tcPr>
          <w:p w14:paraId="580A27E6" w14:textId="5B23E797" w:rsidR="00E87F53" w:rsidRPr="00E87F53" w:rsidRDefault="00536EFB" w:rsidP="00313F5B">
            <w:pPr>
              <w:jc w:val="both"/>
            </w:pPr>
            <w:r w:rsidRPr="00E87F53">
              <w:t>Noteikumu projekts kopumā</w:t>
            </w:r>
            <w:r w:rsidR="00304590">
              <w:t>.</w:t>
            </w:r>
          </w:p>
          <w:p w14:paraId="3CBC3655" w14:textId="77777777" w:rsidR="00E87F53" w:rsidRPr="00E87F53" w:rsidRDefault="00E87F53" w:rsidP="00313F5B">
            <w:pPr>
              <w:jc w:val="both"/>
            </w:pPr>
          </w:p>
          <w:p w14:paraId="2DCC6379" w14:textId="77777777" w:rsidR="00E87F53" w:rsidRPr="00E87F53" w:rsidRDefault="00E87F53" w:rsidP="00313F5B">
            <w:pPr>
              <w:jc w:val="both"/>
            </w:pPr>
          </w:p>
          <w:p w14:paraId="45173B1A" w14:textId="77777777" w:rsidR="00E87F53" w:rsidRPr="00E87F53" w:rsidRDefault="00E87F53" w:rsidP="00313F5B">
            <w:pPr>
              <w:jc w:val="both"/>
            </w:pPr>
          </w:p>
          <w:p w14:paraId="57A114B3" w14:textId="77777777" w:rsidR="00E87F53" w:rsidRPr="00E87F53" w:rsidRDefault="00E87F53" w:rsidP="00313F5B">
            <w:pPr>
              <w:jc w:val="both"/>
            </w:pPr>
          </w:p>
          <w:p w14:paraId="01DDA081" w14:textId="77777777" w:rsidR="00E87F53" w:rsidRPr="00E87F53" w:rsidRDefault="00E87F53" w:rsidP="00313F5B">
            <w:pPr>
              <w:jc w:val="both"/>
            </w:pPr>
          </w:p>
          <w:p w14:paraId="2DF27910" w14:textId="77777777" w:rsidR="00E87F53" w:rsidRPr="00E87F53" w:rsidRDefault="00E87F53" w:rsidP="00313F5B">
            <w:pPr>
              <w:jc w:val="both"/>
            </w:pPr>
          </w:p>
          <w:p w14:paraId="1155359E" w14:textId="77777777" w:rsidR="00E87F53" w:rsidRPr="00E87F53" w:rsidRDefault="00E87F53" w:rsidP="00313F5B">
            <w:pPr>
              <w:jc w:val="both"/>
            </w:pPr>
          </w:p>
          <w:p w14:paraId="76863996" w14:textId="77777777" w:rsidR="00304590" w:rsidRDefault="00304590" w:rsidP="00E87F53">
            <w:pPr>
              <w:pStyle w:val="NoSpacing"/>
              <w:rPr>
                <w:sz w:val="24"/>
                <w:szCs w:val="24"/>
              </w:rPr>
            </w:pPr>
          </w:p>
          <w:p w14:paraId="7BFB9505" w14:textId="4E945C80" w:rsidR="00F955F0" w:rsidRPr="00E87F53" w:rsidRDefault="00F955F0" w:rsidP="00313F5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7D90D1BB" w14:textId="7A794FF2" w:rsidR="00F955F0" w:rsidRPr="00E87F53" w:rsidRDefault="00F955F0" w:rsidP="00313F5B">
            <w:pPr>
              <w:ind w:right="12"/>
              <w:jc w:val="both"/>
            </w:pPr>
            <w:r w:rsidRPr="00E87F53">
              <w:t xml:space="preserve">5. Daudzviet projektā norādīts uz Latvijas </w:t>
            </w:r>
            <w:r w:rsidR="00536EFB" w:rsidRPr="00E87F53">
              <w:t>Antidopinga</w:t>
            </w:r>
            <w:r w:rsidRPr="00E87F53">
              <w:t xml:space="preserve"> Biroja (turpmāk – Birojs) veiktu izmeklēšanu. Vēršam uzmanību, ka termins “izmeklēšana” praksē un normatīvajos aktos par kriminālprocesu tiek sasaistīts ar darbībām kriminālprocesa jomā, ko veic izmeklēšanas iestāde. Ņemot vērā, ka Birojs nav izmeklēšanas iestāde, lūdzam minēto terminu aizstāt ar citu terminu.</w:t>
            </w:r>
          </w:p>
        </w:tc>
        <w:tc>
          <w:tcPr>
            <w:tcW w:w="3995" w:type="dxa"/>
            <w:tcBorders>
              <w:top w:val="single" w:sz="6" w:space="0" w:color="000000"/>
              <w:left w:val="single" w:sz="6" w:space="0" w:color="000000"/>
              <w:bottom w:val="single" w:sz="6" w:space="0" w:color="000000"/>
              <w:right w:val="single" w:sz="6" w:space="0" w:color="000000"/>
            </w:tcBorders>
          </w:tcPr>
          <w:p w14:paraId="2BFE95A1" w14:textId="7E49D4CF" w:rsidR="00F955F0" w:rsidRPr="00E87F53" w:rsidRDefault="00536EFB" w:rsidP="00313F5B">
            <w:pPr>
              <w:pStyle w:val="naisc"/>
              <w:spacing w:before="0" w:after="0"/>
              <w:jc w:val="both"/>
              <w:rPr>
                <w:b/>
                <w:bCs/>
              </w:rPr>
            </w:pPr>
            <w:r w:rsidRPr="00E87F53">
              <w:rPr>
                <w:b/>
                <w:bCs/>
              </w:rPr>
              <w:t>Ņemts vērā</w:t>
            </w:r>
          </w:p>
          <w:p w14:paraId="71760414" w14:textId="491982D7" w:rsidR="00536EFB" w:rsidRPr="00E87F53" w:rsidRDefault="00536EFB" w:rsidP="00313F5B">
            <w:pPr>
              <w:pStyle w:val="naisc"/>
              <w:spacing w:before="0" w:after="0"/>
              <w:jc w:val="both"/>
            </w:pPr>
            <w:r w:rsidRPr="00E87F53">
              <w:t>Skaidrojam, ka noteikumu projektā tiek lietot</w:t>
            </w:r>
            <w:r w:rsidR="00AE7FE6" w:rsidRPr="00E87F53">
              <w:t xml:space="preserve">s termins “izmeklēšana”, jo šāda </w:t>
            </w:r>
            <w:r w:rsidRPr="00E87F53">
              <w:t>terminoloģija</w:t>
            </w:r>
            <w:r w:rsidR="00AE7FE6" w:rsidRPr="00E87F53">
              <w:t xml:space="preserve"> tiek lietota arī Sporta likuma 11.</w:t>
            </w:r>
            <w:r w:rsidR="00AE7FE6" w:rsidRPr="00E87F53">
              <w:rPr>
                <w:vertAlign w:val="superscript"/>
              </w:rPr>
              <w:t>2</w:t>
            </w:r>
            <w:r w:rsidR="00AE7FE6" w:rsidRPr="00E87F53">
              <w:t xml:space="preserve"> panta pirmās daļas 4.punktā</w:t>
            </w:r>
            <w:r w:rsidR="00E87F53" w:rsidRPr="00E87F53">
              <w:t xml:space="preserve">, kurā noteikts, ka Latvijas Antidopinga birojs veic </w:t>
            </w:r>
            <w:r w:rsidR="00E87F53" w:rsidRPr="00E87F53">
              <w:rPr>
                <w:color w:val="414142"/>
                <w:shd w:val="clear" w:color="auto" w:fill="FFFFFF"/>
              </w:rPr>
              <w:t>antidopinga noteikumu pārkāpumu pārbaudi un izmeklēšanu.</w:t>
            </w:r>
            <w:r w:rsidR="00D760C5">
              <w:rPr>
                <w:color w:val="414142"/>
                <w:shd w:val="clear" w:color="auto" w:fill="FFFFFF"/>
              </w:rPr>
              <w:t xml:space="preserve"> </w:t>
            </w:r>
          </w:p>
          <w:p w14:paraId="37CAE8F2" w14:textId="1AFCE357" w:rsidR="00E87F53" w:rsidRPr="00E87F53" w:rsidRDefault="00E87F53" w:rsidP="00313F5B">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543A8C73" w14:textId="4366D5C6" w:rsidR="00F955F0" w:rsidRPr="00E87F53" w:rsidRDefault="00536EFB" w:rsidP="00313F5B">
            <w:pPr>
              <w:jc w:val="both"/>
            </w:pPr>
            <w:r w:rsidRPr="00E87F53">
              <w:t>Noteikumu projekts kopumā</w:t>
            </w:r>
            <w:r w:rsidR="00304590">
              <w:t>.</w:t>
            </w:r>
          </w:p>
          <w:p w14:paraId="3F49E09E" w14:textId="77777777" w:rsidR="00E87F53" w:rsidRPr="00E87F53" w:rsidRDefault="00E87F53" w:rsidP="00313F5B">
            <w:pPr>
              <w:jc w:val="both"/>
            </w:pPr>
          </w:p>
          <w:p w14:paraId="3E2AA7D1" w14:textId="77777777" w:rsidR="00E87F53" w:rsidRPr="00E87F53" w:rsidRDefault="00E87F53" w:rsidP="00313F5B">
            <w:pPr>
              <w:jc w:val="both"/>
            </w:pPr>
          </w:p>
          <w:p w14:paraId="6D297CD7" w14:textId="77777777" w:rsidR="00E87F53" w:rsidRPr="00E87F53" w:rsidRDefault="00E87F53" w:rsidP="00313F5B">
            <w:pPr>
              <w:jc w:val="both"/>
            </w:pPr>
          </w:p>
          <w:p w14:paraId="7E57690C" w14:textId="282814F8" w:rsidR="00E87F53" w:rsidRPr="00E87F53" w:rsidRDefault="00E87F53" w:rsidP="00304590">
            <w:pPr>
              <w:pStyle w:val="NoSpacing"/>
            </w:pPr>
          </w:p>
        </w:tc>
      </w:tr>
      <w:tr w:rsidR="00304590" w:rsidRPr="00E87F53" w14:paraId="1B96B97A"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60379B12" w14:textId="1424D245" w:rsidR="00304590" w:rsidRPr="00E87F53" w:rsidRDefault="00D40C02" w:rsidP="00313F5B">
            <w:pPr>
              <w:pStyle w:val="naisc"/>
              <w:spacing w:before="0" w:after="0"/>
              <w:jc w:val="both"/>
            </w:pPr>
            <w:r>
              <w:t>6.</w:t>
            </w:r>
          </w:p>
        </w:tc>
        <w:tc>
          <w:tcPr>
            <w:tcW w:w="3086" w:type="dxa"/>
            <w:tcBorders>
              <w:top w:val="single" w:sz="6" w:space="0" w:color="000000"/>
              <w:left w:val="single" w:sz="6" w:space="0" w:color="000000"/>
              <w:bottom w:val="single" w:sz="6" w:space="0" w:color="000000"/>
              <w:right w:val="single" w:sz="6" w:space="0" w:color="000000"/>
            </w:tcBorders>
          </w:tcPr>
          <w:p w14:paraId="2CAD71B8" w14:textId="72AA2DC9" w:rsidR="00304590" w:rsidRPr="00E87F53" w:rsidRDefault="00304590" w:rsidP="00304590">
            <w:pPr>
              <w:pStyle w:val="NoSpacing"/>
              <w:rPr>
                <w:sz w:val="24"/>
                <w:szCs w:val="24"/>
              </w:rPr>
            </w:pPr>
            <w:r>
              <w:rPr>
                <w:sz w:val="24"/>
                <w:szCs w:val="24"/>
              </w:rPr>
              <w:t xml:space="preserve">9. </w:t>
            </w:r>
            <w:r w:rsidRPr="00E87F53">
              <w:rPr>
                <w:sz w:val="24"/>
                <w:szCs w:val="24"/>
              </w:rPr>
              <w:t>Dopinga kontrole var tikt veikta:</w:t>
            </w:r>
          </w:p>
          <w:p w14:paraId="14F063CF" w14:textId="77777777" w:rsidR="00304590" w:rsidRPr="00E87F53" w:rsidRDefault="00304590" w:rsidP="00304590">
            <w:pPr>
              <w:pStyle w:val="NoSpacing"/>
              <w:rPr>
                <w:sz w:val="24"/>
                <w:szCs w:val="24"/>
              </w:rPr>
            </w:pPr>
            <w:r>
              <w:rPr>
                <w:sz w:val="24"/>
                <w:szCs w:val="24"/>
              </w:rPr>
              <w:t>9.1.</w:t>
            </w:r>
            <w:r w:rsidRPr="00E87F53">
              <w:rPr>
                <w:sz w:val="24"/>
                <w:szCs w:val="24"/>
              </w:rPr>
              <w:t xml:space="preserve"> pēc biroja iniciatīvas vai atbilstoši dopinga kontroles plānam; </w:t>
            </w:r>
          </w:p>
          <w:p w14:paraId="5044FE38" w14:textId="77777777" w:rsidR="00304590" w:rsidRPr="00E87F53" w:rsidRDefault="00304590" w:rsidP="00313F5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01D98DC7" w14:textId="0B715E78" w:rsidR="00304590" w:rsidRPr="00E87F53" w:rsidRDefault="00304590" w:rsidP="00313F5B">
            <w:pPr>
              <w:ind w:right="12"/>
              <w:jc w:val="both"/>
            </w:pPr>
            <w:r w:rsidRPr="00304590">
              <w:t>6. Ņemot vērā, ka projekta 9.1. apakšpunktā norādīta atsauce uz dopinga kontroles veikšanu saskaņā ar dopinga kontroles plānu, lūdzam sniegt skaidrojumu, kā tiek regulēta dopinga kontroles plāna īstenošana, nepieciešamības gadījumā precizējot projektu.</w:t>
            </w:r>
          </w:p>
        </w:tc>
        <w:tc>
          <w:tcPr>
            <w:tcW w:w="3995" w:type="dxa"/>
            <w:tcBorders>
              <w:top w:val="single" w:sz="6" w:space="0" w:color="000000"/>
              <w:left w:val="single" w:sz="6" w:space="0" w:color="000000"/>
              <w:bottom w:val="single" w:sz="6" w:space="0" w:color="000000"/>
              <w:right w:val="single" w:sz="6" w:space="0" w:color="000000"/>
            </w:tcBorders>
          </w:tcPr>
          <w:p w14:paraId="778E4FC8" w14:textId="77777777" w:rsidR="00304590" w:rsidRDefault="00304590" w:rsidP="00304590">
            <w:pPr>
              <w:pStyle w:val="naisc"/>
              <w:spacing w:before="0" w:after="0"/>
              <w:jc w:val="both"/>
              <w:rPr>
                <w:b/>
                <w:bCs/>
              </w:rPr>
            </w:pPr>
            <w:r w:rsidRPr="00E87F53">
              <w:rPr>
                <w:b/>
                <w:bCs/>
              </w:rPr>
              <w:t>Ņemts vērā</w:t>
            </w:r>
          </w:p>
          <w:p w14:paraId="1220C032" w14:textId="4533A2ED" w:rsidR="00304590" w:rsidRPr="00E87F53" w:rsidRDefault="00D40C02" w:rsidP="00304590">
            <w:pPr>
              <w:pStyle w:val="naisc"/>
              <w:spacing w:before="0" w:after="0"/>
              <w:jc w:val="both"/>
              <w:rPr>
                <w:b/>
                <w:bCs/>
              </w:rPr>
            </w:pPr>
            <w:r>
              <w:t xml:space="preserve">Veikti precizējumi noteikumu projekta 9.1.apakšpunktā un noteikumu projekta anotācijā. </w:t>
            </w:r>
            <w:r w:rsidR="00304590" w:rsidRPr="00E87F53">
              <w:t>Skaidrojam, ka dopinga kontroles plāna izpilde ir daļa</w:t>
            </w:r>
            <w:r w:rsidR="00304590">
              <w:rPr>
                <w:b/>
                <w:bCs/>
              </w:rPr>
              <w:t xml:space="preserve"> </w:t>
            </w:r>
            <w:r w:rsidR="00304590" w:rsidRPr="00E87F53">
              <w:t>n</w:t>
            </w:r>
            <w:r w:rsidR="00304590">
              <w:t xml:space="preserve">o Latvijas Antidopinga </w:t>
            </w:r>
            <w:r w:rsidR="00304590" w:rsidRPr="00E87F53">
              <w:t>biroj</w:t>
            </w:r>
            <w:r w:rsidR="00304590">
              <w:t>ā noteiktajiem iekšējiem procesiem un procedūrām</w:t>
            </w:r>
            <w:r w:rsidR="00304590" w:rsidRPr="00E87F53">
              <w:t xml:space="preserve">, kas ir </w:t>
            </w:r>
            <w:r w:rsidR="00304590">
              <w:t xml:space="preserve">arī </w:t>
            </w:r>
            <w:r w:rsidR="00304590" w:rsidRPr="00E87F53">
              <w:t>daļa no operacionālās neatkarības</w:t>
            </w:r>
            <w:r w:rsidR="00304590">
              <w:t xml:space="preserve">. Dopinga kontroles plānu kārtējam gadam izstrādā Latvijas Antidopinga birojs un apstiprina Biroja direktors. Dopinga kontroles tie veiktas atbilstoši apstiprinātajam plānam. Dopinga kontroles plāns netiek regulēts </w:t>
            </w:r>
            <w:r w:rsidR="00304590" w:rsidRPr="00E87F53">
              <w:t>ar ārējiem normatīviem aktiem, bet tiek kontrolēta ar iekšējiem procesiem.</w:t>
            </w:r>
            <w:r w:rsidR="00304590">
              <w:t xml:space="preserve"> </w:t>
            </w:r>
          </w:p>
        </w:tc>
        <w:tc>
          <w:tcPr>
            <w:tcW w:w="2809" w:type="dxa"/>
            <w:gridSpan w:val="2"/>
            <w:tcBorders>
              <w:top w:val="single" w:sz="4" w:space="0" w:color="auto"/>
              <w:left w:val="single" w:sz="4" w:space="0" w:color="auto"/>
              <w:bottom w:val="single" w:sz="4" w:space="0" w:color="auto"/>
            </w:tcBorders>
          </w:tcPr>
          <w:p w14:paraId="3E927A39" w14:textId="77777777" w:rsidR="00304590" w:rsidRPr="00E87F53" w:rsidRDefault="00304590" w:rsidP="00304590">
            <w:pPr>
              <w:pStyle w:val="NoSpacing"/>
              <w:rPr>
                <w:sz w:val="24"/>
                <w:szCs w:val="24"/>
              </w:rPr>
            </w:pPr>
            <w:r>
              <w:rPr>
                <w:sz w:val="24"/>
                <w:szCs w:val="24"/>
              </w:rPr>
              <w:t>9.</w:t>
            </w:r>
            <w:r w:rsidRPr="00E87F53">
              <w:rPr>
                <w:sz w:val="24"/>
                <w:szCs w:val="24"/>
              </w:rPr>
              <w:t>Dopinga kontrole var tikt veikta:</w:t>
            </w:r>
          </w:p>
          <w:p w14:paraId="1467AC0F" w14:textId="77777777" w:rsidR="00304590" w:rsidRPr="00D40C02" w:rsidRDefault="00304590" w:rsidP="00304590">
            <w:pPr>
              <w:pStyle w:val="NoSpacing"/>
              <w:rPr>
                <w:sz w:val="24"/>
                <w:szCs w:val="24"/>
              </w:rPr>
            </w:pPr>
            <w:r w:rsidRPr="00D40C02">
              <w:rPr>
                <w:sz w:val="24"/>
                <w:szCs w:val="24"/>
              </w:rPr>
              <w:t xml:space="preserve">9.1. </w:t>
            </w:r>
            <w:bookmarkStart w:id="0" w:name="_Hlk82011473"/>
            <w:bookmarkStart w:id="1" w:name="_Hlk81475808"/>
            <w:r w:rsidRPr="00D40C02">
              <w:rPr>
                <w:sz w:val="24"/>
                <w:szCs w:val="24"/>
              </w:rPr>
              <w:t>pēc biroja iniciatīvas vai atbilstoši</w:t>
            </w:r>
            <w:r w:rsidRPr="00D40C02">
              <w:rPr>
                <w:sz w:val="24"/>
                <w:szCs w:val="24"/>
                <w:shd w:val="clear" w:color="auto" w:fill="FFFFFF"/>
              </w:rPr>
              <w:t xml:space="preserve"> biroja apstiprinātam ikgadējam dopinga kontroļu analīžu plānam</w:t>
            </w:r>
            <w:bookmarkEnd w:id="0"/>
            <w:r w:rsidRPr="00D40C02">
              <w:rPr>
                <w:sz w:val="24"/>
                <w:szCs w:val="24"/>
              </w:rPr>
              <w:t xml:space="preserve">; </w:t>
            </w:r>
            <w:bookmarkEnd w:id="1"/>
          </w:p>
          <w:p w14:paraId="0D79FAC9" w14:textId="77777777" w:rsidR="00304590" w:rsidRPr="00E87F53" w:rsidRDefault="00304590" w:rsidP="00313F5B">
            <w:pPr>
              <w:jc w:val="both"/>
            </w:pPr>
          </w:p>
        </w:tc>
      </w:tr>
      <w:tr w:rsidR="00F955F0" w:rsidRPr="00A37D28" w14:paraId="33396735" w14:textId="77777777" w:rsidTr="007A70EA">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77212B09" w14:textId="04ED07CB" w:rsidR="00F955F0" w:rsidRPr="00412F14" w:rsidRDefault="00D40C02" w:rsidP="007A70EA">
            <w:pPr>
              <w:pStyle w:val="naisc"/>
              <w:spacing w:before="0" w:after="0"/>
              <w:jc w:val="both"/>
            </w:pPr>
            <w:r w:rsidRPr="00412F14">
              <w:t>7.</w:t>
            </w:r>
          </w:p>
        </w:tc>
        <w:tc>
          <w:tcPr>
            <w:tcW w:w="3086" w:type="dxa"/>
            <w:tcBorders>
              <w:top w:val="single" w:sz="6" w:space="0" w:color="000000"/>
              <w:left w:val="single" w:sz="6" w:space="0" w:color="000000"/>
              <w:bottom w:val="single" w:sz="6" w:space="0" w:color="000000"/>
              <w:right w:val="single" w:sz="6" w:space="0" w:color="000000"/>
            </w:tcBorders>
          </w:tcPr>
          <w:p w14:paraId="4E7CDD1F" w14:textId="70B80092" w:rsidR="00F955F0" w:rsidRPr="00412F14" w:rsidRDefault="00A37D28" w:rsidP="007A70EA">
            <w:pPr>
              <w:jc w:val="both"/>
            </w:pPr>
            <w:r w:rsidRPr="00412F14">
              <w:t xml:space="preserve">11.2.  citas personas – citu valstu antidopinga organizācijas, starptautiskās federācijas, lielu sporta pasākumu </w:t>
            </w:r>
            <w:r w:rsidRPr="00412F14">
              <w:lastRenderedPageBreak/>
              <w:t>rīkotājorganizācijas, Pasaules Antidopinga aģentūra vai neatkarīgas starptautiskās dopinga kontroles institūcijas</w:t>
            </w:r>
          </w:p>
        </w:tc>
        <w:tc>
          <w:tcPr>
            <w:tcW w:w="4394" w:type="dxa"/>
            <w:gridSpan w:val="2"/>
            <w:tcBorders>
              <w:top w:val="single" w:sz="6" w:space="0" w:color="000000"/>
              <w:left w:val="single" w:sz="6" w:space="0" w:color="000000"/>
              <w:bottom w:val="single" w:sz="6" w:space="0" w:color="000000"/>
              <w:right w:val="single" w:sz="6" w:space="0" w:color="000000"/>
            </w:tcBorders>
          </w:tcPr>
          <w:p w14:paraId="61C2CBB6" w14:textId="4074ABAB" w:rsidR="00F955F0" w:rsidRPr="007A70EA" w:rsidRDefault="00F955F0" w:rsidP="007A70EA">
            <w:pPr>
              <w:ind w:right="12"/>
              <w:jc w:val="both"/>
            </w:pPr>
            <w:r w:rsidRPr="007A70EA">
              <w:lastRenderedPageBreak/>
              <w:t xml:space="preserve">7. Projekta 11.2. apakšpunktā norādīts uz lielu sporta pasākumu, tomēr šāds pasākuma veids citviet normatīvajos aktos, piemēram, Sporta likumā netiek skaidrots. Ņemot vērā, ka šāda pasākuma </w:t>
            </w:r>
            <w:r w:rsidRPr="007A70EA">
              <w:lastRenderedPageBreak/>
              <w:t>identificēšana praksē varētu radīt problēmas, lūdzam skaidrot, kur ietverts liela sporta pasākuma skaidrojums vai attiecīgi precizēt projektu.</w:t>
            </w:r>
          </w:p>
          <w:p w14:paraId="273BDAFC" w14:textId="57BFBAC8" w:rsidR="00F955F0" w:rsidRPr="007A70EA" w:rsidRDefault="00F955F0" w:rsidP="007A70EA">
            <w:pPr>
              <w:ind w:right="12"/>
              <w:jc w:val="both"/>
            </w:pPr>
          </w:p>
        </w:tc>
        <w:tc>
          <w:tcPr>
            <w:tcW w:w="3995" w:type="dxa"/>
            <w:tcBorders>
              <w:top w:val="single" w:sz="6" w:space="0" w:color="000000"/>
              <w:left w:val="single" w:sz="6" w:space="0" w:color="000000"/>
              <w:bottom w:val="single" w:sz="6" w:space="0" w:color="000000"/>
              <w:right w:val="single" w:sz="6" w:space="0" w:color="000000"/>
            </w:tcBorders>
            <w:shd w:val="clear" w:color="auto" w:fill="auto"/>
          </w:tcPr>
          <w:p w14:paraId="6B182F3F" w14:textId="77777777" w:rsidR="00A37D28" w:rsidRPr="007A70EA" w:rsidRDefault="00A37D28" w:rsidP="007A70EA">
            <w:pPr>
              <w:jc w:val="both"/>
            </w:pPr>
            <w:r w:rsidRPr="007A70EA">
              <w:lastRenderedPageBreak/>
              <w:t>Ņemts vērā.</w:t>
            </w:r>
          </w:p>
          <w:p w14:paraId="10B5F3CF" w14:textId="77777777" w:rsidR="00E82FFD" w:rsidRDefault="00A37D28" w:rsidP="007A70EA">
            <w:pPr>
              <w:jc w:val="both"/>
            </w:pPr>
            <w:r w:rsidRPr="007A70EA">
              <w:t xml:space="preserve">Skaidrojam, ka termini un definīcijas kas nav noteiktas Sporta likumā </w:t>
            </w:r>
            <w:r w:rsidR="00616BAA" w:rsidRPr="007A70EA">
              <w:t xml:space="preserve">vai </w:t>
            </w:r>
            <w:r w:rsidR="00D40C02" w:rsidRPr="007A70EA">
              <w:t>noteikumu projektā</w:t>
            </w:r>
            <w:r w:rsidR="00616BAA" w:rsidRPr="007A70EA">
              <w:t xml:space="preserve"> tiek lietotas atbilstoši Kodeksa 1.pielikuma</w:t>
            </w:r>
            <w:r w:rsidR="00D43ADA" w:rsidRPr="007A70EA">
              <w:t xml:space="preserve">m, kas ir </w:t>
            </w:r>
            <w:r w:rsidR="00D43ADA" w:rsidRPr="007A70EA">
              <w:lastRenderedPageBreak/>
              <w:t>noteikts noteikumu projekta 2.punkta otraj</w:t>
            </w:r>
            <w:r w:rsidR="00D40C02" w:rsidRPr="007A70EA">
              <w:t>ā</w:t>
            </w:r>
            <w:r w:rsidR="00D43ADA" w:rsidRPr="007A70EA">
              <w:t xml:space="preserve"> teikumā. </w:t>
            </w:r>
            <w:r w:rsidR="00F64DF4" w:rsidRPr="007A70EA">
              <w:t xml:space="preserve">Sporta likumā un arī noteikumu projektā nav definēts </w:t>
            </w:r>
            <w:r w:rsidR="00D43ADA" w:rsidRPr="007A70EA">
              <w:t xml:space="preserve"> termins liels sporta pasākums, bet tas ir noteikts Kodeksa 1.pielikumā.</w:t>
            </w:r>
            <w:r w:rsidR="00045EE5" w:rsidRPr="007A70EA">
              <w:t xml:space="preserve"> Saskaņā ar Kodeksa 1.pielikumā iekļautajā definīcijām, </w:t>
            </w:r>
            <w:r w:rsidR="00D43ADA" w:rsidRPr="007A70EA">
              <w:t xml:space="preserve"> </w:t>
            </w:r>
            <w:r w:rsidR="00045EE5" w:rsidRPr="007A70EA">
              <w:t>l</w:t>
            </w:r>
            <w:r w:rsidR="00E82FFD" w:rsidRPr="007A70EA">
              <w:t>iels sporta pasākums, ir tāds</w:t>
            </w:r>
            <w:r w:rsidR="00045EE5" w:rsidRPr="007A70EA">
              <w:t xml:space="preserve"> pasākums</w:t>
            </w:r>
            <w:r w:rsidR="00E82FFD" w:rsidRPr="007A70EA">
              <w:t>, kuru rīko lielu sporta pasākumu rīkotājorganizācijas, kas ir valstu olimpisko komiteju kontinentālās apvienības un citas starptautiskas vairāku sporta veidu organizācijas, kas rīko kontinentālus, reģionālus vai citus starptautiskus sporta pasākumus, piemēram Olimpiskās spēl</w:t>
            </w:r>
            <w:r w:rsidR="00045EE5" w:rsidRPr="007A70EA">
              <w:t>es</w:t>
            </w:r>
            <w:r w:rsidR="00E82FFD" w:rsidRPr="007A70EA">
              <w:t>, Paralimpiskās spēles, Eiropas spēles utml.</w:t>
            </w:r>
          </w:p>
          <w:p w14:paraId="3E4CBE87" w14:textId="613A32A6" w:rsidR="007A70EA" w:rsidRPr="007A70EA" w:rsidRDefault="007A70EA" w:rsidP="007A70EA">
            <w:pPr>
              <w:jc w:val="both"/>
            </w:pPr>
          </w:p>
        </w:tc>
        <w:tc>
          <w:tcPr>
            <w:tcW w:w="2809" w:type="dxa"/>
            <w:gridSpan w:val="2"/>
            <w:tcBorders>
              <w:top w:val="single" w:sz="4" w:space="0" w:color="auto"/>
              <w:left w:val="single" w:sz="4" w:space="0" w:color="auto"/>
              <w:bottom w:val="single" w:sz="4" w:space="0" w:color="auto"/>
            </w:tcBorders>
          </w:tcPr>
          <w:p w14:paraId="213617BD" w14:textId="5E396285" w:rsidR="00F955F0" w:rsidRPr="00A37D28" w:rsidRDefault="00A37D28" w:rsidP="007A70EA">
            <w:pPr>
              <w:jc w:val="both"/>
            </w:pPr>
            <w:r w:rsidRPr="00412F14">
              <w:lastRenderedPageBreak/>
              <w:t xml:space="preserve">11.2.  citas personas – citu valstu antidopinga organizācijas, starptautiskās federācijas, lielu sporta pasākumu </w:t>
            </w:r>
            <w:r w:rsidRPr="00412F14">
              <w:lastRenderedPageBreak/>
              <w:t>rīkotājorganizācijas, Pasaules Antidopinga aģentūra vai neatkarīgas starptautiskās dopinga kontroles institūcijas</w:t>
            </w:r>
          </w:p>
        </w:tc>
      </w:tr>
      <w:tr w:rsidR="00F955F0" w:rsidRPr="00E62F1F" w14:paraId="3C69EE08" w14:textId="77777777" w:rsidTr="007A70EA">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6602B12" w14:textId="77777777" w:rsidR="00F955F0" w:rsidRPr="00E62F1F" w:rsidRDefault="00F955F0" w:rsidP="00313F5B">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18E3672B" w14:textId="239AA512" w:rsidR="00971650" w:rsidRPr="00412F14" w:rsidRDefault="00971650" w:rsidP="00971650">
            <w:pPr>
              <w:shd w:val="clear" w:color="auto" w:fill="FFFFFF"/>
              <w:jc w:val="both"/>
              <w:rPr>
                <w:color w:val="414142"/>
              </w:rPr>
            </w:pPr>
            <w:r w:rsidRPr="00412F14">
              <w:t>27.</w:t>
            </w:r>
            <w:r w:rsidRPr="00412F14">
              <w:rPr>
                <w:color w:val="414142"/>
              </w:rPr>
              <w:t xml:space="preserve"> Sportists vai sporta darbinieks, saņemot paziņojumu par iespējamo antidopinga noteikumu pārkāpumu, piecu darbdienu laikā ir tiesīgs</w:t>
            </w:r>
            <w:r w:rsidR="0030673C" w:rsidRPr="00412F14">
              <w:rPr>
                <w:color w:val="414142"/>
              </w:rPr>
              <w:t>:</w:t>
            </w:r>
          </w:p>
          <w:p w14:paraId="7EBB5DAE" w14:textId="5E100787" w:rsidR="00E62F1F" w:rsidRPr="00412F14" w:rsidRDefault="00E62F1F" w:rsidP="00971650">
            <w:pPr>
              <w:shd w:val="clear" w:color="auto" w:fill="FFFFFF"/>
              <w:jc w:val="both"/>
              <w:rPr>
                <w:color w:val="414142"/>
              </w:rPr>
            </w:pPr>
          </w:p>
          <w:p w14:paraId="27FD9CF6" w14:textId="19CBB4A0" w:rsidR="00E62F1F" w:rsidRPr="00412F14" w:rsidRDefault="00E62F1F" w:rsidP="00971650">
            <w:pPr>
              <w:shd w:val="clear" w:color="auto" w:fill="FFFFFF"/>
              <w:jc w:val="both"/>
              <w:rPr>
                <w:color w:val="414142"/>
              </w:rPr>
            </w:pPr>
            <w:r w:rsidRPr="00412F14">
              <w:rPr>
                <w:color w:val="414142"/>
              </w:rPr>
              <w:t>71. Birojs triju darbdienu laikā pēc anketas un medicīniskās dokumentācijas saņemšanas pārbauda anketas un medicīniskās dokumentācijas atbilstību</w:t>
            </w:r>
          </w:p>
          <w:p w14:paraId="36B714EB" w14:textId="77777777" w:rsidR="00D40C02" w:rsidRPr="00412F14" w:rsidRDefault="00D40C02" w:rsidP="006751F6">
            <w:pPr>
              <w:shd w:val="clear" w:color="auto" w:fill="FFFFFF"/>
              <w:jc w:val="both"/>
              <w:rPr>
                <w:color w:val="414142"/>
              </w:rPr>
            </w:pPr>
          </w:p>
          <w:p w14:paraId="5CF13668" w14:textId="6DE9A049" w:rsidR="006751F6" w:rsidRPr="00412F14" w:rsidRDefault="0030673C" w:rsidP="006751F6">
            <w:pPr>
              <w:shd w:val="clear" w:color="auto" w:fill="FFFFFF"/>
              <w:jc w:val="both"/>
              <w:rPr>
                <w:color w:val="414142"/>
              </w:rPr>
            </w:pPr>
            <w:r w:rsidRPr="00412F14">
              <w:rPr>
                <w:color w:val="414142"/>
              </w:rPr>
              <w:lastRenderedPageBreak/>
              <w:t>73.</w:t>
            </w:r>
            <w:r w:rsidR="006751F6" w:rsidRPr="00412F14">
              <w:rPr>
                <w:color w:val="414142"/>
              </w:rPr>
              <w:t xml:space="preserve"> Birojs triju darbdienu laikā pēc pilnīgi aizpildītas anketas un medicīniskās dokumentācijas saņemšanas to nosūta izvērtēšanai Terapeitiskās lietošanas izņēmumu komisijai.</w:t>
            </w:r>
          </w:p>
          <w:p w14:paraId="129FA86E" w14:textId="2CC12347" w:rsidR="0030673C" w:rsidRPr="00412F14" w:rsidRDefault="0030673C" w:rsidP="0030673C">
            <w:pPr>
              <w:shd w:val="clear" w:color="auto" w:fill="FFFFFF"/>
              <w:jc w:val="both"/>
              <w:rPr>
                <w:color w:val="414142"/>
              </w:rPr>
            </w:pPr>
          </w:p>
          <w:p w14:paraId="7E3A035B" w14:textId="77777777" w:rsidR="0030673C" w:rsidRPr="00412F14" w:rsidRDefault="0030673C" w:rsidP="00971650">
            <w:pPr>
              <w:shd w:val="clear" w:color="auto" w:fill="FFFFFF"/>
              <w:jc w:val="both"/>
              <w:rPr>
                <w:color w:val="414142"/>
              </w:rPr>
            </w:pPr>
          </w:p>
          <w:p w14:paraId="66F98CCC" w14:textId="77777777" w:rsidR="00971650" w:rsidRPr="00412F14" w:rsidRDefault="00971650" w:rsidP="00971650">
            <w:pPr>
              <w:ind w:left="720"/>
              <w:contextualSpacing/>
              <w:rPr>
                <w:color w:val="414142"/>
              </w:rPr>
            </w:pPr>
          </w:p>
          <w:p w14:paraId="3260F941" w14:textId="0E9B6673" w:rsidR="00F955F0" w:rsidRPr="00412F14" w:rsidRDefault="00F955F0" w:rsidP="00313F5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4D46F06E" w14:textId="0FB1CB69" w:rsidR="00F955F0" w:rsidRPr="00412F14" w:rsidRDefault="00F955F0" w:rsidP="00313F5B">
            <w:pPr>
              <w:ind w:right="12"/>
              <w:jc w:val="both"/>
            </w:pPr>
            <w:r w:rsidRPr="00412F14">
              <w:lastRenderedPageBreak/>
              <w:t>8. Projekta 27. punktā lūdzam norādīt piecu darbdienu termiņa atskaites brīdi, tādējādi regulējumu izsakot viennozīmīgi skaidri. Minētais attiecas arī uz līdzīgām normām citviet projektā, piemēram, projekta 72. punktu.</w:t>
            </w:r>
          </w:p>
        </w:tc>
        <w:tc>
          <w:tcPr>
            <w:tcW w:w="3995" w:type="dxa"/>
            <w:tcBorders>
              <w:top w:val="single" w:sz="6" w:space="0" w:color="000000"/>
              <w:left w:val="single" w:sz="6" w:space="0" w:color="000000"/>
              <w:bottom w:val="single" w:sz="6" w:space="0" w:color="000000"/>
              <w:right w:val="single" w:sz="6" w:space="0" w:color="000000"/>
            </w:tcBorders>
            <w:shd w:val="clear" w:color="auto" w:fill="auto"/>
          </w:tcPr>
          <w:p w14:paraId="5DE24DFB" w14:textId="6DD061E4" w:rsidR="00F955F0" w:rsidRPr="007A70EA" w:rsidRDefault="00A34437" w:rsidP="007A70EA">
            <w:r w:rsidRPr="007A70EA">
              <w:t>Ņemts vērā</w:t>
            </w:r>
            <w:r w:rsidR="00971650" w:rsidRPr="007A70EA">
              <w:t>.</w:t>
            </w:r>
          </w:p>
          <w:p w14:paraId="3582802E" w14:textId="27F1D8B0" w:rsidR="00A34437" w:rsidRPr="007A70EA" w:rsidRDefault="00971650" w:rsidP="007A70EA">
            <w:r w:rsidRPr="007A70EA">
              <w:t xml:space="preserve">Veikti precizējumi noteikumu projekta </w:t>
            </w:r>
            <w:r w:rsidR="003D7A33" w:rsidRPr="007A70EA">
              <w:t xml:space="preserve">18., 20.-25., </w:t>
            </w:r>
            <w:r w:rsidRPr="007A70EA">
              <w:t>27.</w:t>
            </w:r>
            <w:r w:rsidR="003D7A33" w:rsidRPr="007A70EA">
              <w:t>, 29., 32. 34.,34., 37., 39., 44., 46., 51., 54., 57., 61.,punk</w:t>
            </w:r>
            <w:r w:rsidR="00FD5B22" w:rsidRPr="007A70EA">
              <w:t>tos</w:t>
            </w:r>
            <w:r w:rsidR="003D7A33" w:rsidRPr="007A70EA">
              <w:t xml:space="preserve"> 63.1. un 63.2. apakšpunkt</w:t>
            </w:r>
            <w:r w:rsidR="00FD5B22" w:rsidRPr="007A70EA">
              <w:t>os</w:t>
            </w:r>
            <w:r w:rsidR="003D7A33" w:rsidRPr="007A70EA">
              <w:t xml:space="preserve">, 65.-68., </w:t>
            </w:r>
            <w:r w:rsidR="00E62F1F" w:rsidRPr="007A70EA">
              <w:t>70.</w:t>
            </w:r>
            <w:r w:rsidR="00FD5B22" w:rsidRPr="007A70EA">
              <w:t xml:space="preserve"> 74., </w:t>
            </w:r>
            <w:r w:rsidR="007C504E" w:rsidRPr="007A70EA">
              <w:t xml:space="preserve">75., </w:t>
            </w:r>
            <w:r w:rsidR="00FD5B22" w:rsidRPr="007A70EA">
              <w:t xml:space="preserve">76., </w:t>
            </w:r>
            <w:r w:rsidR="00E62F1F" w:rsidRPr="007A70EA">
              <w:t xml:space="preserve"> </w:t>
            </w:r>
            <w:r w:rsidR="00FD5B22" w:rsidRPr="007A70EA">
              <w:t>77., 80. 90., 92., 93., 94., 96. un98. punktos precizējot katrā punktā norādītā termiņa atskaites brīdi.</w:t>
            </w:r>
          </w:p>
        </w:tc>
        <w:tc>
          <w:tcPr>
            <w:tcW w:w="2809" w:type="dxa"/>
            <w:gridSpan w:val="2"/>
            <w:tcBorders>
              <w:top w:val="single" w:sz="4" w:space="0" w:color="auto"/>
              <w:left w:val="single" w:sz="4" w:space="0" w:color="auto"/>
              <w:bottom w:val="single" w:sz="4" w:space="0" w:color="auto"/>
            </w:tcBorders>
          </w:tcPr>
          <w:p w14:paraId="6A7C44D7" w14:textId="1A1EC76E" w:rsidR="00F955F0" w:rsidRPr="00E62F1F" w:rsidRDefault="003D7A33" w:rsidP="003D7A33">
            <w:pPr>
              <w:shd w:val="clear" w:color="auto" w:fill="FFFFFF"/>
              <w:jc w:val="both"/>
            </w:pPr>
            <w:r w:rsidRPr="00412F14">
              <w:rPr>
                <w:color w:val="414142"/>
              </w:rPr>
              <w:t>Viss noteikumu projekts</w:t>
            </w:r>
          </w:p>
        </w:tc>
      </w:tr>
      <w:tr w:rsidR="00F955F0" w:rsidRPr="003305A8" w14:paraId="1964F612"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6A138F83" w14:textId="77777777" w:rsidR="00F955F0" w:rsidRPr="003305A8" w:rsidRDefault="00F955F0" w:rsidP="00313F5B">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71EC92D" w14:textId="77777777" w:rsidR="003305A8" w:rsidRPr="004C251B" w:rsidRDefault="003305A8" w:rsidP="003305A8">
            <w:pPr>
              <w:shd w:val="clear" w:color="auto" w:fill="FFFFFF"/>
              <w:jc w:val="both"/>
              <w:rPr>
                <w:color w:val="414142"/>
              </w:rPr>
            </w:pPr>
            <w:r w:rsidRPr="004C251B">
              <w:t>41. Pasaules Antidopinga aģentūrai un citām antidopinga organizācijām, kurām ir tiesības veikt dopinga paraugu savākšanu, ir pieejama pārbaudāmo sportistu reģistrā iekļautā informācija par sportistu atrašanās vietu ADAMS atbilstoši kodeksam.</w:t>
            </w:r>
          </w:p>
          <w:p w14:paraId="0B757A1F" w14:textId="23189EFD" w:rsidR="00F955F0" w:rsidRPr="004C251B" w:rsidRDefault="00F955F0" w:rsidP="00313F5B">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5511E1F7" w14:textId="653ADCAC" w:rsidR="00F955F0" w:rsidRPr="004C251B" w:rsidRDefault="00F955F0" w:rsidP="00313F5B">
            <w:pPr>
              <w:ind w:right="12"/>
              <w:jc w:val="both"/>
            </w:pPr>
            <w:r w:rsidRPr="004C251B">
              <w:t>9. Projekta 41. punkts noteic, ka “Pasaules Antidopinga aģentūrai un citām antidopinga organizācijām, kurām ir tiesības veikt dopinga paraugu savākšanu, ir pieejama pārbaudāmo sportistu reģistrā iekļautā informācija par sportistu atrašanās vietu ADAMS atbilstoši kodeksam”.</w:t>
            </w:r>
          </w:p>
          <w:p w14:paraId="34DAAF75" w14:textId="2A16A06A" w:rsidR="00F955F0" w:rsidRPr="004C251B" w:rsidRDefault="00F955F0" w:rsidP="00313F5B">
            <w:pPr>
              <w:ind w:right="12"/>
              <w:jc w:val="both"/>
            </w:pPr>
            <w:r w:rsidRPr="004C251B">
              <w:t>Vēršam uzmanību, ka attiecīgais regulējums attiecas uz ārvalstu vai starptautiskām dopinga organizācijām un to tiesībām izmantot starptautisku datubāzi. No minētā var secināt, ka regulējumam varētu nebūt saistības ar Latvijas normatīvi aktu jurisdikciju. Attiecīgi lūdzam pamatot projekta 41. punkta nepieciešamību Latvijas tiesību sistēmas kontekstā vai svītrot projekta 41. punktu.</w:t>
            </w:r>
          </w:p>
        </w:tc>
        <w:tc>
          <w:tcPr>
            <w:tcW w:w="3995" w:type="dxa"/>
            <w:tcBorders>
              <w:top w:val="single" w:sz="6" w:space="0" w:color="000000"/>
              <w:left w:val="single" w:sz="6" w:space="0" w:color="000000"/>
              <w:bottom w:val="single" w:sz="6" w:space="0" w:color="000000"/>
              <w:right w:val="single" w:sz="6" w:space="0" w:color="000000"/>
            </w:tcBorders>
          </w:tcPr>
          <w:p w14:paraId="328297CE" w14:textId="5B3F18B7" w:rsidR="0020117D" w:rsidRPr="004C251B" w:rsidRDefault="0020117D" w:rsidP="00313F5B">
            <w:pPr>
              <w:pStyle w:val="naisc"/>
              <w:spacing w:before="0" w:after="0"/>
              <w:jc w:val="both"/>
              <w:rPr>
                <w:b/>
                <w:bCs/>
              </w:rPr>
            </w:pPr>
            <w:r w:rsidRPr="004C251B">
              <w:rPr>
                <w:b/>
                <w:bCs/>
              </w:rPr>
              <w:t>Ņemts vērā</w:t>
            </w:r>
            <w:r w:rsidR="00161D68" w:rsidRPr="004C251B">
              <w:rPr>
                <w:b/>
                <w:bCs/>
              </w:rPr>
              <w:t>.</w:t>
            </w:r>
          </w:p>
          <w:p w14:paraId="64C5A2D6" w14:textId="7B93C6EF" w:rsidR="00161D68" w:rsidRPr="004C251B" w:rsidRDefault="00161D68" w:rsidP="00161D68">
            <w:pPr>
              <w:pStyle w:val="CommentText"/>
              <w:rPr>
                <w:sz w:val="24"/>
                <w:szCs w:val="24"/>
              </w:rPr>
            </w:pPr>
            <w:r w:rsidRPr="004C251B">
              <w:rPr>
                <w:sz w:val="24"/>
                <w:szCs w:val="24"/>
              </w:rPr>
              <w:t>Veikti</w:t>
            </w:r>
            <w:r w:rsidR="00A66330" w:rsidRPr="004C251B">
              <w:rPr>
                <w:sz w:val="24"/>
                <w:szCs w:val="24"/>
              </w:rPr>
              <w:t xml:space="preserve"> precizējumi </w:t>
            </w:r>
            <w:r w:rsidRPr="004C251B">
              <w:rPr>
                <w:sz w:val="24"/>
                <w:szCs w:val="24"/>
              </w:rPr>
              <w:t xml:space="preserve">noteikumu projekta 41.punktā un noteikumu projekta anotācijā. Skaidrojam, ka </w:t>
            </w:r>
            <w:r w:rsidRPr="004C251B">
              <w:rPr>
                <w:rStyle w:val="CommentReference"/>
                <w:sz w:val="24"/>
                <w:szCs w:val="24"/>
              </w:rPr>
              <w:t>minētā pu</w:t>
            </w:r>
            <w:r w:rsidRPr="004C251B">
              <w:rPr>
                <w:sz w:val="24"/>
                <w:szCs w:val="24"/>
              </w:rPr>
              <w:t>nkta mērķis ir nacionālajā regulējumā norādīt uz organizācijām, kurām ir pieejama sportistu sniegtā informācija, lai tie būtu informēti par sniegtās informācijas pieejamību ne tikai Latvijas Antidopinga birojam, bet arī citām</w:t>
            </w:r>
            <w:r w:rsidR="004C251B" w:rsidRPr="004C251B">
              <w:rPr>
                <w:sz w:val="24"/>
                <w:szCs w:val="24"/>
              </w:rPr>
              <w:t>, t.sk. starptautiskām</w:t>
            </w:r>
            <w:r w:rsidRPr="004C251B">
              <w:rPr>
                <w:sz w:val="24"/>
                <w:szCs w:val="24"/>
              </w:rPr>
              <w:t xml:space="preserve"> organizācijām.</w:t>
            </w:r>
            <w:r w:rsidR="003305A8" w:rsidRPr="004C251B">
              <w:rPr>
                <w:sz w:val="24"/>
                <w:szCs w:val="24"/>
              </w:rPr>
              <w:t xml:space="preserve"> Vienlaikus skaidrojam, ka a</w:t>
            </w:r>
            <w:r w:rsidRPr="004C251B">
              <w:rPr>
                <w:sz w:val="24"/>
                <w:szCs w:val="24"/>
              </w:rPr>
              <w:t>r šo</w:t>
            </w:r>
            <w:r w:rsidR="00A66330" w:rsidRPr="004C251B">
              <w:rPr>
                <w:sz w:val="24"/>
                <w:szCs w:val="24"/>
              </w:rPr>
              <w:t xml:space="preserve"> noteikumu projekta</w:t>
            </w:r>
            <w:r w:rsidRPr="004C251B">
              <w:rPr>
                <w:sz w:val="24"/>
                <w:szCs w:val="24"/>
              </w:rPr>
              <w:t xml:space="preserve"> punktu nav domāts regulēt citu starptautisku organizāciju tiesības Latvijas normatīvajos aktos, bet gan norādīt uz organizācijām, kuras piekļūst sportistu sniegtajai informācijai</w:t>
            </w:r>
            <w:r w:rsidR="004C251B" w:rsidRPr="004C251B">
              <w:rPr>
                <w:sz w:val="24"/>
                <w:szCs w:val="24"/>
              </w:rPr>
              <w:t xml:space="preserve"> ADAMS.</w:t>
            </w:r>
          </w:p>
          <w:p w14:paraId="4489FE2F" w14:textId="536706F4" w:rsidR="00161D68" w:rsidRPr="004C251B" w:rsidRDefault="00161D68" w:rsidP="00313F5B">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7CE93360" w14:textId="0D6471CC" w:rsidR="00F955F0" w:rsidRPr="003305A8" w:rsidRDefault="00161D68" w:rsidP="00313F5B">
            <w:pPr>
              <w:jc w:val="both"/>
            </w:pPr>
            <w:r w:rsidRPr="004C251B">
              <w:rPr>
                <w:rFonts w:eastAsiaTheme="minorHAnsi"/>
                <w:lang w:eastAsia="en-US"/>
              </w:rPr>
              <w:t>41. Pasaules Antidopinga aģentūrai un citām antidopinga organizācijām, kurām ir tiesības veikt dopinga paraugu savākšanu, ir pieejama pārbaudāmo sportistu reģistrā iekļa</w:t>
            </w:r>
            <w:r w:rsidR="003305A8" w:rsidRPr="004C251B">
              <w:rPr>
                <w:rFonts w:eastAsiaTheme="minorHAnsi"/>
                <w:lang w:eastAsia="en-US"/>
              </w:rPr>
              <w:t>utā</w:t>
            </w:r>
            <w:r w:rsidRPr="004C251B">
              <w:rPr>
                <w:rFonts w:eastAsiaTheme="minorHAnsi"/>
                <w:lang w:eastAsia="en-US"/>
              </w:rPr>
              <w:t xml:space="preserve"> sportistu informācij</w:t>
            </w:r>
            <w:r w:rsidR="003305A8" w:rsidRPr="004C251B">
              <w:rPr>
                <w:rFonts w:eastAsiaTheme="minorHAnsi"/>
                <w:lang w:eastAsia="en-US"/>
              </w:rPr>
              <w:t>a</w:t>
            </w:r>
            <w:r w:rsidRPr="004C251B">
              <w:rPr>
                <w:rFonts w:eastAsiaTheme="minorHAnsi"/>
                <w:lang w:eastAsia="en-US"/>
              </w:rPr>
              <w:t xml:space="preserve"> par atrašanās vietām ADAMS</w:t>
            </w:r>
            <w:r w:rsidR="003305A8" w:rsidRPr="004C251B">
              <w:rPr>
                <w:rFonts w:eastAsiaTheme="minorHAnsi"/>
                <w:lang w:eastAsia="en-US"/>
              </w:rPr>
              <w:t>.</w:t>
            </w:r>
          </w:p>
        </w:tc>
      </w:tr>
      <w:tr w:rsidR="00F955F0" w:rsidRPr="00A66330" w14:paraId="1A747C77"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694C7AB9" w14:textId="77777777" w:rsidR="00F955F0" w:rsidRPr="00A66330" w:rsidRDefault="00F955F0" w:rsidP="007E6C63">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00756B76" w14:textId="77F734D6" w:rsidR="00A66330" w:rsidRPr="00A66330" w:rsidRDefault="00A66330" w:rsidP="00A66330">
            <w:pPr>
              <w:shd w:val="clear" w:color="auto" w:fill="FFFFFF"/>
              <w:spacing w:after="160" w:line="259" w:lineRule="auto"/>
              <w:contextualSpacing/>
              <w:jc w:val="both"/>
              <w:rPr>
                <w:color w:val="414142"/>
              </w:rPr>
            </w:pPr>
            <w:r w:rsidRPr="00A66330">
              <w:rPr>
                <w:rFonts w:eastAsiaTheme="minorHAnsi"/>
                <w:shd w:val="clear" w:color="auto" w:fill="FFFFFF"/>
                <w:lang w:eastAsia="en-US"/>
              </w:rPr>
              <w:t xml:space="preserve">42. Ja birojs konstatē, ka pārbaudāmo sportistu reģistrā </w:t>
            </w:r>
            <w:r w:rsidRPr="00A66330">
              <w:rPr>
                <w:rFonts w:eastAsiaTheme="minorHAnsi"/>
                <w:shd w:val="clear" w:color="auto" w:fill="FFFFFF"/>
                <w:lang w:eastAsia="en-US"/>
              </w:rPr>
              <w:lastRenderedPageBreak/>
              <w:t xml:space="preserve">iekļauts sportists noteiktajā termiņā (reizi ceturksnī) nav sniedzis precīzu informāciju par savu atrašanās vietu </w:t>
            </w:r>
            <w:r w:rsidRPr="00A66330">
              <w:rPr>
                <w:rFonts w:eastAsiaTheme="minorHAnsi"/>
                <w:lang w:eastAsia="en-US"/>
              </w:rPr>
              <w:t>atbilstoši kodeksa 5.panta 5.punkta prasībām</w:t>
            </w:r>
            <w:r w:rsidRPr="00A66330">
              <w:rPr>
                <w:rFonts w:eastAsiaTheme="minorHAnsi"/>
                <w:shd w:val="clear" w:color="auto" w:fill="FFFFFF"/>
                <w:lang w:eastAsia="en-US"/>
              </w:rPr>
              <w:t>, birojs 10 darbdienu laikā no dienas, kad konstatēta neprecīza informācija par atrašanās vietu, vienlaikus nosūta paziņojumu sportistam, attiecīgajai sporta organizācijai, valsts antidopinga organizācijai un Pasaules Antidopinga aģentūrai un norāda termiņu nepieciešamo izmaiņu</w:t>
            </w:r>
            <w:r w:rsidRPr="00A66330">
              <w:rPr>
                <w:rFonts w:eastAsiaTheme="minorHAnsi"/>
                <w:lang w:eastAsia="en-US"/>
              </w:rPr>
              <w:t xml:space="preserve"> veikšanai.</w:t>
            </w:r>
            <w:r w:rsidRPr="00A66330">
              <w:rPr>
                <w:rFonts w:eastAsiaTheme="minorHAnsi"/>
                <w:shd w:val="clear" w:color="auto" w:fill="FFFFFF"/>
                <w:lang w:eastAsia="en-US"/>
              </w:rPr>
              <w:t xml:space="preserve"> </w:t>
            </w:r>
            <w:r w:rsidRPr="00A66330">
              <w:rPr>
                <w:rFonts w:eastAsiaTheme="minorHAnsi"/>
                <w:lang w:eastAsia="en-US"/>
              </w:rPr>
              <w:t xml:space="preserve">Ja sportists norādītajā termiņā nav veicis izmaiņas informācijā par savu atrašanās vietu, sportistam ir tiesības piecu darbdienu laikā, pēc izmaiņu veikšanas informācijā par savu atrašanās vietu termiņa beigām, sniegt paskaidrojumus par atrašanās vietas informācijas neatbilstību kodeksa 5.panta 5.punkta prasībām. Ja paziņojuma nosūtīšanas brīdī </w:t>
            </w:r>
            <w:r w:rsidRPr="00A66330">
              <w:rPr>
                <w:rFonts w:eastAsiaTheme="minorHAnsi"/>
                <w:lang w:eastAsia="en-US"/>
              </w:rPr>
              <w:lastRenderedPageBreak/>
              <w:t>informācija, kas nav atbilstoša kodeksa 5.panta 5.punkta prasībām, attiecas uz informāciju, kurā nav iespējams veikt izmaiņas, sportistam ir tiesības piecu darbdienu laikā, pēc paziņojuma saņemšanas, sniegt paskaidrojumus par atrašanās vietas informācijas neatbilstību kodeksa 5.panta 5.punkta prasībām.</w:t>
            </w:r>
          </w:p>
          <w:p w14:paraId="360D0318" w14:textId="77777777" w:rsidR="00F955F0" w:rsidRPr="00A66330" w:rsidRDefault="00F955F0" w:rsidP="00F955F0">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2C3C7B2C" w14:textId="05F1B171" w:rsidR="00F955F0" w:rsidRPr="00A66330" w:rsidRDefault="00F955F0" w:rsidP="00F955F0">
            <w:pPr>
              <w:ind w:right="12"/>
              <w:jc w:val="both"/>
            </w:pPr>
            <w:r w:rsidRPr="00A66330">
              <w:lastRenderedPageBreak/>
              <w:t xml:space="preserve">10. Projekta 42. punktā sportistam precīzu informāciju par savu atrašanās vietu </w:t>
            </w:r>
            <w:r w:rsidRPr="00A66330">
              <w:lastRenderedPageBreak/>
              <w:t>jāsniedz Biroja noteiktajā termiņā. Izsakām bažas, ka Birojs varētu noteikt nesamērīgi īsu termiņu informācijas precizējum sniegšanai. Attiecīgi lūdzam precizēt projektu, nosakot vismaz minimālo termiņu trūkumu novēršanai.</w:t>
            </w:r>
          </w:p>
        </w:tc>
        <w:tc>
          <w:tcPr>
            <w:tcW w:w="3995" w:type="dxa"/>
            <w:tcBorders>
              <w:top w:val="single" w:sz="6" w:space="0" w:color="000000"/>
              <w:left w:val="single" w:sz="6" w:space="0" w:color="000000"/>
              <w:bottom w:val="single" w:sz="6" w:space="0" w:color="000000"/>
              <w:right w:val="single" w:sz="6" w:space="0" w:color="000000"/>
            </w:tcBorders>
          </w:tcPr>
          <w:p w14:paraId="0F723F5C" w14:textId="2BB90450" w:rsidR="00F955F0" w:rsidRPr="00A66330" w:rsidRDefault="00770BA3" w:rsidP="007E6C63">
            <w:pPr>
              <w:pStyle w:val="naisc"/>
              <w:spacing w:before="0" w:after="0"/>
              <w:jc w:val="both"/>
              <w:rPr>
                <w:b/>
                <w:bCs/>
              </w:rPr>
            </w:pPr>
            <w:r w:rsidRPr="00A66330">
              <w:rPr>
                <w:b/>
                <w:bCs/>
              </w:rPr>
              <w:lastRenderedPageBreak/>
              <w:t>Ņemts vērā</w:t>
            </w:r>
            <w:r w:rsidR="00A66330" w:rsidRPr="00A66330">
              <w:rPr>
                <w:b/>
                <w:bCs/>
              </w:rPr>
              <w:t>.</w:t>
            </w:r>
          </w:p>
          <w:p w14:paraId="25D9209F" w14:textId="0017B4BF" w:rsidR="00A66330" w:rsidRPr="00A66330" w:rsidRDefault="00A66330" w:rsidP="007E6C63">
            <w:pPr>
              <w:pStyle w:val="naisc"/>
              <w:spacing w:before="0" w:after="0"/>
              <w:jc w:val="both"/>
            </w:pPr>
            <w:r w:rsidRPr="00A66330">
              <w:lastRenderedPageBreak/>
              <w:t xml:space="preserve">Veikti precizējumi noteikumu projekta </w:t>
            </w:r>
            <w:r w:rsidR="00770BA3" w:rsidRPr="00A66330">
              <w:t>42.punkt</w:t>
            </w:r>
            <w:r w:rsidRPr="00A66330">
              <w:t>ā, kā arī anotācijā. Skaidrojam, ka sportistam nepilnīgas informācijas sniegšanas gadījumā par savu atrašanās vietu papildinājumi/precizējumi atbilstoši Rezultātu pārvaldības standartam ir jāveic 48 stundu laikā, lai izvairītos no tālākiem pārkāpumiem</w:t>
            </w:r>
            <w:r>
              <w:t>.</w:t>
            </w:r>
          </w:p>
          <w:p w14:paraId="67B6A82C" w14:textId="77777777" w:rsidR="00770BA3" w:rsidRPr="00A66330" w:rsidRDefault="00770BA3" w:rsidP="007E6C63">
            <w:pPr>
              <w:pStyle w:val="naisc"/>
              <w:spacing w:before="0" w:after="0"/>
              <w:jc w:val="both"/>
              <w:rPr>
                <w:b/>
                <w:bCs/>
              </w:rPr>
            </w:pPr>
          </w:p>
          <w:p w14:paraId="274E1D74" w14:textId="726B0A2C" w:rsidR="00770BA3" w:rsidRPr="00A66330" w:rsidRDefault="00770BA3" w:rsidP="007E6C63">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7ACCB624" w14:textId="03A3D06E" w:rsidR="00F955F0" w:rsidRPr="00A66330" w:rsidRDefault="00A66330" w:rsidP="007E6C63">
            <w:pPr>
              <w:jc w:val="both"/>
            </w:pPr>
            <w:r w:rsidRPr="00A66330">
              <w:lastRenderedPageBreak/>
              <w:t>42.</w:t>
            </w:r>
            <w:r w:rsidRPr="00A66330">
              <w:rPr>
                <w:rFonts w:eastAsiaTheme="minorHAnsi"/>
                <w:shd w:val="clear" w:color="auto" w:fill="FFFFFF"/>
                <w:lang w:eastAsia="en-US"/>
              </w:rPr>
              <w:t xml:space="preserve"> </w:t>
            </w:r>
            <w:r w:rsidRPr="00727C5A">
              <w:rPr>
                <w:rFonts w:eastAsiaTheme="minorHAnsi"/>
                <w:shd w:val="clear" w:color="auto" w:fill="FFFFFF"/>
                <w:lang w:eastAsia="en-US"/>
              </w:rPr>
              <w:t xml:space="preserve">Ja birojs konstatē, ka pārbaudāmo sportistu </w:t>
            </w:r>
            <w:r w:rsidRPr="00727C5A">
              <w:rPr>
                <w:rFonts w:eastAsiaTheme="minorHAnsi"/>
                <w:shd w:val="clear" w:color="auto" w:fill="FFFFFF"/>
                <w:lang w:eastAsia="en-US"/>
              </w:rPr>
              <w:lastRenderedPageBreak/>
              <w:t xml:space="preserve">reģistrā iekļauts sportists noteiktajā termiņā (līdz noteiktam termiņam ceturksnī) nav sniedzis precīzu informāciju par savu atrašanās vietu vai papildinājis to </w:t>
            </w:r>
            <w:r w:rsidRPr="00727C5A">
              <w:rPr>
                <w:rFonts w:eastAsiaTheme="minorHAnsi"/>
                <w:lang w:eastAsia="en-US"/>
              </w:rPr>
              <w:t xml:space="preserve">atbilstoši </w:t>
            </w:r>
            <w:r w:rsidR="00346653">
              <w:rPr>
                <w:rFonts w:eastAsiaTheme="minorHAnsi"/>
                <w:lang w:eastAsia="en-US"/>
              </w:rPr>
              <w:t>k</w:t>
            </w:r>
            <w:r w:rsidRPr="00727C5A">
              <w:rPr>
                <w:rFonts w:eastAsiaTheme="minorHAnsi"/>
                <w:lang w:eastAsia="en-US"/>
              </w:rPr>
              <w:t>odeksa 5.panta 5.punkta prasībām</w:t>
            </w:r>
            <w:r w:rsidRPr="00727C5A">
              <w:rPr>
                <w:rFonts w:eastAsiaTheme="minorHAnsi"/>
                <w:shd w:val="clear" w:color="auto" w:fill="FFFFFF"/>
                <w:lang w:eastAsia="en-US"/>
              </w:rPr>
              <w:t>, birojs 10 darbdienu laikā no dienas kad konstatēta neprecīza informācija par atrašanās vietu vienlaikus nosūta paziņojumu sportistam. Sportists piecu darbdienu laikā no paziņojumu saņemšanas dienas var sniegt paskaidrojumus</w:t>
            </w:r>
            <w:r w:rsidRPr="00727C5A">
              <w:rPr>
                <w:rFonts w:eastAsiaTheme="minorHAnsi"/>
                <w:lang w:eastAsia="en-US"/>
              </w:rPr>
              <w:t>, kā arī 48 stundu laikā no paziņojuma saņemšanas</w:t>
            </w:r>
            <w:r w:rsidR="006E7DBE" w:rsidRPr="00727C5A">
              <w:rPr>
                <w:rFonts w:eastAsiaTheme="minorHAnsi"/>
                <w:lang w:eastAsia="en-US"/>
              </w:rPr>
              <w:t xml:space="preserve"> brīža</w:t>
            </w:r>
            <w:r w:rsidR="00A901A6">
              <w:rPr>
                <w:rFonts w:eastAsiaTheme="minorHAnsi"/>
                <w:lang w:eastAsia="en-US"/>
              </w:rPr>
              <w:t xml:space="preserve"> veikt labojumus</w:t>
            </w:r>
            <w:r w:rsidRPr="00727C5A">
              <w:rPr>
                <w:rFonts w:eastAsiaTheme="minorHAnsi"/>
                <w:lang w:eastAsia="en-US"/>
              </w:rPr>
              <w:t>, lai izvairītos no turpmākiem pārkāpumiem par informācijas nesniegšanu par savu atrašanās vietu. Birojam ir pienākums pārbaudīt vai sportists ir veicis labojumus informācijā par atrašanās vietu ADAMS</w:t>
            </w:r>
            <w:r>
              <w:rPr>
                <w:rFonts w:eastAsiaTheme="minorHAnsi"/>
                <w:lang w:eastAsia="en-US"/>
              </w:rPr>
              <w:t>.</w:t>
            </w:r>
          </w:p>
        </w:tc>
      </w:tr>
      <w:tr w:rsidR="00F955F0" w:rsidRPr="00436A1D" w14:paraId="52A6BEBF"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66A07FD1" w14:textId="77777777" w:rsidR="00F955F0" w:rsidRPr="00436A1D" w:rsidRDefault="00F955F0" w:rsidP="00436A1D">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CE07BFE" w14:textId="7ACD11EF" w:rsidR="00436A1D" w:rsidRPr="00B17E87" w:rsidRDefault="00EF5373" w:rsidP="00436A1D">
            <w:pPr>
              <w:jc w:val="both"/>
            </w:pPr>
            <w:r w:rsidRPr="00B17E87">
              <w:t>51.</w:t>
            </w:r>
            <w:r w:rsidR="00436A1D" w:rsidRPr="00B17E87">
              <w:t>Disciplinārā antidopinga komisija informāciju par antidopinga noteikumu pārkāpumu vai sportista vai sporta darbinieka sūdzību pamatā izskata trīs Disciplinārās antidopinga komisijas locekļu sastāvā. Izvērtējot saņemto informāciju par antidopinga noteikumu pārkāpumu vai sportista vai sporta darbinieka sūdzību Disciplinārās antidopinga komisijas priekšsēdētājs ir tiesīgs noteikt lielāku komisijas locekļu skaitu.</w:t>
            </w:r>
          </w:p>
          <w:p w14:paraId="2835FB25" w14:textId="77777777" w:rsidR="00436A1D" w:rsidRPr="00B17E87" w:rsidRDefault="00436A1D" w:rsidP="00436A1D">
            <w:pPr>
              <w:jc w:val="both"/>
            </w:pPr>
          </w:p>
          <w:p w14:paraId="1944AAB4" w14:textId="15C32773" w:rsidR="00436A1D" w:rsidRPr="00B17E87" w:rsidRDefault="00436A1D" w:rsidP="00436A1D">
            <w:pPr>
              <w:jc w:val="both"/>
            </w:pPr>
            <w:r w:rsidRPr="00B17E87">
              <w:t>83. Pārsūdzības komisija iesniegumus pamatā izskata trīs Pārsūdzības komisijas locekļu sastāvā. Izvērtējot saņemto iesniegumu Pārsūdzības komisijas priekšsēdētājs ir tiesīgs noteikt lielāku komisijas locekļu skaitu.</w:t>
            </w:r>
          </w:p>
          <w:p w14:paraId="3654610C" w14:textId="7B019DAE" w:rsidR="00F955F0" w:rsidRPr="00B17E87" w:rsidRDefault="00F955F0" w:rsidP="00436A1D">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5E1BE751" w14:textId="4EF53CD3" w:rsidR="00F955F0" w:rsidRPr="00B17E87" w:rsidRDefault="00F955F0" w:rsidP="00436A1D">
            <w:pPr>
              <w:ind w:right="12"/>
              <w:jc w:val="both"/>
            </w:pPr>
            <w:r w:rsidRPr="00B17E87">
              <w:lastRenderedPageBreak/>
              <w:t>11. Lūdzam projekta 51. punktā norādīt, kādus apsvērumus jāizvērtē, lai noteiktu lielāku komisijas locekļu skaitu, tādējādi atvieglojot projekta piemērošanu praksē. Minētais attiecas arī uz projekta 83. punktu</w:t>
            </w:r>
          </w:p>
        </w:tc>
        <w:tc>
          <w:tcPr>
            <w:tcW w:w="3995" w:type="dxa"/>
            <w:tcBorders>
              <w:top w:val="single" w:sz="6" w:space="0" w:color="000000"/>
              <w:left w:val="single" w:sz="6" w:space="0" w:color="000000"/>
              <w:bottom w:val="single" w:sz="6" w:space="0" w:color="000000"/>
              <w:right w:val="single" w:sz="6" w:space="0" w:color="000000"/>
            </w:tcBorders>
          </w:tcPr>
          <w:p w14:paraId="0BECC879" w14:textId="77777777" w:rsidR="00F955F0" w:rsidRPr="00346653" w:rsidRDefault="00EF5373" w:rsidP="00436A1D">
            <w:pPr>
              <w:pStyle w:val="naisc"/>
              <w:spacing w:before="0" w:after="0"/>
              <w:jc w:val="both"/>
              <w:rPr>
                <w:b/>
                <w:bCs/>
              </w:rPr>
            </w:pPr>
            <w:r w:rsidRPr="00346653">
              <w:rPr>
                <w:b/>
                <w:bCs/>
              </w:rPr>
              <w:t xml:space="preserve">Ņemts vērā </w:t>
            </w:r>
          </w:p>
          <w:p w14:paraId="6F860615" w14:textId="1D9CCC3D" w:rsidR="00EF5373" w:rsidRPr="00346653" w:rsidRDefault="00436A1D" w:rsidP="00436A1D">
            <w:pPr>
              <w:pStyle w:val="naisc"/>
              <w:spacing w:before="0" w:after="0"/>
              <w:jc w:val="both"/>
            </w:pPr>
            <w:r w:rsidRPr="00346653">
              <w:t>Papildināts noteikumu projekta 50. un 8</w:t>
            </w:r>
            <w:r w:rsidR="00A901A6">
              <w:t>6</w:t>
            </w:r>
            <w:r w:rsidRPr="00346653">
              <w:t>.punkts, ar norādi, ka lielāku komisijas locekļu skaits var tikt iesaistīts ņemot vērā tādus apsvērumus kā l</w:t>
            </w:r>
            <w:r w:rsidR="00EF5373" w:rsidRPr="00346653">
              <w:t>ietas sarežģītīb</w:t>
            </w:r>
            <w:r w:rsidRPr="00346653">
              <w:t>u</w:t>
            </w:r>
            <w:r w:rsidR="00EF5373" w:rsidRPr="00346653">
              <w:t xml:space="preserve"> un apjom</w:t>
            </w:r>
            <w:r w:rsidRPr="00346653">
              <w:t>u.</w:t>
            </w:r>
          </w:p>
        </w:tc>
        <w:tc>
          <w:tcPr>
            <w:tcW w:w="2809" w:type="dxa"/>
            <w:gridSpan w:val="2"/>
            <w:tcBorders>
              <w:top w:val="single" w:sz="4" w:space="0" w:color="auto"/>
              <w:left w:val="single" w:sz="4" w:space="0" w:color="auto"/>
              <w:bottom w:val="single" w:sz="4" w:space="0" w:color="auto"/>
            </w:tcBorders>
          </w:tcPr>
          <w:p w14:paraId="543778A4" w14:textId="39011E10" w:rsidR="00436A1D" w:rsidRDefault="00EF5373" w:rsidP="00436A1D">
            <w:pPr>
              <w:tabs>
                <w:tab w:val="left" w:pos="709"/>
              </w:tabs>
              <w:jc w:val="both"/>
            </w:pPr>
            <w:r w:rsidRPr="00346653">
              <w:t>50.</w:t>
            </w:r>
            <w:r w:rsidR="00436A1D" w:rsidRPr="00346653">
              <w:t xml:space="preserve"> Disciplinārā antidopinga komisija informāciju par antidopinga noteikumu pārkāpumu vai sportista vai sporta darbinieka sūdzību pamatā izskata trīs Disciplinārās antidopinga komisijas locekļu sastāvā. Izvērtējot saņemto informāciju par antidopinga noteikumu pārkāpumu vai sportista vai sporta darbinieka sūdzību, lietas apjomu un sarežģītību Disciplinārās antidopinga komisijas priekšsēdētājs ir </w:t>
            </w:r>
            <w:r w:rsidR="00436A1D" w:rsidRPr="00346653">
              <w:lastRenderedPageBreak/>
              <w:t>tiesīgs noteikt lielāku komisijas locekļu skaitu.</w:t>
            </w:r>
          </w:p>
          <w:p w14:paraId="5F55C3F7" w14:textId="77777777" w:rsidR="001149DB" w:rsidRDefault="001149DB" w:rsidP="00436A1D">
            <w:pPr>
              <w:tabs>
                <w:tab w:val="left" w:pos="709"/>
              </w:tabs>
              <w:jc w:val="both"/>
            </w:pPr>
          </w:p>
          <w:p w14:paraId="26782164" w14:textId="526ABCEA" w:rsidR="00436A1D" w:rsidRPr="00346653" w:rsidRDefault="00436A1D" w:rsidP="00436A1D">
            <w:pPr>
              <w:tabs>
                <w:tab w:val="left" w:pos="709"/>
              </w:tabs>
              <w:jc w:val="both"/>
            </w:pPr>
            <w:r w:rsidRPr="00346653">
              <w:t>8</w:t>
            </w:r>
            <w:r w:rsidR="00A901A6">
              <w:t>6</w:t>
            </w:r>
            <w:r w:rsidRPr="00346653">
              <w:t>. Pārsūdzības komisija iesniegumus pamatā izskata trīs Pārsūdzības komisijas locekļu sastāvā. Izvērtējot saņemto iesniegumu, lietas apjomu un sarežģītību</w:t>
            </w:r>
            <w:r w:rsidR="00346653" w:rsidRPr="00346653">
              <w:t>,</w:t>
            </w:r>
            <w:r w:rsidRPr="00346653">
              <w:t xml:space="preserve"> Pārsūdzības komisijas priekšsēdētājs ir tiesīgs noteikt lielāku komisijas locekļu skaitu</w:t>
            </w:r>
            <w:r w:rsidR="00346653" w:rsidRPr="00346653">
              <w:t xml:space="preserve">. </w:t>
            </w:r>
          </w:p>
          <w:p w14:paraId="03A456E8" w14:textId="6F1C0557" w:rsidR="00F955F0" w:rsidRPr="00346653" w:rsidRDefault="00F955F0" w:rsidP="00436A1D">
            <w:pPr>
              <w:jc w:val="both"/>
            </w:pPr>
          </w:p>
        </w:tc>
      </w:tr>
      <w:tr w:rsidR="00F955F0" w:rsidRPr="00564580" w14:paraId="004D4408"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D112607" w14:textId="77777777" w:rsidR="00F955F0" w:rsidRPr="00564580" w:rsidRDefault="00F955F0" w:rsidP="007E6C63">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421F59E" w14:textId="19F8D6FF" w:rsidR="00436A1D" w:rsidRPr="00564580" w:rsidRDefault="002C5D2F" w:rsidP="00436A1D">
            <w:pPr>
              <w:tabs>
                <w:tab w:val="left" w:pos="709"/>
              </w:tabs>
              <w:jc w:val="both"/>
            </w:pPr>
            <w:r w:rsidRPr="00564580">
              <w:t>53.</w:t>
            </w:r>
            <w:r w:rsidR="00436A1D" w:rsidRPr="00564580">
              <w:t xml:space="preserve"> Disciplinārā antidopinga komisija divu darbdienu laikā pēc sportista vai sporta darbinieka sūdzības saņemšanas nosūta sūdzību birojam, kā arī nosūta informāciju sportistam vai sporta darbiniekam un birojam par lietas izskatīšanas veidu, Disciplinārās antidopinga komisijas sēdes vietu un laiku, Disciplinārās antidopinga komisijas locekļu sastāvu, kā arī par tiesībām apstrīdēt komisijas sastāvu, atbilstoši pastāvošam interešu </w:t>
            </w:r>
            <w:r w:rsidR="00436A1D" w:rsidRPr="00564580">
              <w:lastRenderedPageBreak/>
              <w:t>konfliktam, vienas darbdienu laikā no informācijas iegūšanas par interešu konfliktu, kā arī informāciju par liecinieku pieaicināšanu. Vienas darbdienas laikā no Disciplinārās antidopinga komisijas informācijas saņemšanas dienas birojs ir tiesīgs sniegt atbildi uz saņemto informāciju. Disciplinārā antidopinga komisija vienas darbdienas laikā no atbildes saņemšanas dienas nosūta sportistam vai sporta darbiniekam saņemto atbildi.</w:t>
            </w:r>
          </w:p>
          <w:p w14:paraId="05EC92BE" w14:textId="45D8671E" w:rsidR="00F955F0" w:rsidRPr="00564580" w:rsidRDefault="00F955F0" w:rsidP="00F955F0">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5FC63F57" w14:textId="33A344B8" w:rsidR="00F955F0" w:rsidRPr="00564580" w:rsidRDefault="00F955F0" w:rsidP="007E6C63">
            <w:pPr>
              <w:ind w:right="12"/>
              <w:jc w:val="both"/>
            </w:pPr>
            <w:r w:rsidRPr="00564580">
              <w:lastRenderedPageBreak/>
              <w:t>12. Norādām, ka projekta 53. punkts ir smagnējs un grūti uztverams, jo tajā ir vismaz trīs atsevišķi regulējamie jautājumi. Attiecīgi lūdzam to sadalīt vairākās tiesību normās.</w:t>
            </w:r>
          </w:p>
        </w:tc>
        <w:tc>
          <w:tcPr>
            <w:tcW w:w="3995" w:type="dxa"/>
            <w:tcBorders>
              <w:top w:val="single" w:sz="6" w:space="0" w:color="000000"/>
              <w:left w:val="single" w:sz="6" w:space="0" w:color="000000"/>
              <w:bottom w:val="single" w:sz="6" w:space="0" w:color="000000"/>
              <w:right w:val="single" w:sz="6" w:space="0" w:color="000000"/>
            </w:tcBorders>
          </w:tcPr>
          <w:p w14:paraId="1580E67D" w14:textId="77777777" w:rsidR="00F955F0" w:rsidRPr="00564580" w:rsidRDefault="002C5D2F" w:rsidP="007E6C63">
            <w:pPr>
              <w:pStyle w:val="naisc"/>
              <w:spacing w:before="0" w:after="0"/>
              <w:jc w:val="both"/>
              <w:rPr>
                <w:b/>
                <w:bCs/>
              </w:rPr>
            </w:pPr>
            <w:r w:rsidRPr="00564580">
              <w:rPr>
                <w:b/>
                <w:bCs/>
              </w:rPr>
              <w:t>Ņemts vērā</w:t>
            </w:r>
            <w:r w:rsidR="00606634" w:rsidRPr="00564580">
              <w:rPr>
                <w:b/>
                <w:bCs/>
              </w:rPr>
              <w:t>.</w:t>
            </w:r>
          </w:p>
          <w:p w14:paraId="5378CEE9" w14:textId="44904FE9" w:rsidR="00606634" w:rsidRPr="00564580" w:rsidRDefault="00606634" w:rsidP="007E6C63">
            <w:pPr>
              <w:pStyle w:val="naisc"/>
              <w:spacing w:before="0" w:after="0"/>
              <w:jc w:val="both"/>
            </w:pPr>
            <w:r w:rsidRPr="00564580">
              <w:t>Noteikumu projekta 53.punkts un tajā iekļautās normas sadalīts trīs punktos – 5</w:t>
            </w:r>
            <w:r w:rsidR="00E06293">
              <w:t>1</w:t>
            </w:r>
            <w:r w:rsidRPr="00564580">
              <w:t>., 5</w:t>
            </w:r>
            <w:r w:rsidR="00E06293">
              <w:t>2</w:t>
            </w:r>
            <w:r w:rsidRPr="00564580">
              <w:t>. un 5</w:t>
            </w:r>
            <w:r w:rsidR="00E06293">
              <w:t>3</w:t>
            </w:r>
            <w:r w:rsidRPr="00564580">
              <w:t xml:space="preserve">.punkts. Attiecīgi precizēta arī </w:t>
            </w:r>
            <w:r w:rsidR="00D6160C" w:rsidRPr="00564580">
              <w:t xml:space="preserve">noteikumu projekta </w:t>
            </w:r>
            <w:r w:rsidRPr="00564580">
              <w:t>anotācija.</w:t>
            </w:r>
          </w:p>
        </w:tc>
        <w:tc>
          <w:tcPr>
            <w:tcW w:w="2809" w:type="dxa"/>
            <w:gridSpan w:val="2"/>
            <w:tcBorders>
              <w:top w:val="single" w:sz="4" w:space="0" w:color="auto"/>
              <w:left w:val="single" w:sz="4" w:space="0" w:color="auto"/>
              <w:bottom w:val="single" w:sz="4" w:space="0" w:color="auto"/>
            </w:tcBorders>
          </w:tcPr>
          <w:p w14:paraId="6922287B" w14:textId="70C82673" w:rsidR="00606634" w:rsidRPr="00564580" w:rsidRDefault="002C5D2F" w:rsidP="00606634">
            <w:pPr>
              <w:pStyle w:val="CommentText"/>
              <w:rPr>
                <w:sz w:val="24"/>
                <w:szCs w:val="24"/>
              </w:rPr>
            </w:pPr>
            <w:r w:rsidRPr="00564580">
              <w:rPr>
                <w:sz w:val="24"/>
                <w:szCs w:val="24"/>
              </w:rPr>
              <w:t>5</w:t>
            </w:r>
            <w:r w:rsidR="001149DB">
              <w:rPr>
                <w:sz w:val="24"/>
                <w:szCs w:val="24"/>
              </w:rPr>
              <w:t>1</w:t>
            </w:r>
            <w:r w:rsidRPr="00564580">
              <w:rPr>
                <w:sz w:val="24"/>
                <w:szCs w:val="24"/>
              </w:rPr>
              <w:t>.</w:t>
            </w:r>
            <w:r w:rsidR="00606634" w:rsidRPr="00564580">
              <w:rPr>
                <w:sz w:val="24"/>
                <w:szCs w:val="24"/>
              </w:rPr>
              <w:t xml:space="preserve"> Disciplinārā antidopinga komisija divu darbdienu laikā pēc sportista vai sporta darbinieka sūdzības saņemšanas sūdzību birojam, kā arī nosūta informāciju sportistam vai sporta darbiniekam un birojam par lietas izskatīšanas veidu, Disciplinārās antidopinga komisijas sēdes vietu un laiku, Disciplinārās antidopinga komisijas locekļu sastāvu, kā arī par </w:t>
            </w:r>
            <w:r w:rsidR="00606634" w:rsidRPr="00564580">
              <w:rPr>
                <w:sz w:val="24"/>
                <w:szCs w:val="24"/>
              </w:rPr>
              <w:lastRenderedPageBreak/>
              <w:t>tiesībām apstrīdēt komisijas sastāvu, atbilstoši pastāvošam interešu konfliktam, vienas darbdienu laikā no informācijas iegūšanas par interešu konfliktu, kā arī informāciju par liecinieku pieaicināšanu.</w:t>
            </w:r>
          </w:p>
          <w:p w14:paraId="5E77D850" w14:textId="77777777" w:rsidR="00606634" w:rsidRPr="00564580" w:rsidRDefault="00606634" w:rsidP="00606634">
            <w:pPr>
              <w:pStyle w:val="CommentText"/>
              <w:rPr>
                <w:sz w:val="24"/>
                <w:szCs w:val="24"/>
              </w:rPr>
            </w:pPr>
          </w:p>
          <w:p w14:paraId="36B268E7" w14:textId="1C7FDB61" w:rsidR="00606634" w:rsidRPr="00564580" w:rsidRDefault="00606634" w:rsidP="00606634">
            <w:pPr>
              <w:pStyle w:val="CommentText"/>
              <w:rPr>
                <w:sz w:val="24"/>
                <w:szCs w:val="24"/>
              </w:rPr>
            </w:pPr>
            <w:r w:rsidRPr="00564580">
              <w:rPr>
                <w:sz w:val="24"/>
                <w:szCs w:val="24"/>
              </w:rPr>
              <w:t>5</w:t>
            </w:r>
            <w:r w:rsidR="001149DB">
              <w:rPr>
                <w:sz w:val="24"/>
                <w:szCs w:val="24"/>
              </w:rPr>
              <w:t>2</w:t>
            </w:r>
            <w:r w:rsidRPr="00564580">
              <w:rPr>
                <w:sz w:val="24"/>
                <w:szCs w:val="24"/>
              </w:rPr>
              <w:t>. Vienas darbdienas laikā no Disciplinārās antidopinga komisijas informācijas saņemšanas dienas birojs ir tiesīgs sniegt atbildi uz saņemto informāciju.</w:t>
            </w:r>
          </w:p>
          <w:p w14:paraId="756F38B6" w14:textId="77777777" w:rsidR="00606634" w:rsidRPr="00564580" w:rsidRDefault="00606634" w:rsidP="00606634">
            <w:pPr>
              <w:pStyle w:val="CommentText"/>
              <w:rPr>
                <w:sz w:val="24"/>
                <w:szCs w:val="24"/>
              </w:rPr>
            </w:pPr>
          </w:p>
          <w:p w14:paraId="5CA6A678" w14:textId="2BC17DBA" w:rsidR="00F955F0" w:rsidRPr="00564580" w:rsidRDefault="00606634" w:rsidP="00606634">
            <w:pPr>
              <w:jc w:val="both"/>
            </w:pPr>
            <w:r w:rsidRPr="00564580">
              <w:t>5</w:t>
            </w:r>
            <w:r w:rsidR="001149DB">
              <w:t>3</w:t>
            </w:r>
            <w:r w:rsidRPr="00564580">
              <w:t>.Disciplinārā antidopinga komisija vienas darbdienas laikā no atbildes saņemšanas dienas nosūta sportistam vai sporta darbiniekam saņemto atbildi.</w:t>
            </w:r>
          </w:p>
        </w:tc>
      </w:tr>
      <w:tr w:rsidR="00412F14" w:rsidRPr="00412F14" w14:paraId="698C5EE5"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5DC1D080" w14:textId="77777777" w:rsidR="00F955F0" w:rsidRPr="00412F14" w:rsidRDefault="00F955F0" w:rsidP="00564580">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77A662D7" w14:textId="179669A8" w:rsidR="00436A1D" w:rsidRPr="00412F14" w:rsidRDefault="00436A1D" w:rsidP="00564580">
            <w:pPr>
              <w:tabs>
                <w:tab w:val="left" w:pos="709"/>
              </w:tabs>
              <w:jc w:val="both"/>
              <w:rPr>
                <w:rFonts w:eastAsiaTheme="minorHAnsi"/>
                <w:lang w:eastAsia="en-US"/>
              </w:rPr>
            </w:pPr>
            <w:r w:rsidRPr="00412F14">
              <w:t>63.</w:t>
            </w:r>
            <w:r w:rsidRPr="00412F14">
              <w:rPr>
                <w:rFonts w:eastAsiaTheme="minorHAnsi"/>
                <w:lang w:eastAsia="en-US"/>
              </w:rPr>
              <w:t xml:space="preserve"> Ja sportists, sporta darbinieks vai birojs iesniedz iesniegumu par interešu konfliktu pirms Disciplinārās antidopinga komisijas sēdes, to izskata un lēmumu pieņem Disciplinārās antidopinga </w:t>
            </w:r>
            <w:r w:rsidRPr="00412F14">
              <w:rPr>
                <w:rFonts w:eastAsiaTheme="minorHAnsi"/>
                <w:lang w:eastAsia="en-US"/>
              </w:rPr>
              <w:lastRenderedPageBreak/>
              <w:t>komisijas priekšsēdētājs piecu darbdienu laikā no iesnieguma saņemšanas un paziņo pieņemto lēmumu sportistam vai sporta darbiniekam, kā arī birojam. Gadījumā ja interešu konflikts ir saistīts ar Disciplinārās antidopinga komisijas priekšsēdētāju, iesniegumu izskata un lēmumu pieņem Disciplinārās antidopinga komisijas priekšsēdētāja vietnieks. Ja interešu konflikts tiek konstatēts, Disciplinārās antidopinga komisijas loceklis nepiedalās lietas izskatīšanā un tiek noteikts jauns Disciplinārās antidopinga komisijas loceklis, kurš piedalīsies lietas izskatīšanā. Ja interešu konflikts saskatīts netiek, lietas izskatīšana tiek turpināta iepriekš noteiktajā Disciplinārās antidopinga komisijas locekļu sastāvā.</w:t>
            </w:r>
          </w:p>
          <w:p w14:paraId="7C433382" w14:textId="77777777" w:rsidR="00436A1D" w:rsidRPr="00412F14" w:rsidRDefault="00436A1D" w:rsidP="00564580">
            <w:pPr>
              <w:jc w:val="both"/>
            </w:pPr>
          </w:p>
          <w:p w14:paraId="51CC65B1" w14:textId="77777777" w:rsidR="00436A1D" w:rsidRPr="00412F14" w:rsidRDefault="00436A1D" w:rsidP="00564580">
            <w:pPr>
              <w:jc w:val="both"/>
            </w:pPr>
            <w:r w:rsidRPr="00412F14">
              <w:t xml:space="preserve">83. Pārsūdzības komisija iesniegumus pamatā izskata   trīs Pārsūdzības komisijas locekļu sastāvā. Izvērtējot </w:t>
            </w:r>
            <w:r w:rsidRPr="00412F14">
              <w:lastRenderedPageBreak/>
              <w:t>saņemto iesniegumu Pārsūdzības komisijas priekšsēdētājs ir tiesīgs noteikt lielāku komisijas locekļu skaitu.</w:t>
            </w:r>
          </w:p>
          <w:p w14:paraId="6F68AF57" w14:textId="76D7D9D3" w:rsidR="00C277D6" w:rsidRPr="00412F14" w:rsidRDefault="00C277D6" w:rsidP="00564580">
            <w:pPr>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468915A6" w14:textId="45D2EDE6" w:rsidR="00F955F0" w:rsidRPr="00412F14" w:rsidRDefault="00F955F0" w:rsidP="00564580">
            <w:pPr>
              <w:ind w:right="12"/>
              <w:jc w:val="both"/>
            </w:pPr>
            <w:r w:rsidRPr="00412F14">
              <w:lastRenderedPageBreak/>
              <w:t xml:space="preserve">13. Vērtējot projekta regulējumu par interešu konflikta pastāvēšanu, piemēram, projekta 63. un 83. punktā, secināms, ka projektā nav ietverts regulējums gadījumos, kad komisijas loceklis pats varētu sevi atstatīt interešu konflikta gadījumā. Attiecīgi lūdzam izvērtēt un </w:t>
            </w:r>
            <w:r w:rsidRPr="00412F14">
              <w:lastRenderedPageBreak/>
              <w:t>nepieciešamības gadījumā papildināt projektu.</w:t>
            </w:r>
          </w:p>
          <w:p w14:paraId="14106364" w14:textId="77777777" w:rsidR="00F955F0" w:rsidRPr="00412F14" w:rsidRDefault="00F955F0" w:rsidP="00564580">
            <w:pPr>
              <w:ind w:right="12"/>
              <w:jc w:val="both"/>
            </w:pPr>
          </w:p>
          <w:p w14:paraId="1E1B8B94" w14:textId="53C19DE3" w:rsidR="00F955F0" w:rsidRPr="00412F14" w:rsidRDefault="00F955F0" w:rsidP="00564580">
            <w:pPr>
              <w:ind w:right="12"/>
              <w:jc w:val="both"/>
            </w:pPr>
          </w:p>
        </w:tc>
        <w:tc>
          <w:tcPr>
            <w:tcW w:w="3995" w:type="dxa"/>
            <w:tcBorders>
              <w:top w:val="single" w:sz="6" w:space="0" w:color="000000"/>
              <w:left w:val="single" w:sz="6" w:space="0" w:color="000000"/>
              <w:bottom w:val="single" w:sz="6" w:space="0" w:color="000000"/>
              <w:right w:val="single" w:sz="6" w:space="0" w:color="000000"/>
            </w:tcBorders>
          </w:tcPr>
          <w:p w14:paraId="575525DE" w14:textId="5BA514CC" w:rsidR="00F955F0" w:rsidRPr="00412F14" w:rsidRDefault="002C5D2F" w:rsidP="00564580">
            <w:pPr>
              <w:pStyle w:val="naisc"/>
              <w:spacing w:before="0" w:after="0"/>
              <w:jc w:val="both"/>
              <w:rPr>
                <w:b/>
                <w:bCs/>
              </w:rPr>
            </w:pPr>
            <w:r w:rsidRPr="00412F14">
              <w:rPr>
                <w:b/>
                <w:bCs/>
              </w:rPr>
              <w:lastRenderedPageBreak/>
              <w:t xml:space="preserve">Ņemts </w:t>
            </w:r>
            <w:r w:rsidR="00F21905" w:rsidRPr="00412F14">
              <w:rPr>
                <w:b/>
                <w:bCs/>
              </w:rPr>
              <w:t>vērā</w:t>
            </w:r>
          </w:p>
          <w:p w14:paraId="671BB27E" w14:textId="609F056D" w:rsidR="00346653" w:rsidRPr="00412F14" w:rsidRDefault="00346653" w:rsidP="00564580">
            <w:pPr>
              <w:pStyle w:val="naisc"/>
              <w:spacing w:before="0" w:after="0"/>
              <w:jc w:val="both"/>
            </w:pPr>
            <w:r w:rsidRPr="00412F14">
              <w:t xml:space="preserve">Papildināts noteikumu projekta </w:t>
            </w:r>
            <w:r w:rsidR="00045EE5" w:rsidRPr="00412F14">
              <w:t>49</w:t>
            </w:r>
            <w:r w:rsidRPr="00412F14">
              <w:t>. un 8</w:t>
            </w:r>
            <w:r w:rsidR="00045EE5" w:rsidRPr="00412F14">
              <w:t>5</w:t>
            </w:r>
            <w:r w:rsidRPr="00412F14">
              <w:t>.punkts, paredzot, ka gadījumos, ja komisijas loceklim pastāv interešu konflikts, tam sevi ir jāatstata no lietas izskatīšanas.</w:t>
            </w:r>
          </w:p>
          <w:p w14:paraId="5F07AD28" w14:textId="157F2993" w:rsidR="00564580" w:rsidRPr="00412F14" w:rsidRDefault="00564580" w:rsidP="00564580">
            <w:pPr>
              <w:pStyle w:val="naisc"/>
              <w:spacing w:before="0" w:after="0"/>
              <w:jc w:val="both"/>
              <w:rPr>
                <w:b/>
                <w:bCs/>
              </w:rPr>
            </w:pPr>
          </w:p>
          <w:p w14:paraId="4BB98E5D" w14:textId="62ABD9E6" w:rsidR="00564580" w:rsidRPr="00412F14" w:rsidRDefault="00564580" w:rsidP="00346653">
            <w:pPr>
              <w:pStyle w:val="CommentText"/>
              <w:rPr>
                <w:sz w:val="24"/>
                <w:szCs w:val="24"/>
              </w:rPr>
            </w:pPr>
          </w:p>
          <w:p w14:paraId="564D3C64" w14:textId="77777777" w:rsidR="00436A1D" w:rsidRPr="00412F14" w:rsidRDefault="00436A1D" w:rsidP="00564580">
            <w:pPr>
              <w:pStyle w:val="CommentText"/>
              <w:rPr>
                <w:sz w:val="24"/>
                <w:szCs w:val="24"/>
              </w:rPr>
            </w:pPr>
          </w:p>
          <w:p w14:paraId="21C660B1" w14:textId="5AD84745" w:rsidR="00436A1D" w:rsidRPr="00412F14" w:rsidRDefault="00436A1D" w:rsidP="00564580">
            <w:pPr>
              <w:pStyle w:val="naisc"/>
              <w:spacing w:before="0" w:after="0"/>
              <w:jc w:val="both"/>
            </w:pPr>
          </w:p>
        </w:tc>
        <w:tc>
          <w:tcPr>
            <w:tcW w:w="2809" w:type="dxa"/>
            <w:gridSpan w:val="2"/>
            <w:tcBorders>
              <w:top w:val="single" w:sz="4" w:space="0" w:color="auto"/>
              <w:left w:val="single" w:sz="4" w:space="0" w:color="auto"/>
              <w:bottom w:val="single" w:sz="4" w:space="0" w:color="auto"/>
            </w:tcBorders>
          </w:tcPr>
          <w:p w14:paraId="6CE19EA6" w14:textId="77777777" w:rsidR="00045EE5" w:rsidRPr="00412F14" w:rsidRDefault="00045EE5" w:rsidP="00045EE5">
            <w:pPr>
              <w:tabs>
                <w:tab w:val="left" w:pos="709"/>
              </w:tabs>
              <w:jc w:val="both"/>
            </w:pPr>
            <w:r w:rsidRPr="00412F14">
              <w:lastRenderedPageBreak/>
              <w:t>49</w:t>
            </w:r>
            <w:r w:rsidR="00346653" w:rsidRPr="00412F14">
              <w:t xml:space="preserve">. </w:t>
            </w:r>
            <w:bookmarkStart w:id="2" w:name="_Hlk78378814"/>
            <w:r w:rsidRPr="00412F14">
              <w:t>Birojam, sportistam vai sporta darbiniekam, kā arī  Sporta likuma 11.</w:t>
            </w:r>
            <w:r w:rsidRPr="00412F14">
              <w:rPr>
                <w:vertAlign w:val="superscript"/>
              </w:rPr>
              <w:t>6</w:t>
            </w:r>
            <w:r w:rsidRPr="00412F14">
              <w:t xml:space="preserve">pantā noteiktajām organizācijām ir tiesības iesniegt lūgumu Disciplinārajai antidopinga komisijai par informācijas </w:t>
            </w:r>
            <w:r w:rsidRPr="00412F14">
              <w:lastRenderedPageBreak/>
              <w:t xml:space="preserve">par antidopinga noteikumu pārkāpumu vai sportista vai sporta darbinieka sūdzības izskatīšanas veidu. Disciplinārās antidopinga komisijas priekšsēdētājs lēmumu par Disciplinārās antidopinga komisijas locekļu skaitu lietas izskatīšanai un  veidu kādā tiks izskatīta informācija par antidopinga noteikumu pārkāpumu vai sportista vai sporta darbinieka sūdzība pieņem trīs darbdienu laikā no iesnieguma saņemšanas dienas. </w:t>
            </w:r>
            <w:bookmarkEnd w:id="2"/>
            <w:r w:rsidRPr="00412F14">
              <w:t>Disciplinārās antidopinga komisijas loceklim, kurš konstatē interešu konflikta pastāvēšanu ir jāatstata sevi no lietas izskatīšanas.</w:t>
            </w:r>
          </w:p>
          <w:p w14:paraId="6C2E5063" w14:textId="77777777" w:rsidR="00346653" w:rsidRPr="00412F14" w:rsidRDefault="00346653" w:rsidP="00564580">
            <w:pPr>
              <w:jc w:val="both"/>
            </w:pPr>
          </w:p>
          <w:p w14:paraId="52783B6B" w14:textId="08774C69" w:rsidR="00346653" w:rsidRPr="00412F14" w:rsidRDefault="00346653" w:rsidP="00564580">
            <w:pPr>
              <w:jc w:val="both"/>
            </w:pPr>
            <w:r w:rsidRPr="00412F14">
              <w:t>8</w:t>
            </w:r>
            <w:r w:rsidR="00045EE5" w:rsidRPr="00412F14">
              <w:t>5</w:t>
            </w:r>
            <w:r w:rsidRPr="00412F14">
              <w:t xml:space="preserve">. </w:t>
            </w:r>
            <w:r w:rsidR="00045EE5" w:rsidRPr="00412F14">
              <w:t xml:space="preserve">Iesniegumu Pārsūdzības komisijas sēdē izskata 40 darbdienu laikā mutvārdu procesā vai saskaņā ar Pārsūdzības komisijas lēmumu, pēc atbildes sniegšanas </w:t>
            </w:r>
            <w:r w:rsidR="00045EE5" w:rsidRPr="00412F14">
              <w:lastRenderedPageBreak/>
              <w:t>termiņa atbilstoši šo noteikumu 88. punktam. Sportistam vai sporta darbiniekam un birojam, kā arī Sporta likuma 11.</w:t>
            </w:r>
            <w:r w:rsidR="00045EE5" w:rsidRPr="00412F14">
              <w:rPr>
                <w:vertAlign w:val="superscript"/>
              </w:rPr>
              <w:t>6</w:t>
            </w:r>
            <w:r w:rsidR="00045EE5" w:rsidRPr="00412F14">
              <w:t>pantā noteiktajām organizācijām iesniegumā ir tiesības iesniegt lūgumu Pārsūdzības komisijai par iesnieguma izskatīšanas veidu. Pārsūdzības komisijas priekšsēdētājs lēmumu par Pārsūdzības komisijas locekļu skaitu lietas izskatīšanai un  veidu kādā tiks izskatīts iesniegums pieņem trīs darbdienu laikā no iesnieguma saņemšanas dienas. Pārsūdzības komisijas loceklim, kurš konstatē interešu konflikta pastāvēšanu ir jāatstata sevi no iesnieguma izskatīšanas</w:t>
            </w:r>
          </w:p>
        </w:tc>
      </w:tr>
      <w:tr w:rsidR="00DE07E7" w:rsidRPr="00313F5B" w14:paraId="2A8C597D" w14:textId="77777777" w:rsidTr="009F5AE9">
        <w:trPr>
          <w:gridBefore w:val="1"/>
          <w:wBefore w:w="8" w:type="dxa"/>
        </w:trPr>
        <w:tc>
          <w:tcPr>
            <w:tcW w:w="14992" w:type="dxa"/>
            <w:gridSpan w:val="7"/>
            <w:tcBorders>
              <w:top w:val="single" w:sz="6" w:space="0" w:color="000000"/>
              <w:left w:val="single" w:sz="6" w:space="0" w:color="000000"/>
              <w:bottom w:val="single" w:sz="6" w:space="0" w:color="000000"/>
            </w:tcBorders>
          </w:tcPr>
          <w:p w14:paraId="06ACB444" w14:textId="43782C1C" w:rsidR="00DE07E7" w:rsidRPr="00DE07E7" w:rsidRDefault="00DE07E7" w:rsidP="00DE07E7">
            <w:pPr>
              <w:jc w:val="center"/>
              <w:rPr>
                <w:b/>
                <w:bCs/>
              </w:rPr>
            </w:pPr>
            <w:r w:rsidRPr="00DE07E7">
              <w:rPr>
                <w:b/>
                <w:bCs/>
              </w:rPr>
              <w:lastRenderedPageBreak/>
              <w:t>Izglītības un zinātnes ministrija</w:t>
            </w:r>
          </w:p>
        </w:tc>
      </w:tr>
      <w:tr w:rsidR="00DE07E7" w:rsidRPr="009862FE" w14:paraId="1A83EC4A" w14:textId="77777777" w:rsidTr="00313F5B">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5CAD86C" w14:textId="77777777" w:rsidR="00DE07E7" w:rsidRPr="009862FE" w:rsidRDefault="00DE07E7" w:rsidP="009862FE">
            <w:pPr>
              <w:pStyle w:val="naisc"/>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1DD546A" w14:textId="2FA50AC3" w:rsidR="00DE07E7" w:rsidRPr="009862FE" w:rsidRDefault="00DE07E7" w:rsidP="009862FE">
            <w:pPr>
              <w:jc w:val="both"/>
            </w:pPr>
            <w:r w:rsidRPr="009862FE">
              <w:t xml:space="preserve">83. Pārsūdzības komisija iesniegumus pamatā izskata trīs Pārsūdzības komisijas locekļu sastāvā. Izvērtējot saņemto iesniegumu Pārsūdzības </w:t>
            </w:r>
            <w:r w:rsidRPr="009862FE">
              <w:lastRenderedPageBreak/>
              <w:t>komisijas priekšsēdētājs ir tiesīgs noteikt lielāku komisijas locekļu skaitu.</w:t>
            </w:r>
          </w:p>
        </w:tc>
        <w:tc>
          <w:tcPr>
            <w:tcW w:w="4394" w:type="dxa"/>
            <w:gridSpan w:val="2"/>
            <w:tcBorders>
              <w:top w:val="single" w:sz="6" w:space="0" w:color="000000"/>
              <w:left w:val="single" w:sz="6" w:space="0" w:color="000000"/>
              <w:bottom w:val="single" w:sz="6" w:space="0" w:color="000000"/>
              <w:right w:val="single" w:sz="6" w:space="0" w:color="000000"/>
            </w:tcBorders>
          </w:tcPr>
          <w:p w14:paraId="15BFC2DA" w14:textId="77777777" w:rsidR="00DE07E7" w:rsidRPr="009862FE" w:rsidRDefault="00DE07E7" w:rsidP="009862FE">
            <w:pPr>
              <w:jc w:val="both"/>
              <w:rPr>
                <w:b/>
                <w:bCs/>
                <w:noProof/>
                <w:spacing w:val="20"/>
              </w:rPr>
            </w:pPr>
            <w:r w:rsidRPr="009862FE">
              <w:rPr>
                <w:b/>
                <w:bCs/>
                <w:color w:val="000000" w:themeColor="text1"/>
              </w:rPr>
              <w:lastRenderedPageBreak/>
              <w:t>31.08.2021 atzinums Nr.</w:t>
            </w:r>
            <w:r w:rsidRPr="009862FE">
              <w:rPr>
                <w:b/>
                <w:bCs/>
                <w:noProof/>
                <w:spacing w:val="20"/>
              </w:rPr>
              <w:t xml:space="preserve"> 4-3.2e/21/3129</w:t>
            </w:r>
          </w:p>
          <w:p w14:paraId="520CA35B" w14:textId="4C8497C8" w:rsidR="00DE07E7" w:rsidRPr="009862FE" w:rsidRDefault="00DE07E7" w:rsidP="009862FE">
            <w:pPr>
              <w:jc w:val="both"/>
              <w:rPr>
                <w:color w:val="000000" w:themeColor="text1"/>
              </w:rPr>
            </w:pPr>
            <w:r w:rsidRPr="009862FE">
              <w:rPr>
                <w:color w:val="000000" w:themeColor="text1"/>
              </w:rPr>
              <w:t>Saskaņā ar Sporta likuma 11.</w:t>
            </w:r>
            <w:r w:rsidRPr="009862FE">
              <w:rPr>
                <w:color w:val="000000" w:themeColor="text1"/>
                <w:vertAlign w:val="superscript"/>
              </w:rPr>
              <w:t>5</w:t>
            </w:r>
            <w:r w:rsidRPr="009862FE">
              <w:rPr>
                <w:color w:val="000000" w:themeColor="text1"/>
              </w:rPr>
              <w:t xml:space="preserve"> panta ceturto daļu </w:t>
            </w:r>
            <w:r w:rsidRPr="009862FE">
              <w:rPr>
                <w:color w:val="000000" w:themeColor="text1"/>
                <w:shd w:val="clear" w:color="auto" w:fill="FFFFFF"/>
              </w:rPr>
              <w:t xml:space="preserve">Pārsūdzības komisiju izveido Ministru kabinets, tās sastāvā uz pilnvaru termiņu, kas nepārsniedz četrus gadus, iekļaujot </w:t>
            </w:r>
            <w:r w:rsidRPr="009862FE">
              <w:rPr>
                <w:color w:val="000000" w:themeColor="text1"/>
                <w:shd w:val="clear" w:color="auto" w:fill="FFFFFF"/>
              </w:rPr>
              <w:lastRenderedPageBreak/>
              <w:t>vismaz piecas personas (tostarp juristu, ārstu, sporta darbinieku un sportistu), kuras spēj izskatīt lietas taisnīgi, objektīvi un neatkarīgi un kuras izvirza Latvijas Ārstu biedrība, biedrība “Latvijas Olimpiskā komiteja”, biedrība “Latvijas Sporta federāciju padome”, specializētā sporta organizācija –  sabiedrība ar ierobežotu atbildību “Latvijas Olimpiskā vienība” – un Latvijas Sporta pedagoģijas akadēmija. Viens un tas pats pārstāvis var tikt izvirzīts iekļaušanai Pārsūdzības komisijas sastāvā ne vairāk kā divus pilnvaru termiņus pēc kārtas. Iekļaušanai Pārsūdzības komisijas sastāvā neizvirza pārstāvi, kas ir iekļauts Disciplinārās antidopinga komisijas vai Terapeitiskās lietošanas izņēmumu komisijas sastāvā.</w:t>
            </w:r>
          </w:p>
          <w:p w14:paraId="49E3B70B" w14:textId="7375D4A0" w:rsidR="00DE07E7" w:rsidRPr="009862FE" w:rsidRDefault="00DE07E7" w:rsidP="009862FE">
            <w:pPr>
              <w:pStyle w:val="ListParagraph"/>
              <w:ind w:left="0"/>
              <w:jc w:val="both"/>
              <w:rPr>
                <w:color w:val="000000" w:themeColor="text1"/>
                <w:lang w:val="lv-LV"/>
              </w:rPr>
            </w:pPr>
            <w:r w:rsidRPr="009862FE">
              <w:rPr>
                <w:color w:val="000000" w:themeColor="text1"/>
                <w:shd w:val="clear" w:color="auto" w:fill="FFFFFF"/>
                <w:lang w:val="lv-LV"/>
              </w:rPr>
              <w:t xml:space="preserve">Savukārt Noteikumu projekta “Nacionālie antidopinga noteikumi” 83.punktā ir minēts, ka </w:t>
            </w:r>
            <w:r w:rsidRPr="009862FE">
              <w:rPr>
                <w:color w:val="000000" w:themeColor="text1"/>
                <w:lang w:val="lv-LV"/>
              </w:rPr>
              <w:t>Pārsūdzības komisija</w:t>
            </w:r>
            <w:r w:rsidR="002159C7" w:rsidRPr="009862FE">
              <w:rPr>
                <w:color w:val="000000" w:themeColor="text1"/>
                <w:lang w:val="lv-LV"/>
              </w:rPr>
              <w:t xml:space="preserve"> </w:t>
            </w:r>
            <w:r w:rsidRPr="009862FE">
              <w:rPr>
                <w:color w:val="000000" w:themeColor="text1"/>
                <w:lang w:val="lv-LV"/>
              </w:rPr>
              <w:t>iesniegumus pamatā izskata trīs Pārsūdzīb</w:t>
            </w:r>
            <w:r w:rsidR="00EE21C1">
              <w:rPr>
                <w:color w:val="000000" w:themeColor="text1"/>
                <w:lang w:val="lv-LV"/>
              </w:rPr>
              <w:t>a</w:t>
            </w:r>
            <w:r w:rsidRPr="009862FE">
              <w:rPr>
                <w:color w:val="000000" w:themeColor="text1"/>
                <w:lang w:val="lv-LV"/>
              </w:rPr>
              <w:t>s komisijas locekļu sastāvā.</w:t>
            </w:r>
          </w:p>
          <w:p w14:paraId="3FF20ACC" w14:textId="77777777" w:rsidR="00DE07E7" w:rsidRPr="009862FE" w:rsidRDefault="00DE07E7" w:rsidP="00EE21C1">
            <w:pPr>
              <w:pStyle w:val="ListParagraph"/>
              <w:ind w:left="0"/>
              <w:jc w:val="both"/>
              <w:rPr>
                <w:color w:val="000000" w:themeColor="text1"/>
                <w:lang w:val="lv-LV"/>
              </w:rPr>
            </w:pPr>
            <w:r w:rsidRPr="009862FE">
              <w:rPr>
                <w:color w:val="000000" w:themeColor="text1"/>
                <w:shd w:val="clear" w:color="auto" w:fill="FFFFFF"/>
                <w:lang w:val="lv-LV"/>
              </w:rPr>
              <w:t xml:space="preserve">Ievērojot minēto, aicinām novērst nesakritības attiecībā uz Pārsūdzības komisijas locekļu skaitu, vai arī </w:t>
            </w:r>
            <w:r w:rsidRPr="009862FE">
              <w:rPr>
                <w:kern w:val="1"/>
                <w:lang w:val="lv-LV"/>
              </w:rPr>
              <w:t>sākotnējās ietekmes novērtējuma ziņojumā (anotācijā) sniegt juridisko pamatojumu Pārsūdzības komisijas locekļu skaita atšķirībām.</w:t>
            </w:r>
          </w:p>
          <w:p w14:paraId="32FC54A7" w14:textId="77777777" w:rsidR="00DE07E7" w:rsidRPr="009862FE" w:rsidRDefault="00DE07E7" w:rsidP="009862FE">
            <w:pPr>
              <w:ind w:right="12"/>
              <w:jc w:val="both"/>
            </w:pPr>
          </w:p>
        </w:tc>
        <w:tc>
          <w:tcPr>
            <w:tcW w:w="3995" w:type="dxa"/>
            <w:tcBorders>
              <w:top w:val="single" w:sz="6" w:space="0" w:color="000000"/>
              <w:left w:val="single" w:sz="6" w:space="0" w:color="000000"/>
              <w:bottom w:val="single" w:sz="6" w:space="0" w:color="000000"/>
              <w:right w:val="single" w:sz="6" w:space="0" w:color="000000"/>
            </w:tcBorders>
          </w:tcPr>
          <w:p w14:paraId="154814D8" w14:textId="1EB8BC93" w:rsidR="00DE07E7" w:rsidRPr="009862FE" w:rsidRDefault="00DE07E7" w:rsidP="009862FE">
            <w:pPr>
              <w:pStyle w:val="naisc"/>
              <w:spacing w:before="0" w:after="0"/>
              <w:jc w:val="both"/>
              <w:rPr>
                <w:b/>
                <w:bCs/>
              </w:rPr>
            </w:pPr>
            <w:r w:rsidRPr="009862FE">
              <w:rPr>
                <w:b/>
                <w:bCs/>
              </w:rPr>
              <w:lastRenderedPageBreak/>
              <w:t>Ņemts vērā</w:t>
            </w:r>
            <w:r w:rsidR="004323C9" w:rsidRPr="009862FE">
              <w:rPr>
                <w:b/>
                <w:bCs/>
              </w:rPr>
              <w:t>.</w:t>
            </w:r>
          </w:p>
          <w:p w14:paraId="154864F6" w14:textId="2DBA33F1" w:rsidR="004323C9" w:rsidRPr="009862FE" w:rsidRDefault="00F3693D" w:rsidP="009862FE">
            <w:pPr>
              <w:jc w:val="both"/>
            </w:pPr>
            <w:r w:rsidRPr="00EE21C1">
              <w:t xml:space="preserve">Skaidrojam, ka </w:t>
            </w:r>
            <w:r w:rsidR="002159C7" w:rsidRPr="00EE21C1">
              <w:t>saskaņā ar Sporta likuma</w:t>
            </w:r>
            <w:r w:rsidR="002159C7" w:rsidRPr="009862FE">
              <w:rPr>
                <w:b/>
                <w:bCs/>
              </w:rPr>
              <w:t xml:space="preserve"> </w:t>
            </w:r>
            <w:r w:rsidR="002159C7" w:rsidRPr="009862FE">
              <w:rPr>
                <w:color w:val="000000" w:themeColor="text1"/>
              </w:rPr>
              <w:t>11.</w:t>
            </w:r>
            <w:r w:rsidR="002159C7" w:rsidRPr="009862FE">
              <w:rPr>
                <w:color w:val="000000" w:themeColor="text1"/>
                <w:vertAlign w:val="superscript"/>
              </w:rPr>
              <w:t>5</w:t>
            </w:r>
            <w:r w:rsidR="002159C7" w:rsidRPr="009862FE">
              <w:rPr>
                <w:color w:val="000000" w:themeColor="text1"/>
              </w:rPr>
              <w:t xml:space="preserve"> panta ceturto daļu </w:t>
            </w:r>
            <w:r w:rsidR="002159C7" w:rsidRPr="009862FE">
              <w:rPr>
                <w:color w:val="000000" w:themeColor="text1"/>
                <w:shd w:val="clear" w:color="auto" w:fill="FFFFFF"/>
              </w:rPr>
              <w:t xml:space="preserve">Pārsūdzības komisiju izveido Ministru kabinets, tās sastāvā iekļaujot vismaz piecas personas, vienlaikus Sporta </w:t>
            </w:r>
            <w:r w:rsidR="002159C7" w:rsidRPr="009862FE">
              <w:rPr>
                <w:color w:val="000000" w:themeColor="text1"/>
                <w:shd w:val="clear" w:color="auto" w:fill="FFFFFF"/>
              </w:rPr>
              <w:lastRenderedPageBreak/>
              <w:t>likuma noteiktais regulējums neparedz, ka lietu izskata  ne mazāk kā piecu personu sastāvā</w:t>
            </w:r>
            <w:r w:rsidR="009862FE" w:rsidRPr="009862FE">
              <w:rPr>
                <w:color w:val="000000" w:themeColor="text1"/>
                <w:shd w:val="clear" w:color="auto" w:fill="FFFFFF"/>
              </w:rPr>
              <w:t>, bet ka komisijā tiek iekļauti vismaz piecas personas.</w:t>
            </w:r>
            <w:r w:rsidR="002159C7" w:rsidRPr="009862FE">
              <w:rPr>
                <w:color w:val="000000" w:themeColor="text1"/>
                <w:shd w:val="clear" w:color="auto" w:fill="FFFFFF"/>
              </w:rPr>
              <w:t xml:space="preserve"> Šobrīd spēkā esošajos Nacionālajos Antidopinga noteikumos nebija noteikts konkrēts komisijas locekļu skaits, kas var </w:t>
            </w:r>
            <w:r w:rsidR="009862FE" w:rsidRPr="009862FE">
              <w:rPr>
                <w:color w:val="000000" w:themeColor="text1"/>
                <w:shd w:val="clear" w:color="auto" w:fill="FFFFFF"/>
              </w:rPr>
              <w:t>izskatīt</w:t>
            </w:r>
            <w:r w:rsidR="002159C7" w:rsidRPr="009862FE">
              <w:rPr>
                <w:color w:val="000000" w:themeColor="text1"/>
                <w:shd w:val="clear" w:color="auto" w:fill="FFFFFF"/>
              </w:rPr>
              <w:t xml:space="preserve"> sūdzīb</w:t>
            </w:r>
            <w:r w:rsidR="009862FE" w:rsidRPr="009862FE">
              <w:rPr>
                <w:color w:val="000000" w:themeColor="text1"/>
                <w:shd w:val="clear" w:color="auto" w:fill="FFFFFF"/>
              </w:rPr>
              <w:t>u</w:t>
            </w:r>
            <w:r w:rsidR="002159C7" w:rsidRPr="009862FE">
              <w:rPr>
                <w:color w:val="000000" w:themeColor="text1"/>
                <w:shd w:val="clear" w:color="auto" w:fill="FFFFFF"/>
              </w:rPr>
              <w:t>, bet saskaņā ar 53.punktu P</w:t>
            </w:r>
            <w:r w:rsidR="002159C7" w:rsidRPr="009862FE">
              <w:rPr>
                <w:color w:val="414142"/>
                <w:shd w:val="clear" w:color="auto" w:fill="FFFFFF"/>
              </w:rPr>
              <w:t>ārsūdzības komisija ir lemttiesīga, ja tajā piedalās vismaz divas trešdaļas no komisijas locekļiem. Saskaņā ar Ministru kabineta 2018. gada 12. decembra rīkojumu Nr.666 Pārsūdzības komisijā ir iekļauti 12 komisijas locekļi</w:t>
            </w:r>
            <w:r w:rsidR="009862FE" w:rsidRPr="009862FE">
              <w:rPr>
                <w:color w:val="414142"/>
                <w:shd w:val="clear" w:color="auto" w:fill="FFFFFF"/>
              </w:rPr>
              <w:t xml:space="preserve">, kas visi var piedalīties lietas izskatīšanā. </w:t>
            </w:r>
            <w:r w:rsidR="002159C7" w:rsidRPr="002159C7">
              <w:t>Sporta likums nosaka minimālo komisijas locekļu faktisko skaitu,</w:t>
            </w:r>
            <w:r w:rsidR="009862FE">
              <w:t xml:space="preserve"> savukārt</w:t>
            </w:r>
            <w:r w:rsidR="002159C7" w:rsidRPr="002159C7">
              <w:t xml:space="preserve"> </w:t>
            </w:r>
            <w:r w:rsidR="002159C7" w:rsidRPr="009862FE">
              <w:t xml:space="preserve">noteikumu projekts </w:t>
            </w:r>
            <w:r w:rsidR="002159C7" w:rsidRPr="002159C7">
              <w:t>nosaka minimālo komisijas locekļu skaitu lietas izskatīšan</w:t>
            </w:r>
            <w:r w:rsidR="009862FE" w:rsidRPr="009862FE">
              <w:t xml:space="preserve">ai, nosakot </w:t>
            </w:r>
            <w:r w:rsidR="002159C7" w:rsidRPr="009862FE">
              <w:t>trīs</w:t>
            </w:r>
            <w:r w:rsidR="009862FE" w:rsidRPr="009862FE">
              <w:t xml:space="preserve"> kā mazāko pieļaujamo komisijas locekļu skaitu, kas var izskatīt lietu,</w:t>
            </w:r>
            <w:r w:rsidR="002159C7" w:rsidRPr="009862FE">
              <w:t xml:space="preserve"> lai interešu konflikta un citu iemeslu gadījumā</w:t>
            </w:r>
            <w:r w:rsidR="009862FE" w:rsidRPr="009862FE">
              <w:t>, ka</w:t>
            </w:r>
            <w:r w:rsidR="009862FE">
              <w:t>d</w:t>
            </w:r>
            <w:r w:rsidR="009862FE" w:rsidRPr="009862FE">
              <w:t xml:space="preserve">  komisijas loceklis sevi atstata no lietas izskatīšanas,</w:t>
            </w:r>
            <w:r w:rsidR="002159C7" w:rsidRPr="009862FE">
              <w:t xml:space="preserve"> būtu iespēja mainīt sastāvu</w:t>
            </w:r>
            <w:r w:rsidR="009862FE" w:rsidRPr="009862FE">
              <w:t xml:space="preserve"> un nodrošināt komisijas darbību</w:t>
            </w:r>
            <w:r w:rsidR="002159C7" w:rsidRPr="009862FE">
              <w:t>.</w:t>
            </w:r>
            <w:r w:rsidR="009862FE" w:rsidRPr="009862FE">
              <w:t xml:space="preserve"> Vienlaikus jānorāda, ka tie paši Pārsūdzības komisijas locekļi </w:t>
            </w:r>
            <w:r w:rsidR="009862FE">
              <w:t xml:space="preserve">kas izskata sūdzības </w:t>
            </w:r>
            <w:r w:rsidR="009862FE" w:rsidRPr="009862FE">
              <w:t>par pagaidu aizliegumu nevar izskatīt pašu</w:t>
            </w:r>
            <w:r w:rsidR="009862FE">
              <w:t xml:space="preserve"> antidopinga noteikumu</w:t>
            </w:r>
            <w:r w:rsidR="009862FE" w:rsidRPr="009862FE">
              <w:t xml:space="preserve"> pārkāpuma </w:t>
            </w:r>
            <w:r w:rsidR="009862FE" w:rsidRPr="009862FE">
              <w:lastRenderedPageBreak/>
              <w:t>lietu</w:t>
            </w:r>
            <w:r w:rsidR="009862FE">
              <w:t xml:space="preserve">. Tāpat minēto minimālo locekļu skaitu Pārsūdzības komisijā nosaka arī  </w:t>
            </w:r>
            <w:r w:rsidR="002159C7" w:rsidRPr="009862FE">
              <w:t>Rezultātu pārvaldības standarta 8.2. punkts.</w:t>
            </w:r>
          </w:p>
        </w:tc>
        <w:tc>
          <w:tcPr>
            <w:tcW w:w="2809" w:type="dxa"/>
            <w:gridSpan w:val="2"/>
            <w:tcBorders>
              <w:top w:val="single" w:sz="4" w:space="0" w:color="auto"/>
              <w:left w:val="single" w:sz="4" w:space="0" w:color="auto"/>
              <w:bottom w:val="single" w:sz="4" w:space="0" w:color="auto"/>
            </w:tcBorders>
          </w:tcPr>
          <w:p w14:paraId="64F027B2" w14:textId="292B5480" w:rsidR="00DE07E7" w:rsidRPr="009862FE" w:rsidRDefault="00DE07E7" w:rsidP="009862FE">
            <w:pPr>
              <w:tabs>
                <w:tab w:val="left" w:pos="709"/>
              </w:tabs>
              <w:jc w:val="both"/>
            </w:pPr>
            <w:r w:rsidRPr="009862FE">
              <w:lastRenderedPageBreak/>
              <w:t>8</w:t>
            </w:r>
            <w:r w:rsidR="00E06293">
              <w:t>6</w:t>
            </w:r>
            <w:r w:rsidRPr="009862FE">
              <w:t xml:space="preserve">. Pārsūdzības komisija iesniegumus pamatā izskata trīs Pārsūdzības komisijas locekļu sastāvā. Izvērtējot saņemto iesniegumu, lietas apjomu </w:t>
            </w:r>
            <w:r w:rsidRPr="009862FE">
              <w:lastRenderedPageBreak/>
              <w:t>un sarežģītību Pārsūdzības komisijas priekšsēdētājs ir tiesīgs noteikt lielāku komisijas locekļu skaitu.</w:t>
            </w:r>
          </w:p>
          <w:p w14:paraId="1555E020" w14:textId="77777777" w:rsidR="00DE07E7" w:rsidRPr="009862FE" w:rsidRDefault="00DE07E7" w:rsidP="009862FE">
            <w:pPr>
              <w:jc w:val="both"/>
            </w:pPr>
          </w:p>
        </w:tc>
      </w:tr>
      <w:tr w:rsidR="00E83461" w:rsidRPr="00313F5B" w14:paraId="387BD90E" w14:textId="77777777" w:rsidTr="00313F5B">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2AA81415" w14:textId="77777777" w:rsidR="00E83461" w:rsidRPr="00313F5B" w:rsidRDefault="00E83461" w:rsidP="00E83461"/>
          <w:p w14:paraId="0D173636" w14:textId="77777777" w:rsidR="00E83461" w:rsidRPr="00313F5B" w:rsidRDefault="00E83461" w:rsidP="00E83461"/>
          <w:p w14:paraId="4E875B28" w14:textId="77777777" w:rsidR="00E83461" w:rsidRPr="00313F5B" w:rsidRDefault="00E83461" w:rsidP="00E83461">
            <w:r w:rsidRPr="00313F5B">
              <w:t>Atbildīgā amatpersona</w:t>
            </w:r>
          </w:p>
        </w:tc>
        <w:tc>
          <w:tcPr>
            <w:tcW w:w="9975" w:type="dxa"/>
            <w:gridSpan w:val="3"/>
          </w:tcPr>
          <w:p w14:paraId="39C0E772" w14:textId="77777777" w:rsidR="00E83461" w:rsidRPr="00313F5B" w:rsidRDefault="00E83461" w:rsidP="00E83461">
            <w:pPr>
              <w:ind w:firstLine="720"/>
            </w:pPr>
            <w:r w:rsidRPr="00313F5B">
              <w:t>  </w:t>
            </w:r>
          </w:p>
        </w:tc>
      </w:tr>
      <w:tr w:rsidR="00E83461" w:rsidRPr="00313F5B" w14:paraId="6DE943A0" w14:textId="77777777" w:rsidTr="00313F5B">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0242C35C" w14:textId="77777777" w:rsidR="00E83461" w:rsidRPr="00313F5B" w:rsidRDefault="00E83461" w:rsidP="00E83461"/>
        </w:tc>
        <w:tc>
          <w:tcPr>
            <w:tcW w:w="9975" w:type="dxa"/>
            <w:gridSpan w:val="3"/>
            <w:tcBorders>
              <w:top w:val="single" w:sz="6" w:space="0" w:color="000000"/>
            </w:tcBorders>
          </w:tcPr>
          <w:p w14:paraId="564D48A8" w14:textId="77777777" w:rsidR="00E83461" w:rsidRPr="00313F5B" w:rsidRDefault="00E83461" w:rsidP="00E83461">
            <w:pPr>
              <w:ind w:firstLine="720"/>
              <w:jc w:val="center"/>
            </w:pPr>
            <w:r w:rsidRPr="00313F5B">
              <w:t>(paraksts*)</w:t>
            </w:r>
          </w:p>
        </w:tc>
      </w:tr>
    </w:tbl>
    <w:tbl>
      <w:tblPr>
        <w:tblpPr w:leftFromText="180" w:rightFromText="180" w:vertAnchor="text" w:horzAnchor="page" w:tblpX="2386" w:tblpY="702"/>
        <w:tblW w:w="0" w:type="auto"/>
        <w:tblLook w:val="00A0" w:firstRow="1" w:lastRow="0" w:firstColumn="1" w:lastColumn="0" w:noHBand="0" w:noVBand="0"/>
      </w:tblPr>
      <w:tblGrid>
        <w:gridCol w:w="8268"/>
      </w:tblGrid>
      <w:tr w:rsidR="00E83461" w:rsidRPr="001A73BA" w14:paraId="7289091F" w14:textId="77777777" w:rsidTr="00034D7D">
        <w:tc>
          <w:tcPr>
            <w:tcW w:w="8268" w:type="dxa"/>
            <w:tcBorders>
              <w:top w:val="single" w:sz="4" w:space="0" w:color="000000"/>
            </w:tcBorders>
          </w:tcPr>
          <w:p w14:paraId="28D445DD" w14:textId="77777777" w:rsidR="00E83461" w:rsidRPr="001A73BA" w:rsidRDefault="00E83461" w:rsidP="00E83461">
            <w:pPr>
              <w:jc w:val="center"/>
            </w:pPr>
            <w:r w:rsidRPr="001A73BA">
              <w:t>(par projektu atbildīgās amatpersonas vārds un uzvārds)</w:t>
            </w:r>
          </w:p>
        </w:tc>
      </w:tr>
      <w:tr w:rsidR="00E83461" w:rsidRPr="001A73BA" w14:paraId="5E095726" w14:textId="77777777" w:rsidTr="00034D7D">
        <w:tc>
          <w:tcPr>
            <w:tcW w:w="8268" w:type="dxa"/>
            <w:tcBorders>
              <w:bottom w:val="single" w:sz="4" w:space="0" w:color="000000"/>
            </w:tcBorders>
          </w:tcPr>
          <w:p w14:paraId="0E2FE24D" w14:textId="77777777" w:rsidR="00E83461" w:rsidRPr="001A73BA" w:rsidRDefault="00E83461" w:rsidP="00E83461">
            <w:r w:rsidRPr="001A73BA">
              <w:t xml:space="preserve">Vecākā eksperte </w:t>
            </w:r>
          </w:p>
        </w:tc>
      </w:tr>
      <w:tr w:rsidR="00E83461" w:rsidRPr="001A73BA" w14:paraId="556D759A" w14:textId="77777777" w:rsidTr="00034D7D">
        <w:tc>
          <w:tcPr>
            <w:tcW w:w="8268" w:type="dxa"/>
            <w:tcBorders>
              <w:top w:val="single" w:sz="4" w:space="0" w:color="000000"/>
            </w:tcBorders>
          </w:tcPr>
          <w:p w14:paraId="276128F8" w14:textId="77777777" w:rsidR="00E83461" w:rsidRPr="001A73BA" w:rsidRDefault="00E83461" w:rsidP="00E83461">
            <w:pPr>
              <w:jc w:val="center"/>
            </w:pPr>
            <w:r w:rsidRPr="001A73BA">
              <w:t>(amats)</w:t>
            </w:r>
          </w:p>
        </w:tc>
      </w:tr>
      <w:tr w:rsidR="00E83461" w:rsidRPr="001A73BA" w14:paraId="7D809B1B" w14:textId="77777777" w:rsidTr="00034D7D">
        <w:tc>
          <w:tcPr>
            <w:tcW w:w="8268" w:type="dxa"/>
            <w:tcBorders>
              <w:bottom w:val="single" w:sz="4" w:space="0" w:color="000000"/>
            </w:tcBorders>
          </w:tcPr>
          <w:p w14:paraId="63458809" w14:textId="77777777" w:rsidR="00E83461" w:rsidRPr="001A73BA" w:rsidRDefault="00E83461" w:rsidP="00E83461">
            <w:r w:rsidRPr="001A73BA">
              <w:rPr>
                <w:color w:val="000000"/>
                <w:shd w:val="clear" w:color="auto" w:fill="FFFFFF"/>
              </w:rPr>
              <w:t> +371 60005266</w:t>
            </w:r>
          </w:p>
        </w:tc>
      </w:tr>
      <w:tr w:rsidR="00E83461" w:rsidRPr="001A73BA" w14:paraId="18360203" w14:textId="77777777" w:rsidTr="00034D7D">
        <w:tc>
          <w:tcPr>
            <w:tcW w:w="8268" w:type="dxa"/>
            <w:tcBorders>
              <w:top w:val="single" w:sz="4" w:space="0" w:color="000000"/>
            </w:tcBorders>
          </w:tcPr>
          <w:p w14:paraId="49CB52D8" w14:textId="77777777" w:rsidR="00E83461" w:rsidRPr="001A73BA" w:rsidRDefault="00E83461" w:rsidP="00E83461">
            <w:pPr>
              <w:jc w:val="center"/>
            </w:pPr>
            <w:r w:rsidRPr="001A73BA">
              <w:t>(tālruņa un faksa numurs)</w:t>
            </w:r>
          </w:p>
        </w:tc>
      </w:tr>
      <w:tr w:rsidR="00E83461" w:rsidRPr="001A73BA" w14:paraId="42C80857" w14:textId="77777777" w:rsidTr="00034D7D">
        <w:tc>
          <w:tcPr>
            <w:tcW w:w="8268" w:type="dxa"/>
            <w:tcBorders>
              <w:bottom w:val="single" w:sz="4" w:space="0" w:color="000000"/>
            </w:tcBorders>
          </w:tcPr>
          <w:p w14:paraId="6AF7E2E3" w14:textId="77777777" w:rsidR="00E83461" w:rsidRPr="001A73BA" w:rsidRDefault="00E83461" w:rsidP="00E83461">
            <w:r w:rsidRPr="001A73BA">
              <w:t>sanita.lazdina@vm.gov.lv</w:t>
            </w:r>
          </w:p>
        </w:tc>
      </w:tr>
      <w:tr w:rsidR="00E83461" w:rsidRPr="001A73BA" w14:paraId="5E397C96" w14:textId="77777777" w:rsidTr="00034D7D">
        <w:tc>
          <w:tcPr>
            <w:tcW w:w="8268" w:type="dxa"/>
            <w:tcBorders>
              <w:top w:val="single" w:sz="4" w:space="0" w:color="000000"/>
            </w:tcBorders>
          </w:tcPr>
          <w:p w14:paraId="0EF4BE69" w14:textId="77777777" w:rsidR="00E83461" w:rsidRPr="001A73BA" w:rsidRDefault="00E83461" w:rsidP="00E83461">
            <w:pPr>
              <w:jc w:val="center"/>
            </w:pPr>
            <w:r w:rsidRPr="001A73BA">
              <w:t>(e-pasta adrese)</w:t>
            </w:r>
          </w:p>
        </w:tc>
      </w:tr>
    </w:tbl>
    <w:p w14:paraId="5E6D7A68" w14:textId="77777777" w:rsidR="00E83461" w:rsidRPr="001A73BA" w:rsidRDefault="00E83461" w:rsidP="00E83461">
      <w:pPr>
        <w:jc w:val="both"/>
      </w:pPr>
    </w:p>
    <w:p w14:paraId="28FDC18C" w14:textId="77777777" w:rsidR="00E83461" w:rsidRPr="001A73BA" w:rsidRDefault="00E83461" w:rsidP="00E83461">
      <w:pPr>
        <w:ind w:firstLine="720"/>
      </w:pPr>
      <w:r w:rsidRPr="001A73BA">
        <w:t>Sanita Lazdiņa</w:t>
      </w:r>
    </w:p>
    <w:p w14:paraId="29F6E291" w14:textId="77777777" w:rsidR="00E83461" w:rsidRPr="001A73BA" w:rsidRDefault="00E83461" w:rsidP="00E83461">
      <w:pPr>
        <w:ind w:firstLine="720"/>
        <w:jc w:val="both"/>
      </w:pPr>
    </w:p>
    <w:p w14:paraId="7F5E8BD2" w14:textId="77777777" w:rsidR="00E83461" w:rsidRPr="001A73BA" w:rsidRDefault="00E83461" w:rsidP="00E83461">
      <w:pPr>
        <w:ind w:firstLine="720"/>
        <w:jc w:val="both"/>
      </w:pPr>
    </w:p>
    <w:p w14:paraId="6926EB80" w14:textId="77777777" w:rsidR="00E83461" w:rsidRPr="001A73BA" w:rsidRDefault="00E83461" w:rsidP="00E83461">
      <w:pPr>
        <w:ind w:firstLine="720"/>
        <w:jc w:val="both"/>
      </w:pPr>
    </w:p>
    <w:p w14:paraId="15258337" w14:textId="77777777" w:rsidR="00E83461" w:rsidRPr="001A73BA" w:rsidRDefault="00E83461" w:rsidP="00E83461">
      <w:pPr>
        <w:ind w:firstLine="720"/>
        <w:jc w:val="both"/>
      </w:pPr>
    </w:p>
    <w:p w14:paraId="5B27962B" w14:textId="77777777" w:rsidR="00E83461" w:rsidRPr="001A73BA" w:rsidRDefault="00E83461" w:rsidP="00E83461">
      <w:pPr>
        <w:ind w:firstLine="720"/>
        <w:jc w:val="both"/>
      </w:pPr>
    </w:p>
    <w:p w14:paraId="18B8CA83" w14:textId="77777777" w:rsidR="00E83461" w:rsidRPr="001A73BA" w:rsidRDefault="00E83461" w:rsidP="00E83461">
      <w:pPr>
        <w:ind w:firstLine="720"/>
        <w:jc w:val="both"/>
      </w:pPr>
    </w:p>
    <w:p w14:paraId="043DC3BC" w14:textId="77777777" w:rsidR="00E83461" w:rsidRPr="001A73BA" w:rsidRDefault="00E83461" w:rsidP="00E83461">
      <w:pPr>
        <w:jc w:val="both"/>
      </w:pPr>
    </w:p>
    <w:p w14:paraId="508AA2FE" w14:textId="77777777" w:rsidR="00E83461" w:rsidRPr="001A73BA" w:rsidRDefault="00E83461" w:rsidP="00E83461">
      <w:pPr>
        <w:ind w:firstLine="720"/>
        <w:jc w:val="both"/>
      </w:pPr>
    </w:p>
    <w:p w14:paraId="719BBDBE" w14:textId="77777777" w:rsidR="00E83461" w:rsidRPr="001A73BA" w:rsidRDefault="00E83461" w:rsidP="00E83461">
      <w:pPr>
        <w:ind w:firstLine="720"/>
        <w:jc w:val="both"/>
      </w:pPr>
    </w:p>
    <w:p w14:paraId="7ECB0932" w14:textId="77777777" w:rsidR="00E83461" w:rsidRPr="001A73BA" w:rsidRDefault="00E83461" w:rsidP="00E83461">
      <w:pPr>
        <w:ind w:firstLine="720"/>
        <w:jc w:val="both"/>
      </w:pPr>
    </w:p>
    <w:p w14:paraId="4E2CC803" w14:textId="77777777" w:rsidR="00E83461" w:rsidRPr="001A73BA" w:rsidRDefault="00E83461" w:rsidP="00E83461">
      <w:pPr>
        <w:ind w:firstLine="720"/>
        <w:jc w:val="both"/>
      </w:pPr>
      <w:r w:rsidRPr="001A73BA">
        <w:t>Piezīme. * Dokumenta rekvizītu "paraksts" neaizpilda, ja elektroniskais dokuments ir sagatavots atbilstoši normatīvajiem aktiem par elektronisko dokumentu noformēšanu.</w:t>
      </w:r>
    </w:p>
    <w:p w14:paraId="61792D72" w14:textId="77777777" w:rsidR="00503DCF" w:rsidRPr="001A73BA" w:rsidRDefault="00503DCF"/>
    <w:sectPr w:rsidR="00503DCF" w:rsidRPr="001A73BA" w:rsidSect="009A6DCD">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0B25" w14:textId="77777777" w:rsidR="00141D62" w:rsidRDefault="00141D62" w:rsidP="00CC6591">
      <w:r>
        <w:separator/>
      </w:r>
    </w:p>
  </w:endnote>
  <w:endnote w:type="continuationSeparator" w:id="0">
    <w:p w14:paraId="0EF9B6EE" w14:textId="77777777" w:rsidR="00141D62" w:rsidRDefault="00141D62" w:rsidP="00C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C9C" w14:textId="77777777" w:rsidR="00412F14" w:rsidRDefault="00412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EC0B" w14:textId="362B7213" w:rsidR="009A6DCD" w:rsidRDefault="007E6C63" w:rsidP="007E6C63">
    <w:pPr>
      <w:pStyle w:val="Footer"/>
    </w:pPr>
    <w:r w:rsidRPr="007E6C63">
      <w:t>VMizz</w:t>
    </w:r>
    <w:r w:rsidR="00066F17">
      <w:t>_1</w:t>
    </w:r>
    <w:r w:rsidR="007A70EA">
      <w:t>6</w:t>
    </w:r>
    <w:r w:rsidR="00161D68">
      <w:t>0921_jauni</w:t>
    </w:r>
    <w:r w:rsidR="00F955F0">
      <w:t>NAN</w:t>
    </w:r>
  </w:p>
  <w:p w14:paraId="0AF22E44" w14:textId="77777777" w:rsidR="007E6C63" w:rsidRPr="007E6C63" w:rsidRDefault="007E6C63" w:rsidP="007E6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0BAF" w14:textId="6C0E4806" w:rsidR="009A6DCD" w:rsidRDefault="009A6DCD">
    <w:pPr>
      <w:pStyle w:val="Footer"/>
    </w:pPr>
    <w:r>
      <w:t>VMizz_</w:t>
    </w:r>
    <w:r w:rsidR="00066F17">
      <w:t>1</w:t>
    </w:r>
    <w:r w:rsidR="007A70EA">
      <w:t>6</w:t>
    </w:r>
    <w:r w:rsidR="00DF1145">
      <w:t>0921_jauniNAN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B06E" w14:textId="77777777" w:rsidR="00141D62" w:rsidRDefault="00141D62" w:rsidP="00CC6591">
      <w:r>
        <w:separator/>
      </w:r>
    </w:p>
  </w:footnote>
  <w:footnote w:type="continuationSeparator" w:id="0">
    <w:p w14:paraId="2FE7146C" w14:textId="77777777" w:rsidR="00141D62" w:rsidRDefault="00141D62" w:rsidP="00CC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D82C" w14:textId="77777777" w:rsidR="00412F14" w:rsidRDefault="00412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B2FB" w14:textId="77777777" w:rsidR="00412F14" w:rsidRDefault="00412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C48D" w14:textId="77777777" w:rsidR="00412F14" w:rsidRDefault="0041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38E"/>
    <w:multiLevelType w:val="hybridMultilevel"/>
    <w:tmpl w:val="C00AD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E930EB"/>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5E5CB9"/>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2F260BCC"/>
    <w:multiLevelType w:val="multilevel"/>
    <w:tmpl w:val="F984E7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710242"/>
    <w:multiLevelType w:val="hybridMultilevel"/>
    <w:tmpl w:val="03A883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4A4D25C3"/>
    <w:multiLevelType w:val="hybridMultilevel"/>
    <w:tmpl w:val="68F4D3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8C70C6"/>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51945051"/>
    <w:multiLevelType w:val="hybridMultilevel"/>
    <w:tmpl w:val="638E994A"/>
    <w:lvl w:ilvl="0" w:tplc="C58E6872">
      <w:start w:val="9"/>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63587D"/>
    <w:multiLevelType w:val="hybridMultilevel"/>
    <w:tmpl w:val="D5F4731A"/>
    <w:lvl w:ilvl="0" w:tplc="0426000F">
      <w:start w:val="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6E7760"/>
    <w:multiLevelType w:val="hybridMultilevel"/>
    <w:tmpl w:val="E41220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8"/>
  </w:num>
  <w:num w:numId="5">
    <w:abstractNumId w:val="5"/>
  </w:num>
  <w:num w:numId="6">
    <w:abstractNumId w:val="12"/>
  </w:num>
  <w:num w:numId="7">
    <w:abstractNumId w:val="2"/>
  </w:num>
  <w:num w:numId="8">
    <w:abstractNumId w:val="9"/>
  </w:num>
  <w:num w:numId="9">
    <w:abstractNumId w:val="11"/>
  </w:num>
  <w:num w:numId="10">
    <w:abstractNumId w:val="0"/>
  </w:num>
  <w:num w:numId="11">
    <w:abstractNumId w:val="7"/>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91"/>
    <w:rsid w:val="00022E9F"/>
    <w:rsid w:val="00026D2D"/>
    <w:rsid w:val="00027FF3"/>
    <w:rsid w:val="00045EE5"/>
    <w:rsid w:val="00066F17"/>
    <w:rsid w:val="000861D1"/>
    <w:rsid w:val="0008784B"/>
    <w:rsid w:val="00096DF7"/>
    <w:rsid w:val="0009769D"/>
    <w:rsid w:val="000A63EF"/>
    <w:rsid w:val="000B2014"/>
    <w:rsid w:val="000B49D0"/>
    <w:rsid w:val="000C6F34"/>
    <w:rsid w:val="000E4B2D"/>
    <w:rsid w:val="00105297"/>
    <w:rsid w:val="00107299"/>
    <w:rsid w:val="001145A5"/>
    <w:rsid w:val="001149DB"/>
    <w:rsid w:val="00131CA1"/>
    <w:rsid w:val="00134C8B"/>
    <w:rsid w:val="00141D62"/>
    <w:rsid w:val="00151116"/>
    <w:rsid w:val="00161D68"/>
    <w:rsid w:val="001A5741"/>
    <w:rsid w:val="001A73BA"/>
    <w:rsid w:val="001B117A"/>
    <w:rsid w:val="001C5107"/>
    <w:rsid w:val="001F14A8"/>
    <w:rsid w:val="001F513C"/>
    <w:rsid w:val="001F5A3F"/>
    <w:rsid w:val="0020117D"/>
    <w:rsid w:val="002159C7"/>
    <w:rsid w:val="002510EA"/>
    <w:rsid w:val="00255208"/>
    <w:rsid w:val="00293E10"/>
    <w:rsid w:val="00295D51"/>
    <w:rsid w:val="002B6155"/>
    <w:rsid w:val="002C5D2F"/>
    <w:rsid w:val="002E7844"/>
    <w:rsid w:val="002F741E"/>
    <w:rsid w:val="00304590"/>
    <w:rsid w:val="0030673C"/>
    <w:rsid w:val="00313F5B"/>
    <w:rsid w:val="003305A8"/>
    <w:rsid w:val="00346653"/>
    <w:rsid w:val="0039749C"/>
    <w:rsid w:val="003D7A33"/>
    <w:rsid w:val="003E7D14"/>
    <w:rsid w:val="003F2C40"/>
    <w:rsid w:val="00412F14"/>
    <w:rsid w:val="00430DF1"/>
    <w:rsid w:val="004323C9"/>
    <w:rsid w:val="00436A1D"/>
    <w:rsid w:val="00464228"/>
    <w:rsid w:val="00467657"/>
    <w:rsid w:val="00484AD5"/>
    <w:rsid w:val="004C251B"/>
    <w:rsid w:val="00503DCF"/>
    <w:rsid w:val="00505285"/>
    <w:rsid w:val="005211C6"/>
    <w:rsid w:val="00536EFB"/>
    <w:rsid w:val="005401DD"/>
    <w:rsid w:val="00551581"/>
    <w:rsid w:val="005529A8"/>
    <w:rsid w:val="005600CA"/>
    <w:rsid w:val="00564580"/>
    <w:rsid w:val="005909FE"/>
    <w:rsid w:val="005A6A44"/>
    <w:rsid w:val="005B1F67"/>
    <w:rsid w:val="00606634"/>
    <w:rsid w:val="0061582F"/>
    <w:rsid w:val="00616BAA"/>
    <w:rsid w:val="00626A3C"/>
    <w:rsid w:val="00662859"/>
    <w:rsid w:val="00665AB5"/>
    <w:rsid w:val="006751F6"/>
    <w:rsid w:val="006B5ED7"/>
    <w:rsid w:val="006E7DBE"/>
    <w:rsid w:val="00723201"/>
    <w:rsid w:val="00727C5A"/>
    <w:rsid w:val="00770BA3"/>
    <w:rsid w:val="00776F70"/>
    <w:rsid w:val="00781D62"/>
    <w:rsid w:val="007A70EA"/>
    <w:rsid w:val="007C504E"/>
    <w:rsid w:val="007C5D39"/>
    <w:rsid w:val="007E6C63"/>
    <w:rsid w:val="007F168F"/>
    <w:rsid w:val="007F402A"/>
    <w:rsid w:val="00802737"/>
    <w:rsid w:val="0081280A"/>
    <w:rsid w:val="00846F42"/>
    <w:rsid w:val="008625B3"/>
    <w:rsid w:val="00873C32"/>
    <w:rsid w:val="008F53FF"/>
    <w:rsid w:val="00933629"/>
    <w:rsid w:val="00971614"/>
    <w:rsid w:val="00971650"/>
    <w:rsid w:val="00985A9F"/>
    <w:rsid w:val="009862FE"/>
    <w:rsid w:val="0099530F"/>
    <w:rsid w:val="009A6DCD"/>
    <w:rsid w:val="009B1FA4"/>
    <w:rsid w:val="009C6661"/>
    <w:rsid w:val="009D7ACE"/>
    <w:rsid w:val="00A038D0"/>
    <w:rsid w:val="00A11615"/>
    <w:rsid w:val="00A20799"/>
    <w:rsid w:val="00A3143D"/>
    <w:rsid w:val="00A34437"/>
    <w:rsid w:val="00A37D28"/>
    <w:rsid w:val="00A5317A"/>
    <w:rsid w:val="00A66330"/>
    <w:rsid w:val="00A8352D"/>
    <w:rsid w:val="00A901A6"/>
    <w:rsid w:val="00A9163C"/>
    <w:rsid w:val="00AB3C21"/>
    <w:rsid w:val="00AB7AA0"/>
    <w:rsid w:val="00AC1A31"/>
    <w:rsid w:val="00AE7FE6"/>
    <w:rsid w:val="00AF73D6"/>
    <w:rsid w:val="00B17E87"/>
    <w:rsid w:val="00B240D2"/>
    <w:rsid w:val="00B37C94"/>
    <w:rsid w:val="00B37E86"/>
    <w:rsid w:val="00B4088F"/>
    <w:rsid w:val="00B71172"/>
    <w:rsid w:val="00B73D08"/>
    <w:rsid w:val="00BD1AA2"/>
    <w:rsid w:val="00C01C35"/>
    <w:rsid w:val="00C2563D"/>
    <w:rsid w:val="00C277D6"/>
    <w:rsid w:val="00C330A6"/>
    <w:rsid w:val="00C42A0D"/>
    <w:rsid w:val="00C65BCA"/>
    <w:rsid w:val="00CB67EE"/>
    <w:rsid w:val="00CC0849"/>
    <w:rsid w:val="00CC08AF"/>
    <w:rsid w:val="00CC3CFE"/>
    <w:rsid w:val="00CC6591"/>
    <w:rsid w:val="00CD1AB5"/>
    <w:rsid w:val="00CE484F"/>
    <w:rsid w:val="00D26E6D"/>
    <w:rsid w:val="00D40C02"/>
    <w:rsid w:val="00D43ADA"/>
    <w:rsid w:val="00D6084F"/>
    <w:rsid w:val="00D6160C"/>
    <w:rsid w:val="00D760C5"/>
    <w:rsid w:val="00DB56C1"/>
    <w:rsid w:val="00DE07E7"/>
    <w:rsid w:val="00DE2540"/>
    <w:rsid w:val="00DF1145"/>
    <w:rsid w:val="00DF2064"/>
    <w:rsid w:val="00E02D23"/>
    <w:rsid w:val="00E06293"/>
    <w:rsid w:val="00E068E3"/>
    <w:rsid w:val="00E15643"/>
    <w:rsid w:val="00E2449E"/>
    <w:rsid w:val="00E258C7"/>
    <w:rsid w:val="00E62F1F"/>
    <w:rsid w:val="00E67957"/>
    <w:rsid w:val="00E74935"/>
    <w:rsid w:val="00E828AB"/>
    <w:rsid w:val="00E82FFD"/>
    <w:rsid w:val="00E83461"/>
    <w:rsid w:val="00E87F53"/>
    <w:rsid w:val="00EE1FBC"/>
    <w:rsid w:val="00EE21C1"/>
    <w:rsid w:val="00EF04BF"/>
    <w:rsid w:val="00EF5373"/>
    <w:rsid w:val="00F02100"/>
    <w:rsid w:val="00F21905"/>
    <w:rsid w:val="00F3693D"/>
    <w:rsid w:val="00F539BF"/>
    <w:rsid w:val="00F64DF4"/>
    <w:rsid w:val="00F80B4D"/>
    <w:rsid w:val="00F8468F"/>
    <w:rsid w:val="00F94C3E"/>
    <w:rsid w:val="00F955F0"/>
    <w:rsid w:val="00FA7045"/>
    <w:rsid w:val="00FB7E91"/>
    <w:rsid w:val="00FC6223"/>
    <w:rsid w:val="00FD0C51"/>
    <w:rsid w:val="00FD5B22"/>
    <w:rsid w:val="00FF0295"/>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C9D6B"/>
  <w15:chartTrackingRefBased/>
  <w15:docId w15:val="{0F4AF6F8-BF2A-408C-9037-AEB6CC5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1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591"/>
    <w:pPr>
      <w:spacing w:before="100" w:beforeAutospacing="1" w:after="100" w:afterAutospacing="1"/>
    </w:pPr>
  </w:style>
  <w:style w:type="paragraph" w:customStyle="1" w:styleId="naisf">
    <w:name w:val="naisf"/>
    <w:basedOn w:val="Normal"/>
    <w:rsid w:val="00CC6591"/>
    <w:pPr>
      <w:spacing w:before="75" w:after="75"/>
      <w:ind w:firstLine="375"/>
      <w:jc w:val="both"/>
    </w:pPr>
  </w:style>
  <w:style w:type="paragraph" w:customStyle="1" w:styleId="naisnod">
    <w:name w:val="naisnod"/>
    <w:basedOn w:val="Normal"/>
    <w:uiPriority w:val="99"/>
    <w:rsid w:val="00CC6591"/>
    <w:pPr>
      <w:spacing w:before="150" w:after="150"/>
      <w:jc w:val="center"/>
    </w:pPr>
    <w:rPr>
      <w:b/>
      <w:bCs/>
    </w:rPr>
  </w:style>
  <w:style w:type="paragraph" w:customStyle="1" w:styleId="naiskr">
    <w:name w:val="naiskr"/>
    <w:basedOn w:val="Normal"/>
    <w:rsid w:val="00CC6591"/>
    <w:pPr>
      <w:spacing w:before="75" w:after="75"/>
    </w:pPr>
  </w:style>
  <w:style w:type="paragraph" w:customStyle="1" w:styleId="naisc">
    <w:name w:val="naisc"/>
    <w:basedOn w:val="Normal"/>
    <w:rsid w:val="00CC6591"/>
    <w:pPr>
      <w:spacing w:before="75" w:after="75"/>
      <w:jc w:val="center"/>
    </w:pPr>
  </w:style>
  <w:style w:type="paragraph" w:styleId="BodyText">
    <w:name w:val="Body Text"/>
    <w:basedOn w:val="Normal"/>
    <w:link w:val="BodyTextChar"/>
    <w:rsid w:val="00CC6591"/>
    <w:pPr>
      <w:widowControl w:val="0"/>
      <w:suppressAutoHyphens/>
      <w:spacing w:after="120"/>
    </w:pPr>
    <w:rPr>
      <w:rFonts w:eastAsia="Arial"/>
      <w:kern w:val="1"/>
      <w:lang w:val="en"/>
    </w:rPr>
  </w:style>
  <w:style w:type="character" w:customStyle="1" w:styleId="BodyTextChar">
    <w:name w:val="Body Text Char"/>
    <w:basedOn w:val="DefaultParagraphFont"/>
    <w:link w:val="BodyText"/>
    <w:rsid w:val="00CC6591"/>
    <w:rPr>
      <w:rFonts w:ascii="Times New Roman" w:eastAsia="Arial" w:hAnsi="Times New Roman" w:cs="Times New Roman"/>
      <w:kern w:val="1"/>
      <w:sz w:val="24"/>
      <w:szCs w:val="24"/>
      <w:lang w:val="en" w:eastAsia="lv-LV"/>
    </w:rPr>
  </w:style>
  <w:style w:type="paragraph" w:styleId="ListParagraph">
    <w:name w:val="List Paragraph"/>
    <w:basedOn w:val="Normal"/>
    <w:uiPriority w:val="34"/>
    <w:qFormat/>
    <w:rsid w:val="000E4B2D"/>
    <w:pPr>
      <w:widowControl w:val="0"/>
      <w:suppressAutoHyphens/>
      <w:ind w:left="720"/>
      <w:contextualSpacing/>
    </w:pPr>
    <w:rPr>
      <w:rFonts w:eastAsia="Arial"/>
      <w:kern w:val="2"/>
      <w:lang w:val="en"/>
    </w:rPr>
  </w:style>
  <w:style w:type="paragraph" w:customStyle="1" w:styleId="form-control-plaintext">
    <w:name w:val="form-control-plaintext"/>
    <w:basedOn w:val="Normal"/>
    <w:rsid w:val="00DF2064"/>
    <w:pPr>
      <w:spacing w:before="100" w:beforeAutospacing="1" w:after="100" w:afterAutospacing="1"/>
    </w:pPr>
  </w:style>
  <w:style w:type="character" w:customStyle="1" w:styleId="normaltextrun">
    <w:name w:val="normaltextrun"/>
    <w:basedOn w:val="DefaultParagraphFont"/>
    <w:rsid w:val="00DF2064"/>
  </w:style>
  <w:style w:type="character" w:styleId="Hyperlink">
    <w:name w:val="Hyperlink"/>
    <w:basedOn w:val="DefaultParagraphFont"/>
    <w:uiPriority w:val="99"/>
    <w:semiHidden/>
    <w:unhideWhenUsed/>
    <w:rsid w:val="00A9163C"/>
    <w:rPr>
      <w:color w:val="0000FF"/>
      <w:u w:val="single"/>
    </w:rPr>
  </w:style>
  <w:style w:type="paragraph" w:styleId="Header">
    <w:name w:val="header"/>
    <w:basedOn w:val="Normal"/>
    <w:link w:val="HeaderChar"/>
    <w:uiPriority w:val="99"/>
    <w:unhideWhenUsed/>
    <w:rsid w:val="009A6DCD"/>
    <w:pPr>
      <w:tabs>
        <w:tab w:val="center" w:pos="4513"/>
        <w:tab w:val="right" w:pos="9026"/>
      </w:tabs>
    </w:pPr>
  </w:style>
  <w:style w:type="character" w:customStyle="1" w:styleId="HeaderChar">
    <w:name w:val="Header Char"/>
    <w:basedOn w:val="DefaultParagraphFont"/>
    <w:link w:val="Header"/>
    <w:uiPriority w:val="99"/>
    <w:rsid w:val="009A6D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A6DCD"/>
    <w:pPr>
      <w:tabs>
        <w:tab w:val="center" w:pos="4513"/>
        <w:tab w:val="right" w:pos="9026"/>
      </w:tabs>
    </w:pPr>
  </w:style>
  <w:style w:type="character" w:customStyle="1" w:styleId="FooterChar">
    <w:name w:val="Footer Char"/>
    <w:basedOn w:val="DefaultParagraphFont"/>
    <w:link w:val="Footer"/>
    <w:uiPriority w:val="99"/>
    <w:rsid w:val="009A6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8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D1"/>
    <w:rPr>
      <w:rFonts w:ascii="Segoe UI" w:eastAsia="Times New Roman" w:hAnsi="Segoe UI" w:cs="Segoe UI"/>
      <w:sz w:val="18"/>
      <w:szCs w:val="18"/>
      <w:lang w:eastAsia="lv-LV"/>
    </w:rPr>
  </w:style>
  <w:style w:type="character" w:customStyle="1" w:styleId="body1">
    <w:name w:val="body1"/>
    <w:rsid w:val="000861D1"/>
    <w:rPr>
      <w:rFonts w:ascii="Verdana" w:hAnsi="Verdana" w:hint="default"/>
      <w:color w:val="000000"/>
      <w:sz w:val="14"/>
      <w:szCs w:val="14"/>
    </w:rPr>
  </w:style>
  <w:style w:type="paragraph" w:styleId="CommentText">
    <w:name w:val="annotation text"/>
    <w:basedOn w:val="Normal"/>
    <w:link w:val="CommentTextChar"/>
    <w:uiPriority w:val="99"/>
    <w:unhideWhenUsed/>
    <w:rsid w:val="000861D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0861D1"/>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61582F"/>
    <w:rPr>
      <w:sz w:val="20"/>
      <w:szCs w:val="20"/>
    </w:rPr>
  </w:style>
  <w:style w:type="character" w:customStyle="1" w:styleId="FootnoteTextChar">
    <w:name w:val="Footnote Text Char"/>
    <w:basedOn w:val="DefaultParagraphFont"/>
    <w:link w:val="FootnoteText"/>
    <w:uiPriority w:val="99"/>
    <w:semiHidden/>
    <w:rsid w:val="0061582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1582F"/>
    <w:rPr>
      <w:vertAlign w:val="superscript"/>
    </w:rPr>
  </w:style>
  <w:style w:type="character" w:styleId="CommentReference">
    <w:name w:val="annotation reference"/>
    <w:basedOn w:val="DefaultParagraphFont"/>
    <w:uiPriority w:val="99"/>
    <w:semiHidden/>
    <w:unhideWhenUsed/>
    <w:rsid w:val="0061582F"/>
    <w:rPr>
      <w:sz w:val="16"/>
      <w:szCs w:val="16"/>
    </w:rPr>
  </w:style>
  <w:style w:type="paragraph" w:styleId="CommentSubject">
    <w:name w:val="annotation subject"/>
    <w:basedOn w:val="CommentText"/>
    <w:next w:val="CommentText"/>
    <w:link w:val="CommentSubjectChar"/>
    <w:uiPriority w:val="99"/>
    <w:semiHidden/>
    <w:unhideWhenUsed/>
    <w:rsid w:val="0061582F"/>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61582F"/>
    <w:rPr>
      <w:rFonts w:ascii="Times New Roman" w:eastAsia="Times New Roman" w:hAnsi="Times New Roman" w:cs="Times New Roman"/>
      <w:b/>
      <w:bCs/>
      <w:sz w:val="20"/>
      <w:szCs w:val="20"/>
      <w:lang w:eastAsia="lv-LV"/>
    </w:rPr>
  </w:style>
  <w:style w:type="paragraph" w:styleId="NoSpacing">
    <w:name w:val="No Spacing"/>
    <w:uiPriority w:val="1"/>
    <w:qFormat/>
    <w:rsid w:val="00134C8B"/>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482">
      <w:bodyDiv w:val="1"/>
      <w:marLeft w:val="0"/>
      <w:marRight w:val="0"/>
      <w:marTop w:val="0"/>
      <w:marBottom w:val="0"/>
      <w:divBdr>
        <w:top w:val="none" w:sz="0" w:space="0" w:color="auto"/>
        <w:left w:val="none" w:sz="0" w:space="0" w:color="auto"/>
        <w:bottom w:val="none" w:sz="0" w:space="0" w:color="auto"/>
        <w:right w:val="none" w:sz="0" w:space="0" w:color="auto"/>
      </w:divBdr>
      <w:divsChild>
        <w:div w:id="1312951852">
          <w:marLeft w:val="-225"/>
          <w:marRight w:val="-225"/>
          <w:marTop w:val="0"/>
          <w:marBottom w:val="0"/>
          <w:divBdr>
            <w:top w:val="none" w:sz="0" w:space="0" w:color="auto"/>
            <w:left w:val="none" w:sz="0" w:space="0" w:color="auto"/>
            <w:bottom w:val="none" w:sz="0" w:space="0" w:color="auto"/>
            <w:right w:val="none" w:sz="0" w:space="0" w:color="auto"/>
          </w:divBdr>
          <w:divsChild>
            <w:div w:id="1950774789">
              <w:marLeft w:val="0"/>
              <w:marRight w:val="0"/>
              <w:marTop w:val="0"/>
              <w:marBottom w:val="0"/>
              <w:divBdr>
                <w:top w:val="none" w:sz="0" w:space="0" w:color="auto"/>
                <w:left w:val="none" w:sz="0" w:space="0" w:color="auto"/>
                <w:bottom w:val="none" w:sz="0" w:space="0" w:color="auto"/>
                <w:right w:val="none" w:sz="0" w:space="0" w:color="auto"/>
              </w:divBdr>
            </w:div>
          </w:divsChild>
        </w:div>
        <w:div w:id="297614720">
          <w:marLeft w:val="-225"/>
          <w:marRight w:val="-225"/>
          <w:marTop w:val="0"/>
          <w:marBottom w:val="0"/>
          <w:divBdr>
            <w:top w:val="none" w:sz="0" w:space="0" w:color="auto"/>
            <w:left w:val="none" w:sz="0" w:space="0" w:color="auto"/>
            <w:bottom w:val="none" w:sz="0" w:space="0" w:color="auto"/>
            <w:right w:val="none" w:sz="0" w:space="0" w:color="auto"/>
          </w:divBdr>
          <w:divsChild>
            <w:div w:id="1059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134">
      <w:bodyDiv w:val="1"/>
      <w:marLeft w:val="0"/>
      <w:marRight w:val="0"/>
      <w:marTop w:val="0"/>
      <w:marBottom w:val="0"/>
      <w:divBdr>
        <w:top w:val="none" w:sz="0" w:space="0" w:color="auto"/>
        <w:left w:val="none" w:sz="0" w:space="0" w:color="auto"/>
        <w:bottom w:val="none" w:sz="0" w:space="0" w:color="auto"/>
        <w:right w:val="none" w:sz="0" w:space="0" w:color="auto"/>
      </w:divBdr>
      <w:divsChild>
        <w:div w:id="1365054162">
          <w:marLeft w:val="0"/>
          <w:marRight w:val="0"/>
          <w:marTop w:val="0"/>
          <w:marBottom w:val="0"/>
          <w:divBdr>
            <w:top w:val="none" w:sz="0" w:space="0" w:color="auto"/>
            <w:left w:val="none" w:sz="0" w:space="0" w:color="auto"/>
            <w:bottom w:val="none" w:sz="0" w:space="0" w:color="auto"/>
            <w:right w:val="none" w:sz="0" w:space="0" w:color="auto"/>
          </w:divBdr>
        </w:div>
      </w:divsChild>
    </w:div>
    <w:div w:id="278992358">
      <w:bodyDiv w:val="1"/>
      <w:marLeft w:val="0"/>
      <w:marRight w:val="0"/>
      <w:marTop w:val="0"/>
      <w:marBottom w:val="0"/>
      <w:divBdr>
        <w:top w:val="none" w:sz="0" w:space="0" w:color="auto"/>
        <w:left w:val="none" w:sz="0" w:space="0" w:color="auto"/>
        <w:bottom w:val="none" w:sz="0" w:space="0" w:color="auto"/>
        <w:right w:val="none" w:sz="0" w:space="0" w:color="auto"/>
      </w:divBdr>
    </w:div>
    <w:div w:id="407504035">
      <w:bodyDiv w:val="1"/>
      <w:marLeft w:val="0"/>
      <w:marRight w:val="0"/>
      <w:marTop w:val="0"/>
      <w:marBottom w:val="0"/>
      <w:divBdr>
        <w:top w:val="none" w:sz="0" w:space="0" w:color="auto"/>
        <w:left w:val="none" w:sz="0" w:space="0" w:color="auto"/>
        <w:bottom w:val="none" w:sz="0" w:space="0" w:color="auto"/>
        <w:right w:val="none" w:sz="0" w:space="0" w:color="auto"/>
      </w:divBdr>
      <w:divsChild>
        <w:div w:id="1213079415">
          <w:marLeft w:val="0"/>
          <w:marRight w:val="0"/>
          <w:marTop w:val="0"/>
          <w:marBottom w:val="0"/>
          <w:divBdr>
            <w:top w:val="none" w:sz="0" w:space="0" w:color="auto"/>
            <w:left w:val="none" w:sz="0" w:space="0" w:color="auto"/>
            <w:bottom w:val="none" w:sz="0" w:space="0" w:color="auto"/>
            <w:right w:val="none" w:sz="0" w:space="0" w:color="auto"/>
          </w:divBdr>
        </w:div>
      </w:divsChild>
    </w:div>
    <w:div w:id="503014593">
      <w:bodyDiv w:val="1"/>
      <w:marLeft w:val="0"/>
      <w:marRight w:val="0"/>
      <w:marTop w:val="0"/>
      <w:marBottom w:val="0"/>
      <w:divBdr>
        <w:top w:val="none" w:sz="0" w:space="0" w:color="auto"/>
        <w:left w:val="none" w:sz="0" w:space="0" w:color="auto"/>
        <w:bottom w:val="none" w:sz="0" w:space="0" w:color="auto"/>
        <w:right w:val="none" w:sz="0" w:space="0" w:color="auto"/>
      </w:divBdr>
      <w:divsChild>
        <w:div w:id="2032605637">
          <w:marLeft w:val="0"/>
          <w:marRight w:val="0"/>
          <w:marTop w:val="0"/>
          <w:marBottom w:val="0"/>
          <w:divBdr>
            <w:top w:val="none" w:sz="0" w:space="0" w:color="auto"/>
            <w:left w:val="none" w:sz="0" w:space="0" w:color="auto"/>
            <w:bottom w:val="none" w:sz="0" w:space="0" w:color="auto"/>
            <w:right w:val="none" w:sz="0" w:space="0" w:color="auto"/>
          </w:divBdr>
        </w:div>
      </w:divsChild>
    </w:div>
    <w:div w:id="520316714">
      <w:bodyDiv w:val="1"/>
      <w:marLeft w:val="0"/>
      <w:marRight w:val="0"/>
      <w:marTop w:val="0"/>
      <w:marBottom w:val="0"/>
      <w:divBdr>
        <w:top w:val="none" w:sz="0" w:space="0" w:color="auto"/>
        <w:left w:val="none" w:sz="0" w:space="0" w:color="auto"/>
        <w:bottom w:val="none" w:sz="0" w:space="0" w:color="auto"/>
        <w:right w:val="none" w:sz="0" w:space="0" w:color="auto"/>
      </w:divBdr>
      <w:divsChild>
        <w:div w:id="1422291495">
          <w:marLeft w:val="-225"/>
          <w:marRight w:val="-225"/>
          <w:marTop w:val="0"/>
          <w:marBottom w:val="0"/>
          <w:divBdr>
            <w:top w:val="none" w:sz="0" w:space="0" w:color="auto"/>
            <w:left w:val="none" w:sz="0" w:space="0" w:color="auto"/>
            <w:bottom w:val="none" w:sz="0" w:space="0" w:color="auto"/>
            <w:right w:val="none" w:sz="0" w:space="0" w:color="auto"/>
          </w:divBdr>
          <w:divsChild>
            <w:div w:id="1300570173">
              <w:marLeft w:val="0"/>
              <w:marRight w:val="0"/>
              <w:marTop w:val="0"/>
              <w:marBottom w:val="0"/>
              <w:divBdr>
                <w:top w:val="none" w:sz="0" w:space="0" w:color="auto"/>
                <w:left w:val="none" w:sz="0" w:space="0" w:color="auto"/>
                <w:bottom w:val="none" w:sz="0" w:space="0" w:color="auto"/>
                <w:right w:val="none" w:sz="0" w:space="0" w:color="auto"/>
              </w:divBdr>
            </w:div>
          </w:divsChild>
        </w:div>
        <w:div w:id="349647486">
          <w:marLeft w:val="-225"/>
          <w:marRight w:val="-225"/>
          <w:marTop w:val="0"/>
          <w:marBottom w:val="0"/>
          <w:divBdr>
            <w:top w:val="none" w:sz="0" w:space="0" w:color="auto"/>
            <w:left w:val="none" w:sz="0" w:space="0" w:color="auto"/>
            <w:bottom w:val="none" w:sz="0" w:space="0" w:color="auto"/>
            <w:right w:val="none" w:sz="0" w:space="0" w:color="auto"/>
          </w:divBdr>
          <w:divsChild>
            <w:div w:id="18599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627">
      <w:bodyDiv w:val="1"/>
      <w:marLeft w:val="0"/>
      <w:marRight w:val="0"/>
      <w:marTop w:val="0"/>
      <w:marBottom w:val="0"/>
      <w:divBdr>
        <w:top w:val="none" w:sz="0" w:space="0" w:color="auto"/>
        <w:left w:val="none" w:sz="0" w:space="0" w:color="auto"/>
        <w:bottom w:val="none" w:sz="0" w:space="0" w:color="auto"/>
        <w:right w:val="none" w:sz="0" w:space="0" w:color="auto"/>
      </w:divBdr>
    </w:div>
    <w:div w:id="863905331">
      <w:bodyDiv w:val="1"/>
      <w:marLeft w:val="0"/>
      <w:marRight w:val="0"/>
      <w:marTop w:val="0"/>
      <w:marBottom w:val="0"/>
      <w:divBdr>
        <w:top w:val="none" w:sz="0" w:space="0" w:color="auto"/>
        <w:left w:val="none" w:sz="0" w:space="0" w:color="auto"/>
        <w:bottom w:val="none" w:sz="0" w:space="0" w:color="auto"/>
        <w:right w:val="none" w:sz="0" w:space="0" w:color="auto"/>
      </w:divBdr>
    </w:div>
    <w:div w:id="1190030192">
      <w:bodyDiv w:val="1"/>
      <w:marLeft w:val="0"/>
      <w:marRight w:val="0"/>
      <w:marTop w:val="0"/>
      <w:marBottom w:val="0"/>
      <w:divBdr>
        <w:top w:val="none" w:sz="0" w:space="0" w:color="auto"/>
        <w:left w:val="none" w:sz="0" w:space="0" w:color="auto"/>
        <w:bottom w:val="none" w:sz="0" w:space="0" w:color="auto"/>
        <w:right w:val="none" w:sz="0" w:space="0" w:color="auto"/>
      </w:divBdr>
      <w:divsChild>
        <w:div w:id="430324425">
          <w:marLeft w:val="0"/>
          <w:marRight w:val="0"/>
          <w:marTop w:val="0"/>
          <w:marBottom w:val="0"/>
          <w:divBdr>
            <w:top w:val="none" w:sz="0" w:space="0" w:color="auto"/>
            <w:left w:val="none" w:sz="0" w:space="0" w:color="auto"/>
            <w:bottom w:val="none" w:sz="0" w:space="0" w:color="auto"/>
            <w:right w:val="none" w:sz="0" w:space="0" w:color="auto"/>
          </w:divBdr>
        </w:div>
      </w:divsChild>
    </w:div>
    <w:div w:id="1259943004">
      <w:bodyDiv w:val="1"/>
      <w:marLeft w:val="0"/>
      <w:marRight w:val="0"/>
      <w:marTop w:val="0"/>
      <w:marBottom w:val="0"/>
      <w:divBdr>
        <w:top w:val="none" w:sz="0" w:space="0" w:color="auto"/>
        <w:left w:val="none" w:sz="0" w:space="0" w:color="auto"/>
        <w:bottom w:val="none" w:sz="0" w:space="0" w:color="auto"/>
        <w:right w:val="none" w:sz="0" w:space="0" w:color="auto"/>
      </w:divBdr>
      <w:divsChild>
        <w:div w:id="411008254">
          <w:marLeft w:val="0"/>
          <w:marRight w:val="0"/>
          <w:marTop w:val="0"/>
          <w:marBottom w:val="0"/>
          <w:divBdr>
            <w:top w:val="none" w:sz="0" w:space="0" w:color="auto"/>
            <w:left w:val="none" w:sz="0" w:space="0" w:color="auto"/>
            <w:bottom w:val="none" w:sz="0" w:space="0" w:color="auto"/>
            <w:right w:val="none" w:sz="0" w:space="0" w:color="auto"/>
          </w:divBdr>
        </w:div>
      </w:divsChild>
    </w:div>
    <w:div w:id="1449665393">
      <w:bodyDiv w:val="1"/>
      <w:marLeft w:val="0"/>
      <w:marRight w:val="0"/>
      <w:marTop w:val="0"/>
      <w:marBottom w:val="0"/>
      <w:divBdr>
        <w:top w:val="none" w:sz="0" w:space="0" w:color="auto"/>
        <w:left w:val="none" w:sz="0" w:space="0" w:color="auto"/>
        <w:bottom w:val="none" w:sz="0" w:space="0" w:color="auto"/>
        <w:right w:val="none" w:sz="0" w:space="0" w:color="auto"/>
      </w:divBdr>
      <w:divsChild>
        <w:div w:id="1813331363">
          <w:marLeft w:val="-225"/>
          <w:marRight w:val="-225"/>
          <w:marTop w:val="0"/>
          <w:marBottom w:val="0"/>
          <w:divBdr>
            <w:top w:val="none" w:sz="0" w:space="0" w:color="auto"/>
            <w:left w:val="none" w:sz="0" w:space="0" w:color="auto"/>
            <w:bottom w:val="none" w:sz="0" w:space="0" w:color="auto"/>
            <w:right w:val="none" w:sz="0" w:space="0" w:color="auto"/>
          </w:divBdr>
          <w:divsChild>
            <w:div w:id="1445802454">
              <w:marLeft w:val="0"/>
              <w:marRight w:val="0"/>
              <w:marTop w:val="0"/>
              <w:marBottom w:val="0"/>
              <w:divBdr>
                <w:top w:val="none" w:sz="0" w:space="0" w:color="auto"/>
                <w:left w:val="none" w:sz="0" w:space="0" w:color="auto"/>
                <w:bottom w:val="none" w:sz="0" w:space="0" w:color="auto"/>
                <w:right w:val="none" w:sz="0" w:space="0" w:color="auto"/>
              </w:divBdr>
            </w:div>
          </w:divsChild>
        </w:div>
        <w:div w:id="754327253">
          <w:marLeft w:val="-225"/>
          <w:marRight w:val="-225"/>
          <w:marTop w:val="0"/>
          <w:marBottom w:val="0"/>
          <w:divBdr>
            <w:top w:val="none" w:sz="0" w:space="0" w:color="auto"/>
            <w:left w:val="none" w:sz="0" w:space="0" w:color="auto"/>
            <w:bottom w:val="none" w:sz="0" w:space="0" w:color="auto"/>
            <w:right w:val="none" w:sz="0" w:space="0" w:color="auto"/>
          </w:divBdr>
          <w:divsChild>
            <w:div w:id="5427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2654">
      <w:bodyDiv w:val="1"/>
      <w:marLeft w:val="0"/>
      <w:marRight w:val="0"/>
      <w:marTop w:val="0"/>
      <w:marBottom w:val="0"/>
      <w:divBdr>
        <w:top w:val="none" w:sz="0" w:space="0" w:color="auto"/>
        <w:left w:val="none" w:sz="0" w:space="0" w:color="auto"/>
        <w:bottom w:val="none" w:sz="0" w:space="0" w:color="auto"/>
        <w:right w:val="none" w:sz="0" w:space="0" w:color="auto"/>
      </w:divBdr>
    </w:div>
    <w:div w:id="1835757974">
      <w:bodyDiv w:val="1"/>
      <w:marLeft w:val="0"/>
      <w:marRight w:val="0"/>
      <w:marTop w:val="0"/>
      <w:marBottom w:val="0"/>
      <w:divBdr>
        <w:top w:val="none" w:sz="0" w:space="0" w:color="auto"/>
        <w:left w:val="none" w:sz="0" w:space="0" w:color="auto"/>
        <w:bottom w:val="none" w:sz="0" w:space="0" w:color="auto"/>
        <w:right w:val="none" w:sz="0" w:space="0" w:color="auto"/>
      </w:divBdr>
      <w:divsChild>
        <w:div w:id="870266163">
          <w:marLeft w:val="0"/>
          <w:marRight w:val="0"/>
          <w:marTop w:val="0"/>
          <w:marBottom w:val="0"/>
          <w:divBdr>
            <w:top w:val="none" w:sz="0" w:space="0" w:color="auto"/>
            <w:left w:val="none" w:sz="0" w:space="0" w:color="auto"/>
            <w:bottom w:val="none" w:sz="0" w:space="0" w:color="auto"/>
            <w:right w:val="none" w:sz="0" w:space="0" w:color="auto"/>
          </w:divBdr>
        </w:div>
      </w:divsChild>
    </w:div>
    <w:div w:id="1889805572">
      <w:bodyDiv w:val="1"/>
      <w:marLeft w:val="0"/>
      <w:marRight w:val="0"/>
      <w:marTop w:val="0"/>
      <w:marBottom w:val="0"/>
      <w:divBdr>
        <w:top w:val="none" w:sz="0" w:space="0" w:color="auto"/>
        <w:left w:val="none" w:sz="0" w:space="0" w:color="auto"/>
        <w:bottom w:val="none" w:sz="0" w:space="0" w:color="auto"/>
        <w:right w:val="none" w:sz="0" w:space="0" w:color="auto"/>
      </w:divBdr>
      <w:divsChild>
        <w:div w:id="190397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Props1.xml><?xml version="1.0" encoding="utf-8"?>
<ds:datastoreItem xmlns:ds="http://schemas.openxmlformats.org/officeDocument/2006/customXml" ds:itemID="{45A99B6D-5994-406F-B6C5-B3F4F99C08E4}">
  <ds:schemaRefs>
    <ds:schemaRef ds:uri="http://schemas.microsoft.com/sharepoint/v3/contenttype/forms"/>
  </ds:schemaRefs>
</ds:datastoreItem>
</file>

<file path=customXml/itemProps2.xml><?xml version="1.0" encoding="utf-8"?>
<ds:datastoreItem xmlns:ds="http://schemas.openxmlformats.org/officeDocument/2006/customXml" ds:itemID="{0F742B9E-FDF3-4D46-BC48-5B2EB855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9EF0A-3A4E-45B7-B3F2-259369D967FA}">
  <ds:schemaRefs>
    <ds:schemaRef ds:uri="http://schemas.openxmlformats.org/officeDocument/2006/bibliography"/>
  </ds:schemaRefs>
</ds:datastoreItem>
</file>

<file path=customXml/itemProps4.xml><?xml version="1.0" encoding="utf-8"?>
<ds:datastoreItem xmlns:ds="http://schemas.openxmlformats.org/officeDocument/2006/customXml" ds:itemID="{CBBD39A3-F6E2-4C19-8E40-040FFA96EEB0}">
  <ds:schemaRefs>
    <ds:schemaRef ds:uri="http://schemas.microsoft.com/office/2006/metadata/properties"/>
    <ds:schemaRef ds:uri="http://schemas.microsoft.com/office/infopath/2007/PartnerControls"/>
    <ds:schemaRef ds:uri="cd72f480-ad49-4ca5-b9fb-b383de9c0d55"/>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17</Pages>
  <Words>20459</Words>
  <Characters>11663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Sanita Lazdiņa</cp:lastModifiedBy>
  <cp:revision>87</cp:revision>
  <dcterms:created xsi:type="dcterms:W3CDTF">2021-04-20T12:27:00Z</dcterms:created>
  <dcterms:modified xsi:type="dcterms:W3CDTF">2021-09-16T13:18:00Z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