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jaunu rūpnieciski ražotu M1 un N1 kategorijas elektromobiļu iegāde, kuriem atbilstības sertifikātā atbilstoši normatīvajam aktam par riteņu transportlīdzekļu un to sastāvdaļu atbilstības novērtēšanu norādītais nobraukums pilsētas apstākļos starp pilnas uzlādes reizēm ir vismaz 150 km un transportlīdzekļu maksimālais ātrums ir vismaz 90 km/h. Šo noteikumu izpratnē ar jaunu elektromobili saprot automobili, kas ir lietots mazāk par sešiem mēnešiem vai nobraucis mazāk par 6000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nodotajā noteikumu projektā paredzētās papildu izmaiņas (sk. noteikumu 8.1., 8.2. un 8.3. apakšpunktu), pievienojamies Satiksmes ministrijas priekšlikumam un lūdzam sniegt skaidrojumu, vai paredzētās izmaiņas (proti, tas, ka nobraukums norādāms pilsētas apstākļos) attiecas uz jau iesniegtiem pieteikumiem un noslēgtiem līgumiem vai arī būs piemērojamas tikai pieteikumiem, kas tiks iesniegti pēc noteikumu projekta spēkā stāšanās (un attiecīgi līgumiem, kas tiks noslēgti pēc tam). Attiecīgi lūdzam arī, ja nepieciešams, veikt precizējumus projektā, kā arī lūdzam papildināt anotāciju ar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tiesību norma (šo noteikumu 8.3.apakšpunkts) kā izņēmums tiks attiecināta arī uz tiem ārēji lādējamajiem hibrīdauto, kas konkursa ietvaros ir iegādāti no 2021.gada 28.decembra, kad stājās spēkā MK noteikumi Nr. 896 "Emisijas kvotu izsolīšanas instrumenta finansēto projektu atklāta konkursa "Siltumnīcefekta gāzu emisijas samazināšana transporta sektorā – atbalsts bezemisiju un mazemisiju transportlīdzekļu iegādei" nolikums"“, jo ir labvēlīgi atbalsta saņēmējiem un novērš normas nepareizas interpretācijas iespēju. Attiecīgi MK noteikumu projekts ir papildināts ar jaunu noslēguma jautājumu (72.punkts), kā arī sniegts skaidrojums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jaunu rūpnieciski ražotu M1 un N1 kategorijas elektromobiļu iegāde, kuriem atbilstības sertifikātā atbilstoši normatīvajam aktam par riteņu transportlīdzekļu un to sastāvdaļu atbilstības novērtēšanu norādītais nobraukums pilsētas apstākļos starp pilnas uzlādes reizēm ir vismaz 150 km un transportlīdzekļu maksimālais ātrums ir vismaz 90 km/h. Šo noteikumu izpratnē ar jaunu elektromobili saprot automobili, kas ir lietots mazāk par sešiem mēnešiem vai nobraucis mazāk par 6000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pret projekta iesnieguma iesniedzēju vai atbalsta saņēmēju ir vērsta prasība par līdzekļu atgūšanu no citām valsts atbalsta programmām vai projektiem saskaņā ar iepriekšēju Eiropas Komisijas lēmumu, ar ko atbalsts tiek atzīts par nelikumīgu un nesaderīgu ar kopējo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noteikuma projekta 1. punktu norādīts, ka “MK noteikumu 14.2.apakšpunkta svītrošana nepieciešama, jo Latvijā nav uzņēmumu pret kuriem ir vērsta prasība par līdzekļu atgūšanu no citām valsts atbalsta programmām vai projektiem saskaņā ar iepriekšēju Eiropas Komisijas lēmumu, ar ko atbalsts atzīts par nelikumīgu un nesaderīgu ar kopējo tirgu”. Aicinām izvērtēt un sniegt izvērstāku pamatojumu normas svītrošanai, ņemot vērā, ka situācija nākotnē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svītrojot noteikumu 70. punktu (noteikumu projekta 3. punkts), noteikumos Nr. 896 ir iekļauts pietiekams regulējums (sk., piemēram, 67. punktu) par atbalsta atmaksāšanas pienākumu gadījumā, ja pārkāptas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svītrojot noteikumu XIII nodaļu (noteikumu projekta 4. punkts), noteikumos ir pietiekams regulējums attiecībā uz to, kad Vides investīciju fonds pieņem lēmumu par atbalsta piešķiršanu projekta iesniedzējam un izmaksā atbalstu (proti, kādā termiņā, atkarībā no kāda notikuma), un vai nav nepieciešams papildināt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veikt izvērtējumu un nepieciešamības gadījumā aicinām precizēt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tiesību akta sākotnējā novērtējuma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pret projekta iesnieguma iesniedzēju vai atbalsta saņēmēju ir vērsta prasība par līdzekļu atgūšanu no citām valsts atbalsta programmām vai projektiem saskaņā ar iepriekšēju Eiropas Komisijas lēmumu, ar ko atbalsts tiek atzīts par nelikumīgu un nesaderīgu ar kopējo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Grozījumi šo noteikumu 8. punktā attiecībā uz nobraukumu pilsētas apstākļos starp pilnas uzlādes reizēm piemērojami ar 2021. gada 28. 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noteikumu projekts papildināts ar 8. punktu, kas papildina noteikumu noslēguma jautājumus ar 72. punktu, paredzot grozījumu noteikumu 8. punktā piemērošanu ar 2021. gada 28.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grozījumus noteikumu 8. punktā paredzēts piemērot ar atpakaļejošu spēku. Tiesību normas atpakaļvērsts spēks nozīmē, ka tiesību norma tiek attiecināta uz tām situācijām, kuras ir radušās vēl pirms tiesību normas spēkā stāšanās brīža, proti, tā tiek piemērota gan jau pagājušām tiesiskajām attiecībām, gan tādām, kas vēl turpinās. Satversmes tiesa vairākkārt norādījusi, ka no Latvijas Republikas Satversmes 1. panta – kurš atzīstams par vienu no Latvijas Republikas kā demokrātiskas un tiesiskas valsts stūrakmeņiem – izriet virkne tiesiskas valsts principu, tostarp tiesiskās paļāvības princips. Šis princips noteic, ka valsts iestādēm savā darbībā jābūt konsekventām attiecībā uz to izdotajiem normatīvajiem aktiem, jāievēro tiesiskā paļāvība, kas personām varētu rasties saskaņā ar konkrēto tiesību normu. Savukārt indivīds atbilstoši šim principam var paļauties uz likumīgi izdotas tiesību normas pastāvību un nemainīgumu un droši var plānot savu nākotni saistībā ar tiesībām, ko šī norma piešķīrusi.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Demokrātiskā tiesiskā valstī gadījumi, kad tiesību normai tiek noteikts atpakaļejošs spēks, uzskatāmi par izņēmumu.Oficiālo publikāciju un tiesiskās informācijas likuma 9.panta ceturtā daļa noteic, ka normatīvajiem aktiem nav atpakaļejoša spēka, izņemot likumā īpaši paredzētus gadījumus. Pamatā tiesību normai atpakaļejošu spēku nevar piešķirt, jo tas izriet no tiesiskas valsts principa, kas pieprasa nodrošināt uzticību tiesībām un tiesisko drošību. Tiesību normai izņēmuma gadījumā var paredzēt atpakaļvērstu spēku, ja tā paredz labvēlīgākas sekas nekā iepriekš bijušas noteiktas, kā arī tad, ja ir pietiekams pamats ierobežot indivīda uzticību tiesībām. Šādā gadījumā likumdevējam ir jāparedz pārejas noteikumi vai atlīdzinājums.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8. punktu anotācijā skaidrots: "MK noteikumu papildināšana ar 72.punktu nepieciešama, lai precizētu, ka tiesību normas (šo noteikumu 8.1., 8.2. un 8.3.apakšpunkts) tiks attiecinātas arī uz tiem elektromobiļiem un ārēji lādējamiem hibrīdauto, kuri ir pārdoti fiziskām personām pirms šo noteikumu projekta (grozījumu) spēkā stāšanās, t.i. pēc MK noteikumu spēkā stāšanās dienas (2021.gada 28.decembra) jeb pēc līguma par projekta īstenošanu starp SIA “Vides investīciju fonds” un komersantu (autotirgotāju) noslēgšanas. Tiesību norma novērš interpretācijas iespējas un ir labvēlīga fiziskajām personām, kuras iegādājās minētos transportlīdzekļus, it īpaši tas ir attiecināms uz ārēji lādējamiem hibrīdauto."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tiesību normai izņēmuma gadījumā var paredzēt atpakaļvērstu spēku, ja tā paredz labvēlīgākas sekas nekā iepriekš bijušas noteiktas, taču tam ir nepieciešams pienācīgs pamatojums. Vēršam uzmanību, ka no anotācijā minētā skaidrojuma šāds pienācīgs un izvērsts pamatojums šobrīd neizriet. Nav skaidrs, kādā veidā pārejas noteikums ietekmēs fiziskās un juridiskās personas attiecībā uz noteikumu projekta mērķa izpildi un kā tieši tas ietekmēs jau noslēgtos līgumus (un kā tas vispār var tos ietekmēt, ņemot vērā, ka auto ir pārdoti, kā arī ņemot vērā noteikumu XI nodaļas regulējumu). Turklāt nav skaidrots, kādas interpretācijas iespējas ir novērstas (proti, kādēļ iepriekšējā 8. punkta redakcija nav bijusi pilnīga un kā tad iepriekš ticis norādīts nobraukums starp pilnām uzlādēm) un kā tieši izpaužas labvēlīgā ietekme uz fiziskajām personām, kā arī nav skaidrota ietekme uz projekta iesnieguma iesniedzējiem. Vēršam uzmanību, ka anotācijas 2.1. sadaļā ir minēta pretrunīga informācija, norādot, ka projekts tieši neietekmē fiziskas personas un neietekmē nelabvēlīgi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sniegt izvērstāku pamatojumu anotācijā, nepieciešamības gadījumā precizējot projektu. Vēršam uzmanību, ka personām, iepazīstoties ar jauno regulējumu, ir jābūt skaidram, kā tas ietekmē viņu jau esošās saistības. Aicinām arī sniegt informāciju, vai notikušas kādas konsultācijas ar projektu iesniedzējiem un atbalsta saņēmējiem attiecībā uz paredzēto regulējumu un kādi viedokļi tikuši sniegti. Papildus aicinām izvērtēt iespēju precizēt noteikumu projekta 8. punktu, konkrēti to attiecinot uz grozījumiem 8.1., 8.2. un 8.3.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detalizēts skaidrojums tiesību akta sākotnējā novērtējuma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Grozījums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piemērojams ar 2021. gada 28. 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1.pielikuma 2.2.apakšsadaļas tabulas 4.punktu ar vārdiem “pilsētas apstākļos”, lai nerastos domstarpības par atbilstību noteikumu 8.1., 8.2. un 8.3.apakšpunktiem.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nobraukums starp pilnās uzlādes reizēm pilsētas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1.pielikuma 2.2.apakšsadaļas tabulas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Eiropas Komisijas 2022. gada 4. marta vēstuli lietā Nr.SA.101425 (2022/N) un tās saistību ar noteikumu projektā paredzēto regulējumu iekļaut arī anotācijas 5.3. sadaļā “Cita informācija”. Attiecīgi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sākotnējā novērtējuma 5.3.sadaļa.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precizēt noteikumos ietvertās konkursa ietvaros atbalstāmās aktivitātes (precizējot noteikumu projekta 8.1., 8.2. un 8.3.apakšpunktu), lūdzam papildināt noteikumu projekta anotāciju ar skaidrojumu, kā minētie grozījumi noteikumu 8.1., 8.2. un 8.3.apakšpunktā ietekmē jau noslēgtos līgumus (tos ietekmē vai neietekmē, ja ietekmē, tad kādā apmērā) par noteikumu projekta mērķa izpildi (atbalsts elektrotransportlīdzekļu ieviešanai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2.1.sadaļā ir ietverta informācija, ka noteikumu grozījumi tiks attiecināti uz projektu iesniedzējiem –komersantiem, tomēr tiesiskais regulējums negatīvi neietekmēs juridiskās personas. Ņemot vērā minēto, lūdzam precizēt noteikumu projekta anotācijas 2.1.sadaļu, norādot, vai jaunais regulējums ietekmēs jau noslēgtos līgumus vai arī tiks attiecināts uz līgumiem, kas tiks noslēgti pēc noteikumu projekta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tiesību norma (šo noteikumu 8.3.apakšpunkts) kā izņēmums tiks attiecināta arī uz tiem ārēji lādējamajiem hibrīdauto, kas konkursa ietvaros ir iegādāti no 2021.gada 28.decembra, kad stājās spēkā MK noteikumi Nr. 896 "Emisijas kvotu izsolīšanas instrumenta finansēto projektu atklāta konkursa "Siltumnīcefekta gāzu emisijas samazināšana transporta sektorā – atbalsts bezemisiju un mazemisiju transportlīdzekļu iegādei" nolikums"“, jo ir labvēlīgi atbalsta saņēmējiem un novērš normas nepareizas interpretācijas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ir papildināts ar jaunu noslēguma jautājumu (72.punkts), kā arī sniegts skaidrojums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vai nu svītrot anotācijas 4.2. sadaļā iekļauto Krimināllikuma pantu uzskaitījumu, vai nu skaidrot uzskaitījuma saistību ar noteikumu projektu un anotācijas 4. sadaļā iekļaujamo informāciju. Vēršam uzmanību, ka 4. sadaļā norāda informāciju par projekta ietekmi uz tiesību normu sistēmu (piemēram, norāda tiesību aktu projektus, kuru izstrādāšanai paredzēts pilnvarojums projektā, citus spēkā esošus (vai jau apstiprinātus) tiesību aktus, kuros jāizdara grozījumi vai kuri jāatzīst par spēku zaudējušiem (atceltiem) saistībā ar projektu, vai saistītos tiesību aktu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izvērstāku skaidrojumu, vai, ņemot vērā noteikumu projektā paredzēto noteikumu 70. punkta svītrošanu, nav nepieciešams noteikumus papildināt ar normu, kas paredz vispārīgu atbalsta atmaksāšanas pienākumu noteikumu pārkāpumu gadījumā (salīdzinājumam sk., piemēram, 67. un 68. punktu, kas attiecas tikai uz konkrētu noteikumu vienību pārkāpumu, bet neattiecas vispārīgi uz jebkādu noteikumu normu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tiesību akta sākotnējā novērtējuma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70.punkts attiecas uz projekta īstenotājiem - komersantiem, savukārt 67. un 68.punkts attiecas uz atbalsta saņēmējiem - fiziskām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2022.gada 28.jūnija atzinumā izteica priekšlikumu, kurā tika aicināts sniegt skaidrojošu informāciju, kā jaunais regulējums ietekmēs jau noslēgtos līgumus vai arī tiks attiecināts uz līgumiem, kas tiks noslēgti pēc noteikumu projekta pieņemšanas. Vēršam uzmanību, ka noteikumu projekta anotācijā norādīts, ka precizētās tiesību normas tiks attiecinātas arī uz tiem elektromobiļiem un ārēji lādējamajiem hibrīdauto, kuri ir pārdoti fiziskām personām pirms šo noteikumu projekta (grozījumu) spēkā stāšanās, proti, pēc MK noteikumu spēkā stāšanās dienas jeb pēc līguma par projekta īstenošanu starp SIA “Vides investīciju fonds” un komersantu (autotirgotāju) noslēgšanas.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arī Tieslietu ministrija savā 2022.gada 28.jūnija atzinumā, tiesību normas nevar piemērot ar atpakaļejošu spēku, kas, savukārt, nozīmē, ka tiesību norma tiek attiecināta uz tām situācijām, kas ir radušās vēl pirms tiesību normas spēkā stāšanās brīža, proti, tā tiek piemērota gan pagājušām tiesiskajām attiecībām, gan tādām, kas vēl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atkārtoti vērš uzmanību uz nepieciešamību izvērtēt, vai noteikumu projektā ietverto tiesību normu piemērošana var būt ar atpakaļejošu spēku. Attiecīgi aicinām papildināt noteikumu projekta anotāciju ar skaidrojumu, kā šāds regulējums tiks piemērots praksē, kā arī, vai tas neradīs pretrunas, kādas cita starpā ir norādījusi Tieslietu ministrija savā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detalizēts skaidrojums tiesību akta sākotnējā novērtējuma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8. un 72.punkts.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"MK noteikumu projekta 8.punkta apakšpunktu redakcija ir </w:t>
            </w:r>
            <w:r w:rsidR="00000000" w:rsidRPr="00000000" w:rsidDel="00000000">
              <w:rPr>
                <w:u w:val="single"/>
                <w:rtl w:val="0"/>
              </w:rPr>
              <w:t xml:space="preserve">labvēlīga projektu īstenotājiem</w:t>
            </w:r>
            <w:r w:rsidR="00000000" w:rsidRPr="00000000" w:rsidDel="00000000">
              <w:rPr>
                <w:rtl w:val="0"/>
              </w:rPr>
              <w:t xml:space="preserve">, jo nodrošina tiesisku skaidrību un  labvēlīgākas sekas iedzīvotājiem un komersantiem, t.i.  uzņēmumi, kas konkursa ietvaros jau ir pārdevuši  iedzīvotājiem ārēji lādējamos hibrīdauto varēs  kvalificēties atbalstam, ja tie  atbilst precizētās tiesību normas prasībām." Savukārt anotācijas 2.1. sadaļā minēta pretrunīga informācija: "Tiesiskais regulējums </w:t>
            </w:r>
            <w:r w:rsidR="00000000" w:rsidRPr="00000000" w:rsidDel="00000000">
              <w:rPr>
                <w:u w:val="single"/>
                <w:rtl w:val="0"/>
              </w:rPr>
              <w:t xml:space="preserve">var negatīvi ietekmēt j</w:t>
            </w:r>
            <w:r w:rsidR="00000000" w:rsidRPr="00000000" w:rsidDel="00000000">
              <w:rPr>
                <w:rtl w:val="0"/>
              </w:rPr>
              <w:t xml:space="preserve">uridiskās personas – projektu īstenotājus, kas jau ir pārdevuši ārēji lādējamus hibrīdauto atbilstoši spēkā esošo MK noteikumu 8.3.apakšpunktam, bet MK noteikumu projekta konkrētais punkts </w:t>
            </w:r>
            <w:r w:rsidR="00000000" w:rsidRPr="00000000" w:rsidDel="00000000">
              <w:rPr>
                <w:u w:val="single"/>
                <w:rtl w:val="0"/>
              </w:rPr>
              <w:t xml:space="preserve">nestājas spēkā ar </w:t>
            </w:r>
            <w:r w:rsidR="00000000" w:rsidRPr="00000000" w:rsidDel="00000000">
              <w:rPr>
                <w:rtl w:val="0"/>
              </w:rPr>
              <w:t xml:space="preserve">2021.gada 28.decembri." Ņemot vērā anotācijas 1.3. sadaļā ietvertos skaidrojumus, kā arī noteikumu projektā paredzēto regulējumu, aicinām precizēt anotācijas 2.1. sadaļu, nodrošinot konsekventu skaidrojumu par noteikumu projekta 9. punktā izteiktā noteikumu 72. punkta </w:t>
            </w:r>
            <w:r w:rsidR="00000000" w:rsidRPr="00000000" w:rsidDel="00000000">
              <w:rPr>
                <w:u w:val="single"/>
                <w:rtl w:val="0"/>
              </w:rPr>
              <w:t xml:space="preserve">labvēlīgumu</w:t>
            </w:r>
            <w:r w:rsidR="00000000" w:rsidRPr="00000000" w:rsidDel="00000000">
              <w:rPr>
                <w:rtl w:val="0"/>
              </w:rPr>
              <w:t xml:space="preserve"> attiecībā gan uz fiziskajām personām (atbalsta saņēmējiem), gan juridiskām personām (projektu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projekta īstenotājs ir pārkāpis šajos noteikumos un Eiropas Komisijas lēmuma par saderību ar Eiropas Savienības iekšējo tirgu prasības, projekta īstenotājam ir pienākums atmaksāt Vides investīciju fondam visu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vai, ņemot vērā noteikumu projektā paredzēto noteikumu 70. punkta svītrošanu, nav nepieciešams noteikumus papildināt ar normu, kas paredz vispārīgu atbalsta atmaksāšanas pienākumu projekta īstenotājam noteikumu pārkāpumu gadījumā (salīdzinājumam sk., piemēram, 67. un 68. punktu, kas attiecas uz atbalsta saņēmēju).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projekta īstenotājs ir pārkāpis šajos noteikumos un Eiropas Komisijas lēmuma par saderību ar Eiropas Savienības iekšējo tirgu prasības, projekta īstenotājam ir pienākums atmaksāt Vides investīciju fondam visu projekta ietvaros saņemto komercdarbības atbalstu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Grozījums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piemērojams sākot ar 2021. gada 28. 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9. punktā izteiktajā noteikumu 72. punktā svītrot vārdu "sākot".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Grozījums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piemērojams ar 2021. gada 28. decembri.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22-TA-1109</w:t>
    </w:r>
    <w:r>
      <w:br/>
    </w:r>
    <w:r w:rsidR="00000000" w:rsidRPr="00000000" w:rsidDel="00000000">
      <w:rPr>
        <w:rtl w:val="0"/>
      </w:rPr>
      <w:t xml:space="preserve">14.09.2022. 09.38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22-TA-1109</w:t>
    </w:r>
    <w:r>
      <w:br/>
    </w:r>
    <w:r w:rsidR="00000000" w:rsidRPr="00000000" w:rsidDel="00000000">
      <w:rPr>
        <w:rtl w:val="0"/>
      </w:rPr>
      <w:t xml:space="preserve">14.09.2022. 09.38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Izziņa_22-TA-1109.docx</dc:title>
</cp:coreProperties>
</file>

<file path=docProps/custom.xml><?xml version="1.0" encoding="utf-8"?>
<Properties xmlns="http://schemas.openxmlformats.org/officeDocument/2006/custom-properties" xmlns:vt="http://schemas.openxmlformats.org/officeDocument/2006/docPropsVTypes"/>
</file>