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22-TA-1428: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Kultūras ministrijas un Krievijas Federācijas Kultūras ministrijas vienošanās par sadarbību denonsēšanu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2022.gada 7.aprīlī starpinstitūciju sanāksmē panākto vienošanos, ierosinām svītrot rindkopu: "Kultūras ministrija uzskata, ka, ņemot vērā situācijas aprakstā norādītos apstākļus, līguma denonsēšanai ir piemērojams Vīnes konvencijas 62.pants. Tomēr, ņemot vērā iepriekš izteiktos Ārlietu ministrijas un Tieslietu ministrijas iebildumus un, lai pēc iespējas ātrāk de jure izbeigtu Vienošanos, Kultūras ministrija piekrīt risinājumam, kas piedāvāts Risinājuma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norādīto, ka iestāžu argumentus un viedokļus, kā arī saskaņošanas rezultātu norāda izziņā, tad Kultūras ministrijas viedokli, ka līguma denonsēšanai ir piemērojams Vīnes konvencijas 62.pants, bet, lai pēc iespējas ātrāk </w:t>
            </w:r>
            <w:r w:rsidR="00000000" w:rsidRPr="00000000" w:rsidDel="00000000">
              <w:rPr>
                <w:i w:val="1"/>
                <w:rtl w:val="0"/>
              </w:rPr>
              <w:t xml:space="preserve">de jure</w:t>
            </w:r>
            <w:r w:rsidR="00000000" w:rsidRPr="00000000" w:rsidDel="00000000">
              <w:rPr>
                <w:rtl w:val="0"/>
              </w:rPr>
              <w:t xml:space="preserve"> izbeigtu Vienošanos un panāktu vienošanos ar Ārlietu ministriju un Tieslietu ministriju, Kultūras ministrija piekrīt risinājumam, kas piedāvāts Projekta anotācijas Risinājuma aprakstā, svītrojam no anotācijas un norādām to izziņā.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1.3.apakšunktā minēto, ka "Kultūras ministrija uzskata, ka, ņemot vērā situācijas aprakstā norādītos apstākļus, līguma denonsēšanai ir piemērojams Vīnes konvencijas 62.pants. Tomēr, ņemot vērā iepriekš izteiktos Ārlietu ministrijas un Tieslietu ministrijas iebildumus un, lai pēc iespējas ātrāk de jure izbeigtu Vienošanos, Kultūras ministrija piekrīt risinājumam, kas piedāvāts Risinājuma aprakstā" norādīt izziņā par noteikumu projekta saskaņošanas laikā iztektajiem iebildumiem. Vēršam uzmanību, ka saskaņošanas laikā izteiktos iestāžu argumentus un viedokļus, kā arī saskaņošanas rezultātu norāda izziņā, nevis normatīvā akta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arī Vīnes konvencijas par starptautisko līgumu tiesībām 62.pantā minētajos apstākļos otra puse saglabā tiesības iebilst pret līguma vienpusēju ārpuskārtas pārtraukšanu, un šādos gadījumos pusēm ir pienākums censties sasniegt noregulējumu saskaņā ar Apvienoto Nāciju Organizācijas Statūtu 33. pantu (t.i., jācenšas atrisināt strīdu sarunu, apsekošanas, starpniecības, samierināšanas, arbitrāžas vai iztiesāšanas ceļā, vai jebkuriem citiem mierīgiem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22-TA-1428</w:t>
    </w:r>
    <w:r>
      <w:br/>
    </w:r>
    <w:r w:rsidR="00000000" w:rsidRPr="00000000" w:rsidDel="00000000">
      <w:rPr>
        <w:rtl w:val="0"/>
      </w:rPr>
      <w:t xml:space="preserve">09.05.2022. 14.42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22-TA-1428</w:t>
    </w:r>
    <w:r>
      <w:br/>
    </w:r>
    <w:r w:rsidR="00000000" w:rsidRPr="00000000" w:rsidDel="00000000">
      <w:rPr>
        <w:rtl w:val="0"/>
      </w:rPr>
      <w:t xml:space="preserve">09.05.2022. 14.42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Izziņa_22-TA-1428.docx</dc:title>
</cp:coreProperties>
</file>

<file path=docProps/custom.xml><?xml version="1.0" encoding="utf-8"?>
<Properties xmlns="http://schemas.openxmlformats.org/officeDocument/2006/custom-properties" xmlns:vt="http://schemas.openxmlformats.org/officeDocument/2006/docPropsVTypes"/>
</file>