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24-TA-1729: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dividendēs izmaksājamo valsts sabiedrības ar ierobežotu atbildību "Daugavpils psihoneiroloģiskā slimnīca" peļņas daļu par 2023. gadu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sabiedrības ar ierobežotu atbildību "Daugavpils psihoneiroloģiskā slimnīca" peļņas daļu par 2023.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nav paskaidrots, kādi apstākļi ir par pamatu, lai Rīkojuma projektā un Anotācijas 1.1. sadaļā iekļautu atsauci uz Ministru kabineta 2022. gada 25. janvāra  noteikumu Nr. 72 “Kārtība, kādā tiek prognozēti, noteikti un veikti maksājumi par valsts kapitāla izmantošanu” (turpmāk – Noteikumi) 9.1.3. punktu, ka valsts kapitāla daļu turētājs iesniedz priekšlikumu par atšķirīgu dividendēs izmaksājamo peļņas daļu, ja ir nepieciešams samazināt dividendēs izmaksājamo peļņas daļu, jo valsts kapitāla daļu turētājs konstatējis, ka iestājies īpašs gadījums, “lai nodrošinātu Eiropas Savienības vai Latvijas Republikas normatīvajos aktos, Latvijai saistošajos starptautiskajos līgumos noteikto prasību izpildi, kapitālsabiedrībai ir pienākums turpmākajos pārskata gados īstenot pasākumus, lai veicinātu kapitālsabiedrības darbības virzieniem atbilstošu pakalpojumu kvalitātes un pieejamības uzlabošanu, kuru nodrošināšanai nepieciešams ieguldīt papildu finanšu līdzekļus vai samazināt pakalpojuma tarifu tā lietotājiem”. VSIA “Daugavpils psihoneiroloģiskā slimnīca” (turpmāk – DPNS) ikdienā lietojamās infrastruktūras uzturēšana un ieguldījumi pamatlīdzekļos nav īpašs gadījums, bet gan plānveida pasākumi, t.i., ieguldījumi Veselības ministrijas īpašumiem – vienojoties līgumā, vai DPNS īpašumā esošajiem – stratēģijas ietvaros un izmantojot amortizācijas uzkrājumus.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DPNS nav izstrādāta un apstiprināta vidēja termiņa darbības stratēģija (turpmāk – stratēģija), kā arī tās projekts nav iesniegts koordinācijas institūcijai atzinuma sniegšanai. Par dividenžu izmaksas apmēra pamatošanu koordinācijas institūcija brīdināja gan DPNS, gan Veselības ministriju savos atzinumos par DPNS finanšu mērķu izpildi 2022. un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ministrija 2024. gada 25. marta vēstulē Nr. 01-12.1/1194, atbildot uz Ministru prezidentes Evikas Siliņas rezolūciju ar lūgumu sniegt informāciju par Veselības ministrijas kapitālsabiedrību gaidu vēstuļu un vidēja termiņa darbības stratēģiju statusiem un plānotajiem izstrādes termiņiem, informēja, ka: “VSIA “Daugavpils psihoneiroloģiskā slimnīca” ……  gaidu vēstuļu un vidēja termiņa darbības stratēģiju izstrāde šobrīd netiek virzīta apstiprināšanai saistībā ar plānoto valsts psihiatrisko slimnīcu pārvaldības reorganizāciju. Tuvākajā laikā izskatīšanai Ministru kabinetā tiks virzīts informatīvais ziņojums par veselības aprūpes stacionāro pakalpojumu pārvaldības attīstību un pilnveidi, kurā tiks ietverta arī informācija par turpmāku psihiatrisko slimnīcu pārvaldību. Līdz ko Ministru kabinetā tiks izskatīts minētais informatīvais ziņojums, tiks pieņemts lēmums par valsts psihiatriskajām slimnīcām definējamiem izaugsmes un attīstības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neesot skaidrai vīzijai par DPNS attīstību nākotnē, kā arī iztrūkstot DPNS gaidu vēstulei un stratēģijai, nav iespējams izsvērti izvērtēt ieguldījumu pamatotību un nav pamata Ministru kabineta lēmumam par atšķirīgu dividendēs izmaksājamo peļņas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situāciju, ka DPNS nav spēkā esošas stratēģijas, bet kapitālsabiedrība 2024. gadā kopā ir plānojusi investīcijas 1 837 461 EUR apmērā, kā arī plānots novirzīt visu peļņu investīcijām, lūdzam Anotācijā precizēt 4.lpp. ietverto skaidrojumu par visu 3.lpp. minēto summu, kas iesniegta arī kā DPNS Finanšu rādītājs "Ar Ministru kabineta lēmumu atstātās peļņas daļas izlietojums, euro" 2024.gadam, kā arī lūdzam ietvert papildu skaidrojumu par pārējām plānotajām DPNS investīcijām 2024.gadā 860 982 EUR apmērā un to finansēšanas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ministrija apliecina, ka Ministru kabinetā tiks virzīts informatīvais ziņojums par turpmāku valsts psihiatrisko slimnīcu pārvaldību, kas ietver arī jautājumu par VSIA “Daugavpils psihoneiroloģiskā slimnīca” (turpmāk – Slimnīca) </w:t>
            </w:r>
            <w:r w:rsidR="00000000" w:rsidRPr="00000000" w:rsidDel="00000000">
              <w:rPr>
                <w:b w:val="1"/>
                <w:rtl w:val="0"/>
              </w:rPr>
              <w:t xml:space="preserve">turpmāku</w:t>
            </w:r>
            <w:r w:rsidR="00000000" w:rsidRPr="00000000" w:rsidDel="00000000">
              <w:rPr>
                <w:rtl w:val="0"/>
              </w:rPr>
              <w:t xml:space="preserve"> </w:t>
            </w:r>
            <w:r w:rsidR="00000000" w:rsidRPr="00000000" w:rsidDel="00000000">
              <w:rPr>
                <w:b w:val="1"/>
                <w:rtl w:val="0"/>
              </w:rPr>
              <w:t xml:space="preserve">pārvaldības</w:t>
            </w:r>
            <w:r w:rsidR="00000000" w:rsidRPr="00000000" w:rsidDel="00000000">
              <w:rPr>
                <w:rtl w:val="0"/>
              </w:rPr>
              <w:t xml:space="preserve"> </w:t>
            </w:r>
            <w:r w:rsidR="00000000" w:rsidRPr="00000000" w:rsidDel="00000000">
              <w:rPr>
                <w:b w:val="1"/>
                <w:rtl w:val="0"/>
              </w:rPr>
              <w:t xml:space="preserve">modeli</w:t>
            </w:r>
            <w:r w:rsidR="00000000" w:rsidRPr="00000000" w:rsidDel="00000000">
              <w:rPr>
                <w:rtl w:val="0"/>
              </w:rPr>
              <w:t xml:space="preserve">. Ministrija uzsver, ka šis process nebūs saistīts ar </w:t>
            </w:r>
            <w:r w:rsidR="00000000" w:rsidRPr="00000000" w:rsidDel="00000000">
              <w:rPr>
                <w:b w:val="1"/>
                <w:rtl w:val="0"/>
              </w:rPr>
              <w:t xml:space="preserve">Slimnīcas pamatdarbības maiņu,</w:t>
            </w:r>
            <w:r w:rsidR="00000000" w:rsidRPr="00000000" w:rsidDel="00000000">
              <w:rPr>
                <w:rtl w:val="0"/>
              </w:rPr>
              <w:t xml:space="preserve"> proti, </w:t>
            </w:r>
            <w:r w:rsidR="00000000" w:rsidRPr="00000000" w:rsidDel="00000000">
              <w:rPr>
                <w:b w:val="1"/>
                <w:rtl w:val="0"/>
              </w:rPr>
              <w:t xml:space="preserve">Slimnīca turpinās sniegt garīgās veselības un ilgstošas sociālās aprūpes un sociālās rehabilitācijas  pakalpojumus </w:t>
            </w:r>
            <w:r w:rsidR="00000000" w:rsidRPr="00000000" w:rsidDel="00000000">
              <w:rPr>
                <w:rtl w:val="0"/>
              </w:rPr>
              <w:t xml:space="preserve">(turpmāk – sociālās aprūpes institūcija)</w:t>
            </w:r>
            <w:r w:rsidR="00000000" w:rsidRPr="00000000" w:rsidDel="00000000">
              <w:rPr>
                <w:b w:val="1"/>
                <w:rtl w:val="0"/>
              </w:rPr>
              <w:t xml:space="preserve"> garīgi slimiem pacientiem.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Slimnīcā ir 350 stacionāra un 75 ambulatorās dienas stacionāra gultas. Gada laikā slimnīcā iestājas ap 4 tūkstoši stacionāro pacientu, tiek sniegtas ap 20 tūkstoši ambulatorās konsultācijas. Slimnīcā funkcionē 10 stacionārās nodaļas, Ambulatorā psihiskās ve­selības aprūpes nodaļa, neatliekamās medicīniskās palīdzī­bas un pacientu uzņemšanas nodaļa, Ārstnieciski diagnostiskā nodaļa, aptieka, dienas stacionārs, ilgstošas so­ciālās aprūpes un sociālās rehabilitācijas institūcija, rehabili­tācijas nodaļa. Sociālās aprūpes institūcijā dzīvo 177 klienti ar garīgās veselības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šos datus, nav pamata apšaubīt Slimnīcas turpmāku attīstību tieši psihiskās veselības un sociālās aprūpes institūcijas pakalpojumu turpmākā nepieciešamībā, ar mērķi nodrošināt ES standartiem atbilstošu garīgās veselības aprūpi, tostarp, nodrošinot  mūsdienu prasībām atbilstošas infrastruktūras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Slimnīcas infrastruktūras atjaunošana ir vērtējama ne tikai kā ikdienas vajadzību nodrošināšana, bet gan kā īpašs pasākumu kopums, lai Slimnīca varētu turpināt attīstīties un sniegt tādus pakalpojumus, kas nodrošinātu pacientiem saņemt valsts garantētos ga­rīgās veselības aprūpes pakalpojumus, kuru kvalitāte at­bilst valsts sociāli ekonomiskās attīstības līmenim. Konkrētajā gadījumā infrastruktūras attīstība ir ciešā sasaistē ar psihiskās veselības un sociālas aprūpes institūcijas pakalpojumu nodrošināšanu, turklāt, ne tikai Latgales reģiona iedzīvotājiem, bet arī visas valsts iedzīvotājiem, it īpaši ilgstošas sociālās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Slimnīcai nav apstiprināta vidēja termiņa darbības stratēģija un gaidu vēstule, Slimnīcas kapitāla daļu turētājs apstiprina Slimnīcas ikgadējos nefinanšu un finanšu mērķus, kas tiek iesniegti arī Valsts kancelejā, un no kuriem skaidri ir redzams augstāk minētais Slimnīcas attīstības virziens.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pielikumā sniegta detalizēta informācija par 2024.gadā plānotajām investīcijām, 2023.gada peļņas izlietojumu un sadalījumu par finanšu avotiem. Attiecīgi precizēta anotācija un rīkojums attiecībā par visas 2023.gada peļņas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sabiedrības ar ierobežotu atbildību "Daugavpils psihoneiroloģiskā slimnīca" peļņas daļu par 2023.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“Pašreizējā situācija, problēmas un risinājumi” punktā “Pašreizējā situācija” norādīts, ka gada darbības rezultātu ietekmēja gan valsts sniegtais atbalsts ēdināšanas izmaksu pieauguma kompensācijai, piemaksa par veselības aprūpes pakalpojumu nepārtrauktības nodrošināšanu, rehabilitācijas komandas darbs psihiatrijas iestādēs. Ņemot vērā minēto, nepieciešams anotācijā sniegt detalizētu skaidrojumu, kāpēc šāda situācija ir izveidojusies, ka valsts apmaksātajos tarifos ir noteiktas izmaksas (izmaksai “E – izdevumi, saistīti ar pacientu ēdināšanu”), kas pārsniedz faktiskās izmaksas, kā rezultātā kapitālsabiedrībai izveidojot peļņu.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papildinot to ar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uz to, ka piešķirtais valsts budžeta finansējums veselības aprūpes pakalpojumu nodrošināšanai nav pietiekams, lai nosegtu visas ar pakalpojumu nodrošināšanu saistītas izmaksas, un līdz ar to veselības aprūpes pakalpojumu tarifs ir noteikts tādā apmērā, lai iekļautos kopējā piešķirtā finansējumā. Tā rezultātā ārstniecības iestāžu spējas uzkrāt finanšu līdzekļus, piemēram, kārtējiem remontiem, iekārtu iegādei utt., ir ierobežotas, kā arī atsevišķajos gadījumos tās spiestas nodarbināt mazāku skaitu personālu, nekā attiecīgā pakalpojuma sniegšanai būtu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2023. gada sākumā savus izdevumus plānoja tā, lai iekļautos Nacionālā veselības dienesta finanšu paziņojumā norādītajā finansējuma apmērā, kā rezultātā ārstniecības iestādes bija spiestas samazināt izdevumus vienā pozīcijā (tarifa elementā), lai nosegtu tos izdevumus, kurus nav iespējams samazināt.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iepriekšējo gadu datiem par cenu pieaugumu precēm un pakalpojumiem, 2023.gadā Nacionālais veselības dienests piešķīra papildus līdzekļus ēdināšanas un uzturēšanas izdevumu segšanai. Atbilstoši esošajai veselības aprūpes pakalpojumu apmaksas sistēmai šie finanšu līdzekļi tikai novirzīti tarifa elementu E (ēdināšanas izdevumi) un U (uzturēšanas izdevumi) pārskatīšanai un samaksāti ārstniecības iestādēm pēc vienādiem principiem, t.i. atbilstoši gultas dienu skaitam. Lai ievērotu vienlīdzības principu, netika vērtēts, vai ārstniecības iestāde ir atradusi iespēju šiem izdevumiem novirzīt izdevumus no citiem tarifa elementiem vai nav to veikusi.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secināms, ka galvenais Kapitālsabiedrības peļņas rašanās iemesls 2023. gadā bija Kapitālsabiedrības ieviestie taupības režīma pasākumi 2023. gada pirmajā pusgadā tajās izdevumu un ieguldījumu pozīcijās, kur tas bija iespējams. Saņemot papildus līdzekļus ēdināšanas un uzturēšanas izdevumu segšanai, Kapitālsabiedrība nebija nepieciešams veikt izdevumu pārstrukturizāciju papildus piešķirto līdzekļu apjomā, ņemot vērā 2023. gada pirmajā pusgadā jau ietaupītos 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“Pašreizējā situācija, problēmas un risinājumi” punktā “Pašreizējā situācija” norādīts, ka kapitālsabiedrības 2023.gada gūtā peļņa  ir veidojusies lielāka sniegto valsts apmaksāto veselības aprūpes pakalpojumu apjoma rezultātā, kā arī no 2023.gada pēdējos mēnešos neplānoti piešķirtā papildus finansējuma un, pieaugot sniegto pakalpojumu apjomam, peļņa palielinās, jo fiksētās vai daļēji fiksētās izmaksas, kas ir lielākā daļa no pakalpojumu sniegšanas izmaksām, nepalielinās tādā apmērā, kā ieņēmumi. Ņemot vērā minēto, nepieciešams anotācijā sniegt detalizētu skaidrojumu, kāpēc šāda situācija ir izveidojusies, ka valsts apmaksātajos tarifos ir noteiktas izmaksas, kas pārsniedz faktiskās izmaksas, kā rezultātā kapitālsabiedrībai būtiski palielinot ieņēmumus un attiecīgi izveidojot peļņu.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papildinot to ar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uz to, ka piešķirtais valsts budžeta finansējums veselības aprūpes pakalpojumu nodrošināšanai nav pietiekams, lai nosegtu visas ar pakalpojumu nodrošināšanu saistītas izmaksas, un līdz ar to veselības aprūpes pakalpojumu tarifs ir noteikts tādā apmērā, lai iekļautos kopējā piešķirtā finansējumā. Tā rezultātā ārstniecības iestāžu spējas uzkrāt finanšu līdzekļus, piemēram, kārtējiem remontiem, iekārtu iegādei utt., ir ierobežotas, kā arī atsevišķajos gadījumos tās spiestas nodarbināt mazāku skaitu personālu, nekā attiecīgā pakalpojuma sniegšanai būtu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2023. gada sākumā savus izdevumus plānoja tā, lai iekļautos Nacionālā veselības dienesta finanšu paziņojumā norādītajā finansējuma apmērā, kā rezultātā ārstniecības iestādes bija spiestas samazināt izdevumus vienā pozīcijā (tarifa elementā), lai nosegtu tos izdevumus, kurus nav iespējams samazināt.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iepriekšējo gadu datiem par cenu pieaugumu precēm un pakalpojumiem, 2023.gadā Nacionālais veselības dienests piešķīra papildus līdzekļus ēdināšanas un uzturēšanas izdevumu segšanai. Atbilstoši esošajai veselības aprūpes pakalpojumu apmaksas sistēmai šie finanšu līdzekļi tikai novirzīti tarifa elementu E (ēdināšanas izdevumi) un U (uzturēšanas izdevumi) pārskatīšanai un samaksāti ārstniecības iestādēm pēc vienādiem principiem, t.i. atbilstoši gultas dienu skaitam. Lai ievērotu vienlīdzības principu, netika vērtēts, vai ārstniecības iestāde ir atradusi iespēju šiem izdevumiem novirzīt izdevumus no citiem tarifa elementiem vai nav to veikusi.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secināms, ka galvenais Kapitālsabiedrības peļņas rašanās iemesls 2023. gadā bija Kapitālsabiedrības ieviestie taupības režīma pasākumi 2023. gada pirmajā pusgadā tajās izdevumu un ieguldījumu pozīcijās, kur tas bija iespējams. Saņemot papildus līdzekļus ēdināšanas un uzturēšanas izdevumu segšanai, Kapitālsabiedrība nebija nepieciešams veikt izdevumu pārstrukturizāciju papildus piešķirto līdzekļu apjomā, ņemot vērā 2023. gada pirmajā pusgadā jau ietaupītos 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informāciju, ka “</w:t>
            </w:r>
            <w:r w:rsidR="00000000" w:rsidRPr="00000000" w:rsidDel="00000000">
              <w:rPr>
                <w:i w:val="1"/>
                <w:rtl w:val="0"/>
              </w:rPr>
              <w:t xml:space="preserve">[..] Veselības ministrija ierosina valstij dividendēs izmaksājamo 2023.gada peļņas daļu 625 061,76 euro apmērā novirzīt: telpu pārbūves un teritorijas labiekārtošanas būvprojekta izstrādei Siguldas ielā 24, Daugavpilī; katlu mājas būvniecības projekta izstrādei Siguldas ielā 24, Daugavpilī; maģistrālā ūdensvada, kanalizācijas pārbūvei un teritorijas labiekārtošanai (Aknīste, 2.kārta); medicīnas iekārtu iegādei, t.sk., rentgena iekārtām Daugavpilī un Aknīstē, elektroencefalogrāfijas iekārtai.</w:t>
            </w:r>
            <w:r w:rsidR="00000000" w:rsidRPr="00000000" w:rsidDel="00000000">
              <w:rPr>
                <w:rtl w:val="0"/>
              </w:rPr>
              <w:t xml:space="preserve">”, kā arī anotācijā sniegto skaidrojumu, ka “</w:t>
            </w:r>
            <w:r w:rsidR="00000000" w:rsidRPr="00000000" w:rsidDel="00000000">
              <w:rPr>
                <w:i w:val="1"/>
                <w:rtl w:val="0"/>
              </w:rPr>
              <w:t xml:space="preserve">Kapitālsabiedrības peļņas daļas novirzīšana valsts apmaksāto medicīnisko pakalpojumu nodrošināšanai un uzlabošanai, ir sociāla rakstura pakalpojumi ar tautsaimniecisku nozīmi, kas ir kvalificējams kā valsts atbalsts, kas tiek sniegts saskaņā ar Eiropas komisijas 2011.gada 20.decembra lēmumu Nr.2012/21/ES “Par Līguma par Eiropas Savienības darbību 106.panta 2.punkta piemērošanu valsts atbalstam attiecībā uz kompensāciju par sabiedriskajiem pakalpojumiem dažiem uzņēmumiem, kuriem uzticēts sniegt pakalpojumus ar vispārēju  tautsaimniecisku nozīmi</w:t>
            </w:r>
            <w:r w:rsidR="00000000" w:rsidRPr="00000000" w:rsidDel="00000000">
              <w:rPr>
                <w:rtl w:val="0"/>
              </w:rPr>
              <w:t xml:space="preserve">”", ņemot vērā publiski pieejamo informāciju SIA “Daugavpils psihoneiroloģiskā slimnīca” mājaslapā, ka slimnīca sniedz arī maksas veselības aprūpes pakalpojumus, uz kuru nebūtu attiecināms Eiropas Komisijas lēmums Nr. 2012/21/ES, lūdzam precizēt anotācijā sniegto skaidrojumu, nodrošinot, ka peļņas daļa par 2023. gadu tiek novirzīta plānoto infrastruktūras projektu īstenošanai tikai tādā apmērā, kas atbilst attiecīgās iekārtas vai infrastruktūras daļas proporcijai, kas tiks izmantota tieši valsts apmaksāto veselības aprūpes pakalpojumu sniegšanai, ievērojot Eiropas Komisijas lēmuma Nr. 2012/21/ES nosacījumus, atlikušo izmaksu daļu sedzot no slimnīcas līdzekļiem, par kuriem nav saņemts jebkāds komercdarbības atbalsts. Gadījumā, ja tiek plānots segt minētās infrastruktūras izmaksas pilnā apmērā, ieskaitot maksas pakalpojumu daļu, lūdzam papildināt MK rīkojuma projektu ar piemērojamā komercdarbības atbalsta nosacījumiem, piemēram, kas izriet 2023. gada 13. decembra Regulas (EK) 2023/2831 par Līguma par Eiropas Savienības darbību 107. un 108. panta piemērošanu de minimis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sekojošō:</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dividendēs izmaksājamā peļņas daļa par 2023. gadu tiek novirzīta plānoto infrastruktūras projektu īstenošanai tikai tādā apmērā, kas atbilst attiecīgās iekārtas vai infrastruktūras daļas proporcijai, kas tiks izmantota tieši valsts apmaksāto veselības aprūpes pakalpojumu sniegšanai, ievērojot Eiropas Komisijas lēmuma Nr. 2012/21/ES nosacījumus, atlikušo izmaksu daļu sedzot no Kapitālsabiedrības līdzekļiem, par kuriem nav saņemts jebkāds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ieņēmumi galvenokārt tiek gūti valsts pasūtījuma ietvaros – 99,7% no kopējiem veselības aprūpes ieņēmumiem, ieņēmumi no maksas pakalpojumiem ir nebūtiski.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detalizētu finansējuma avotu sadalījumu plānotajām investīcijām var iepazīties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24-TA-1729</w:t>
    </w:r>
    <w:r>
      <w:br/>
    </w:r>
    <w:r w:rsidR="00000000" w:rsidRPr="00000000" w:rsidDel="00000000">
      <w:rPr>
        <w:rtl w:val="0"/>
      </w:rPr>
      <w:t xml:space="preserve">27.11.2024. 14.04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24-TA-1729</w:t>
    </w:r>
    <w:r>
      <w:br/>
    </w:r>
    <w:r w:rsidR="00000000" w:rsidRPr="00000000" w:rsidDel="00000000">
      <w:rPr>
        <w:rtl w:val="0"/>
      </w:rPr>
      <w:t xml:space="preserve">27.11.2024. 14.04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Izziņa_24-TA-1729.docx</dc:title>
</cp:coreProperties>
</file>

<file path=docProps/custom.xml><?xml version="1.0" encoding="utf-8"?>
<Properties xmlns="http://schemas.openxmlformats.org/officeDocument/2006/custom-properties" xmlns:vt="http://schemas.openxmlformats.org/officeDocument/2006/docPropsVTypes"/>
</file>