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187064" w14:textId="77777777" w:rsidR="00573EF0" w:rsidRDefault="00573EF0" w:rsidP="00573EF0">
      <w:pPr>
        <w:rPr>
          <w:rFonts w:asciiTheme="minorHAnsi" w:hAnsiTheme="minorHAnsi" w:cstheme="minorBidi"/>
        </w:rPr>
      </w:pPr>
    </w:p>
    <w:p w14:paraId="5F9C8B69" w14:textId="77777777" w:rsidR="00573EF0" w:rsidRDefault="00573EF0" w:rsidP="00573EF0">
      <w:pPr>
        <w:spacing w:after="0" w:line="240" w:lineRule="auto"/>
        <w:rPr>
          <w:rFonts w:eastAsia="Times New Roman"/>
          <w:lang w:val="en-US" w:eastAsia="lv-LV"/>
        </w:rPr>
      </w:pPr>
      <w:r>
        <w:rPr>
          <w:rFonts w:eastAsia="Times New Roman"/>
          <w:b/>
          <w:bCs/>
          <w:lang w:val="en-US" w:eastAsia="lv-LV"/>
        </w:rPr>
        <w:t>From:</w:t>
      </w:r>
      <w:r>
        <w:rPr>
          <w:rFonts w:eastAsia="Times New Roman"/>
          <w:lang w:val="en-US" w:eastAsia="lv-LV"/>
        </w:rPr>
        <w:t xml:space="preserve"> Elizabete Udarska &lt;Elizabete.Udarska@sam.gov.lv&gt; </w:t>
      </w:r>
      <w:r>
        <w:rPr>
          <w:rFonts w:eastAsia="Times New Roman"/>
          <w:lang w:val="en-US" w:eastAsia="lv-LV"/>
        </w:rPr>
        <w:br/>
      </w:r>
      <w:r>
        <w:rPr>
          <w:rFonts w:eastAsia="Times New Roman"/>
          <w:b/>
          <w:bCs/>
          <w:lang w:val="en-US" w:eastAsia="lv-LV"/>
        </w:rPr>
        <w:t>Sent:</w:t>
      </w:r>
      <w:r>
        <w:rPr>
          <w:rFonts w:eastAsia="Times New Roman"/>
          <w:lang w:val="en-US" w:eastAsia="lv-LV"/>
        </w:rPr>
        <w:t xml:space="preserve"> Wednesday, November 3, 2021 12:06 PM</w:t>
      </w:r>
      <w:r>
        <w:rPr>
          <w:rFonts w:eastAsia="Times New Roman"/>
          <w:lang w:val="en-US" w:eastAsia="lv-LV"/>
        </w:rPr>
        <w:br/>
      </w:r>
      <w:r>
        <w:rPr>
          <w:rFonts w:eastAsia="Times New Roman"/>
          <w:b/>
          <w:bCs/>
          <w:lang w:val="en-US" w:eastAsia="lv-LV"/>
        </w:rPr>
        <w:t>To:</w:t>
      </w:r>
      <w:r>
        <w:rPr>
          <w:rFonts w:eastAsia="Times New Roman"/>
          <w:lang w:val="en-US" w:eastAsia="lv-LV"/>
        </w:rPr>
        <w:t xml:space="preserve"> Arnis Latišenko &lt;Arnis.Latisenko@em.gov.lv&gt;; Pasts &lt;Pasts@em.gov.lv&gt;</w:t>
      </w:r>
      <w:r>
        <w:rPr>
          <w:rFonts w:eastAsia="Times New Roman"/>
          <w:lang w:val="en-US" w:eastAsia="lv-LV"/>
        </w:rPr>
        <w:br/>
      </w:r>
      <w:r>
        <w:rPr>
          <w:rFonts w:eastAsia="Times New Roman"/>
          <w:b/>
          <w:bCs/>
          <w:lang w:val="en-US" w:eastAsia="lv-LV"/>
        </w:rPr>
        <w:t>Subject:</w:t>
      </w:r>
      <w:r>
        <w:rPr>
          <w:rFonts w:eastAsia="Times New Roman"/>
          <w:lang w:val="en-US" w:eastAsia="lv-LV"/>
        </w:rPr>
        <w:t xml:space="preserve"> RE: Par Ministru kabineta noteikumu projekta atkārtotu saskaņošanu</w:t>
      </w:r>
    </w:p>
    <w:p w14:paraId="139D283E" w14:textId="77777777" w:rsidR="00573EF0" w:rsidRDefault="00573EF0" w:rsidP="00573EF0"/>
    <w:p w14:paraId="0F1D97FC" w14:textId="77777777" w:rsidR="00573EF0" w:rsidRDefault="00573EF0" w:rsidP="00573EF0">
      <w:pPr>
        <w:pStyle w:val="NormalWeb"/>
        <w:shd w:val="clear" w:color="auto" w:fill="D5EAFF"/>
        <w:spacing w:line="200" w:lineRule="atLeast"/>
        <w:rPr>
          <w:color w:val="000000"/>
          <w:sz w:val="24"/>
          <w:szCs w:val="24"/>
          <w:lang w:val="en-GB"/>
        </w:rPr>
      </w:pPr>
      <w:r>
        <w:rPr>
          <w:color w:val="000000"/>
          <w:sz w:val="24"/>
          <w:szCs w:val="24"/>
          <w:lang w:val="en-GB"/>
        </w:rPr>
        <w:t>INFORMĀCIJAI: E-pasta vēstules sūtītājs ir ārējais adresāts.</w:t>
      </w:r>
    </w:p>
    <w:p w14:paraId="7D5C60A1" w14:textId="77777777" w:rsidR="00573EF0" w:rsidRDefault="00573EF0" w:rsidP="00573EF0">
      <w:pPr>
        <w:rPr>
          <w:rFonts w:ascii="Times New Roman" w:hAnsi="Times New Roman" w:cs="Times New Roman"/>
          <w:lang w:val="en-GB"/>
        </w:rPr>
      </w:pPr>
      <w:r>
        <w:rPr>
          <w:rFonts w:ascii="Times New Roman" w:hAnsi="Times New Roman" w:cs="Times New Roman"/>
          <w:lang w:val="en-GB"/>
        </w:rPr>
        <w:t>Labdien!</w:t>
      </w:r>
    </w:p>
    <w:p w14:paraId="5BF408A2" w14:textId="77777777" w:rsidR="00573EF0" w:rsidRDefault="00573EF0" w:rsidP="00573EF0">
      <w:pPr>
        <w:ind w:firstLine="720"/>
        <w:rPr>
          <w:rFonts w:ascii="Times New Roman" w:hAnsi="Times New Roman" w:cs="Times New Roman"/>
          <w:lang w:val="en-GB"/>
        </w:rPr>
      </w:pPr>
      <w:r>
        <w:rPr>
          <w:rFonts w:ascii="Times New Roman" w:hAnsi="Times New Roman" w:cs="Times New Roman"/>
          <w:lang w:val="en-GB"/>
        </w:rPr>
        <w:t>Satiksmes ministrija ir izvērtējusi Ekonomikas ministrijas sagatavoto Ministru kabineta noteikumu projektu "Kārtība, kādā Patērētāju tiesību aizsardzības centrs un Veselības inspekcija ierobežo piekļuvi tiešsaistes saskarnei elektronisko sakaru tīklā, domēna vārda lietošanas tiesības, un piekļuvi tiešsaistes saskarnei vai saturam informācijas sabiedrības pakalpojumā" (turpmāk – Projekts) un izsaka šādu iebildumu:</w:t>
      </w:r>
    </w:p>
    <w:p w14:paraId="3BFC0A57" w14:textId="77777777" w:rsidR="00573EF0" w:rsidRDefault="00573EF0" w:rsidP="00573EF0">
      <w:pPr>
        <w:spacing w:after="0"/>
        <w:ind w:firstLine="720"/>
        <w:jc w:val="both"/>
        <w:rPr>
          <w:rFonts w:ascii="Times New Roman" w:hAnsi="Times New Roman" w:cs="Times New Roman"/>
        </w:rPr>
      </w:pPr>
      <w:r>
        <w:rPr>
          <w:rFonts w:ascii="Times New Roman" w:hAnsi="Times New Roman" w:cs="Times New Roman"/>
        </w:rPr>
        <w:t>Saskaņā ar Eiropas Parlamenta un Padomes 2017. gada 12. decembra regulas (ES) 2017/2394 par sadarbību starp valstu iestādēm, kas atbild par tiesību aktu izpildi patērētāju tiesību aizsardzības jomā, un ar ko atceļ regulu (EK) Nr.  </w:t>
      </w:r>
      <w:hyperlink r:id="rId5" w:tgtFrame="_blank" w:history="1">
        <w:r>
          <w:rPr>
            <w:rStyle w:val="Hyperlink"/>
            <w:rFonts w:ascii="Times New Roman" w:hAnsi="Times New Roman" w:cs="Times New Roman"/>
            <w:color w:val="auto"/>
            <w:u w:val="none"/>
          </w:rPr>
          <w:t>2006/2004</w:t>
        </w:r>
      </w:hyperlink>
      <w:r>
        <w:rPr>
          <w:rFonts w:ascii="Times New Roman" w:hAnsi="Times New Roman" w:cs="Times New Roman"/>
        </w:rPr>
        <w:t xml:space="preserve"> (turpmāk -  regula Nr. 2017/2394) 3.panta 15.punktu, “tiešsaistes saskarne” ir jebkura programmatūra, tostarp tīmekļa vietne, tīmekļa vietnes daļa vai lietotne, ko uztur tirgotājs vai kas tiek uzturēta tirgotāja vārdā un kas tiek izmantota kā līdzeklis, lai patērētājiem sniegtu piekļuvi tirgotāja precēm vai pakalpojumiem. Regulā iekļautās definīcijas tvērums iziet ārpus elektronisko sakaru komersantu darbības tvēruma. </w:t>
      </w:r>
      <w:r>
        <w:rPr>
          <w:rFonts w:ascii="Times New Roman" w:hAnsi="Times New Roman" w:cs="Times New Roman"/>
          <w:color w:val="201F1E"/>
          <w:bdr w:val="none" w:sz="0" w:space="0" w:color="auto" w:frame="1"/>
          <w:lang w:eastAsia="lv-LV"/>
        </w:rPr>
        <w:t>E</w:t>
      </w:r>
      <w:r>
        <w:rPr>
          <w:rFonts w:ascii="Times New Roman" w:hAnsi="Times New Roman" w:cs="Times New Roman"/>
        </w:rPr>
        <w:t>lektronisko sakaru komersanti nodrošina patērētājiem interneta pakalpojumu, kas ietver tikai piekļuvi un informācijas pārraidi elektronisko sakaru tīklā. Elektronisko sakaru komersantiem ir iespēja liegt piekļuvi elektronisko tīklu resursiem (IP adrese, URL, domēns) un/vai pārvirzīt lietotāju uz citu resursu (piem. tīmekļa vietni), bet nav iespēju ietekmēt to, kā tiek izmantota mobilā vai web aplikācija vai, kā tā darbojas. Ierobežojot piekļuvi noteiktiem tīkla resursiem, pie kuriem noteikta aplikācija vēršas, arī aplikācijas darbība būtu traucēta. Šādā gadījumā nebūtu jāierobežo pašu aplikāciju. Savukārt noskaidrot un informēt elektronisko sakaru komersantu par to, kāds tīkla resurss ir ierobežojams būtu Patērētāju tiesību aizsardzības centra (turpmāk- PTAC) un Veselības inspekcijas (turpmāk- VI) kompetence.</w:t>
      </w:r>
    </w:p>
    <w:p w14:paraId="4F257D20" w14:textId="77777777" w:rsidR="00573EF0" w:rsidRDefault="00573EF0" w:rsidP="00573EF0">
      <w:pPr>
        <w:spacing w:after="0"/>
        <w:ind w:firstLine="720"/>
        <w:jc w:val="both"/>
        <w:rPr>
          <w:rFonts w:ascii="Times New Roman" w:hAnsi="Times New Roman" w:cs="Times New Roman"/>
        </w:rPr>
      </w:pPr>
      <w:r>
        <w:rPr>
          <w:rFonts w:ascii="Times New Roman" w:hAnsi="Times New Roman" w:cs="Times New Roman"/>
        </w:rPr>
        <w:t xml:space="preserve">Ievērojot minēto, lūdzam precizēt Projekta II nodaļu, aizstājot vārdus „tiešsaistes saskarne” ar vārdu „tīmekļvietne” un svītrot vārdus “vai citu tiešsaistes līdzekli”. </w:t>
      </w:r>
    </w:p>
    <w:p w14:paraId="6C3E2670" w14:textId="77777777" w:rsidR="00573EF0" w:rsidRDefault="00573EF0" w:rsidP="00573EF0">
      <w:pPr>
        <w:spacing w:after="0"/>
        <w:ind w:firstLine="720"/>
        <w:jc w:val="both"/>
        <w:rPr>
          <w:rFonts w:ascii="Times New Roman" w:hAnsi="Times New Roman" w:cs="Times New Roman"/>
        </w:rPr>
      </w:pPr>
    </w:p>
    <w:p w14:paraId="27559385" w14:textId="77777777" w:rsidR="00573EF0" w:rsidRDefault="00573EF0" w:rsidP="00573EF0">
      <w:pPr>
        <w:spacing w:after="0" w:line="240" w:lineRule="auto"/>
        <w:ind w:right="12" w:firstLine="709"/>
        <w:jc w:val="both"/>
        <w:rPr>
          <w:rFonts w:ascii="Times New Roman" w:hAnsi="Times New Roman" w:cs="Times New Roman"/>
          <w:lang w:val="en-GB" w:eastAsia="lv-LV"/>
        </w:rPr>
      </w:pPr>
      <w:r>
        <w:rPr>
          <w:rFonts w:ascii="Times New Roman" w:hAnsi="Times New Roman" w:cs="Times New Roman"/>
          <w:lang w:val="en-GB"/>
        </w:rPr>
        <w:t>Vienlaikus izsakām šādus priekšlikumus:</w:t>
      </w:r>
    </w:p>
    <w:p w14:paraId="19092079" w14:textId="77777777" w:rsidR="00573EF0" w:rsidRDefault="00573EF0" w:rsidP="00573EF0">
      <w:pPr>
        <w:pStyle w:val="ListParagraph"/>
        <w:numPr>
          <w:ilvl w:val="0"/>
          <w:numId w:val="1"/>
        </w:numPr>
        <w:spacing w:after="0"/>
        <w:ind w:left="0" w:firstLine="720"/>
        <w:jc w:val="both"/>
        <w:rPr>
          <w:rFonts w:ascii="Times New Roman" w:hAnsi="Times New Roman" w:cs="Times New Roman"/>
          <w:shd w:val="clear" w:color="auto" w:fill="FFFFFF"/>
        </w:rPr>
      </w:pPr>
      <w:r>
        <w:rPr>
          <w:rFonts w:ascii="Times New Roman" w:hAnsi="Times New Roman" w:cs="Times New Roman"/>
        </w:rPr>
        <w:t xml:space="preserve">Projekta 6., 12., 17.punktā paredzēts trīs dienu PTAC un VI lēmumu izpildes termiņš. Savukārt Ministru kabineta 2014.gada 1.augusta  noteikumu Nr.291 „Kārtība, kādā Izložu un azartspēļu uzraudzības inspekcija sagatavo un nosūta lēmumu par piekļuves ierobežošanu Latvijā nelicencētu interaktīvo azartspēļu organizētāju interneta mājaslapām”  3., 4.., 5. punktā  inspekcijas lēmumu izpildei noteiktais termiņš ir piecas dienas. Lai mazinātu elektronisko sakaru komersantam un </w:t>
      </w:r>
      <w:r>
        <w:rPr>
          <w:rFonts w:ascii="Times New Roman" w:hAnsi="Times New Roman" w:cs="Times New Roman"/>
          <w:color w:val="000000"/>
          <w:shd w:val="clear" w:color="auto" w:fill="FFFFFF"/>
        </w:rPr>
        <w:t xml:space="preserve">domēna ".lv" reģistra turētājam administratīvo slogu, sekojot atšķirīgajiem uzraugošo iestāžu lēmumu izpildes termiņiem, atkārtoti lūdzam izvērtēt iespēju noteikt Projektā piecu dienu lēmuma izpildes termiņu. </w:t>
      </w:r>
    </w:p>
    <w:p w14:paraId="0E2F7C8E" w14:textId="77777777" w:rsidR="00573EF0" w:rsidRDefault="00573EF0" w:rsidP="00573EF0">
      <w:pPr>
        <w:spacing w:after="0"/>
        <w:ind w:firstLine="720"/>
        <w:jc w:val="both"/>
        <w:rPr>
          <w:rFonts w:ascii="Times New Roman" w:hAnsi="Times New Roman" w:cs="Times New Roman"/>
        </w:rPr>
      </w:pPr>
    </w:p>
    <w:p w14:paraId="4ECA08B6" w14:textId="77777777" w:rsidR="00573EF0" w:rsidRDefault="00573EF0" w:rsidP="00573EF0">
      <w:pPr>
        <w:spacing w:after="0"/>
        <w:ind w:firstLine="720"/>
        <w:jc w:val="both"/>
        <w:rPr>
          <w:rFonts w:ascii="Times New Roman" w:hAnsi="Times New Roman" w:cs="Times New Roman"/>
          <w:shd w:val="clear" w:color="auto" w:fill="FFFFFF"/>
        </w:rPr>
      </w:pPr>
      <w:r>
        <w:rPr>
          <w:rFonts w:ascii="Times New Roman" w:hAnsi="Times New Roman" w:cs="Times New Roman"/>
        </w:rPr>
        <w:t xml:space="preserve">2) </w:t>
      </w:r>
      <w:r>
        <w:rPr>
          <w:rFonts w:ascii="Times New Roman" w:hAnsi="Times New Roman" w:cs="Times New Roman"/>
          <w:color w:val="000000"/>
          <w:shd w:val="clear" w:color="auto" w:fill="FFFFFF"/>
        </w:rPr>
        <w:t>Projekta 5., 10. un 16.punktā uzskaitīti vairāki lēmumu veidi, bet 10. un 16.punktā noteikti papildus nosacījumi, ja lēmumi attiecas uz vairākiem resursiem.</w:t>
      </w:r>
    </w:p>
    <w:p w14:paraId="37BCFFA4" w14:textId="77777777" w:rsidR="00573EF0" w:rsidRDefault="00573EF0" w:rsidP="00573EF0">
      <w:pPr>
        <w:spacing w:after="0"/>
        <w:ind w:firstLine="720"/>
        <w:jc w:val="both"/>
        <w:rPr>
          <w:rFonts w:ascii="Times New Roman" w:hAnsi="Times New Roman" w:cs="Times New Roman"/>
          <w:shd w:val="clear" w:color="auto" w:fill="FFFFFF"/>
        </w:rPr>
      </w:pPr>
      <w:r>
        <w:rPr>
          <w:rFonts w:ascii="Times New Roman" w:hAnsi="Times New Roman" w:cs="Times New Roman"/>
          <w:color w:val="000000"/>
          <w:shd w:val="clear" w:color="auto" w:fill="FFFFFF"/>
        </w:rPr>
        <w:t xml:space="preserve">No Projekta 10. un 16.punktu redakcijas izriet, ka papildus nosacījums par pieprasījuma formu attiecas uz: 1) sākumā uzskaitītajiem lēmumu veidiem arī, tad, ja lēmums </w:t>
      </w:r>
      <w:r>
        <w:rPr>
          <w:rFonts w:ascii="Times New Roman" w:hAnsi="Times New Roman" w:cs="Times New Roman"/>
          <w:color w:val="000000"/>
          <w:shd w:val="clear" w:color="auto" w:fill="FFFFFF"/>
        </w:rPr>
        <w:lastRenderedPageBreak/>
        <w:t>pieņemts par vienu resursu, bet 2) uz pēdējo lēmuma veidu attiecas tikai, tad, ja lēmums attiecas uz vairākiem resursiem.</w:t>
      </w:r>
    </w:p>
    <w:p w14:paraId="68A80207" w14:textId="77777777" w:rsidR="00573EF0" w:rsidRDefault="00573EF0" w:rsidP="00573EF0">
      <w:pPr>
        <w:spacing w:after="0"/>
        <w:jc w:val="both"/>
        <w:rPr>
          <w:rFonts w:ascii="Times New Roman" w:hAnsi="Times New Roman" w:cs="Times New Roman"/>
        </w:rPr>
      </w:pPr>
      <w:r>
        <w:rPr>
          <w:rFonts w:ascii="Times New Roman" w:hAnsi="Times New Roman" w:cs="Times New Roman"/>
          <w:color w:val="000000"/>
          <w:shd w:val="clear" w:color="auto" w:fill="FFFFFF"/>
        </w:rPr>
        <w:t>Piemēram:</w:t>
      </w:r>
    </w:p>
    <w:p w14:paraId="1062C360" w14:textId="77777777" w:rsidR="00573EF0" w:rsidRDefault="00573EF0" w:rsidP="00573EF0">
      <w:pPr>
        <w:spacing w:after="0"/>
        <w:jc w:val="both"/>
        <w:rPr>
          <w:rFonts w:ascii="Times New Roman" w:hAnsi="Times New Roman" w:cs="Times New Roman"/>
          <w:shd w:val="clear" w:color="auto" w:fill="FFFFFF"/>
        </w:rPr>
      </w:pPr>
      <w:r>
        <w:rPr>
          <w:rFonts w:ascii="Times New Roman" w:hAnsi="Times New Roman" w:cs="Times New Roman"/>
          <w:color w:val="000000"/>
          <w:shd w:val="clear" w:color="auto" w:fill="FFFFFF"/>
        </w:rPr>
        <w:t>10.punkta piemērojums:</w:t>
      </w:r>
    </w:p>
    <w:p w14:paraId="37EE04E1" w14:textId="77777777" w:rsidR="00573EF0" w:rsidRDefault="00573EF0" w:rsidP="00573EF0">
      <w:pPr>
        <w:spacing w:after="0"/>
        <w:jc w:val="both"/>
        <w:rPr>
          <w:rFonts w:ascii="Times New Roman" w:hAnsi="Times New Roman" w:cs="Times New Roman"/>
          <w:shd w:val="clear" w:color="auto" w:fill="FFFFFF"/>
        </w:rPr>
      </w:pPr>
      <w:r>
        <w:rPr>
          <w:rFonts w:ascii="Times New Roman" w:hAnsi="Times New Roman" w:cs="Times New Roman"/>
          <w:color w:val="000000"/>
          <w:shd w:val="clear" w:color="auto" w:fill="FFFFFF"/>
        </w:rPr>
        <w:t>1) ja lēmums par tehniskās informācijas atslēgšanu attiecas uz vienu domēna vārdu, tad ir jāpievieno pielikums;</w:t>
      </w:r>
    </w:p>
    <w:p w14:paraId="413DFEC2" w14:textId="77777777" w:rsidR="00573EF0" w:rsidRDefault="00573EF0" w:rsidP="00573EF0">
      <w:pPr>
        <w:spacing w:after="0"/>
        <w:jc w:val="both"/>
        <w:rPr>
          <w:rFonts w:ascii="Times New Roman" w:hAnsi="Times New Roman" w:cs="Times New Roman"/>
          <w:shd w:val="clear" w:color="auto" w:fill="FFFFFF"/>
        </w:rPr>
      </w:pPr>
      <w:r>
        <w:rPr>
          <w:rFonts w:ascii="Times New Roman" w:hAnsi="Times New Roman" w:cs="Times New Roman"/>
          <w:color w:val="000000"/>
          <w:shd w:val="clear" w:color="auto" w:fill="FFFFFF"/>
        </w:rPr>
        <w:t>2) ja lēmums attiecas uz aizliegumu mainīt domēna vārdu attiecas uz vairākiem domēna vārdiem, tad jāpievieno pielikums.</w:t>
      </w:r>
    </w:p>
    <w:p w14:paraId="02633C36" w14:textId="77777777" w:rsidR="00573EF0" w:rsidRDefault="00573EF0" w:rsidP="00573EF0">
      <w:pPr>
        <w:spacing w:after="0"/>
        <w:ind w:firstLine="720"/>
        <w:jc w:val="both"/>
        <w:rPr>
          <w:rFonts w:ascii="Times New Roman" w:hAnsi="Times New Roman" w:cs="Times New Roman"/>
          <w:shd w:val="clear" w:color="auto" w:fill="FFFFFF"/>
        </w:rPr>
      </w:pPr>
      <w:r>
        <w:rPr>
          <w:rFonts w:ascii="Times New Roman" w:hAnsi="Times New Roman" w:cs="Times New Roman"/>
          <w:color w:val="000000"/>
          <w:shd w:val="clear" w:color="auto" w:fill="FFFFFF"/>
        </w:rPr>
        <w:t xml:space="preserve">Lai nodrošinātu, ka abu veidu lēmumi, ja tie attiecas uz vairākiem domēna vārdiem jānoformē atbilstoši Projekta 10., un 16. punktos noteiktajiem nosacījumiem, lūdzam izteikt  10. un 16.punktu šādā redakcijā: </w:t>
      </w:r>
    </w:p>
    <w:p w14:paraId="34098E07" w14:textId="77777777" w:rsidR="00573EF0" w:rsidRDefault="00573EF0" w:rsidP="00573EF0">
      <w:pPr>
        <w:spacing w:after="0"/>
        <w:ind w:firstLine="720"/>
        <w:jc w:val="both"/>
        <w:rPr>
          <w:rFonts w:ascii="Times New Roman" w:hAnsi="Times New Roman" w:cs="Times New Roman"/>
          <w:shd w:val="clear" w:color="auto" w:fill="FFFFFF"/>
        </w:rPr>
      </w:pPr>
      <w:r>
        <w:rPr>
          <w:rFonts w:ascii="Times New Roman" w:hAnsi="Times New Roman" w:cs="Times New Roman"/>
          <w:color w:val="000000"/>
          <w:shd w:val="clear" w:color="auto" w:fill="FFFFFF"/>
        </w:rPr>
        <w:t>10. Ja lēmums par domēna vārda lietošanas tiesību ierobežošanu paredz vairāku domēna vārdu tehniskās informācijas atslēgšanu vai aizliegumu mainīt lietotāju vairākiem domēna vārdiem, iestāde ir tiesīga nosūtīt augstākā līmeņa domēna reģistra uzturētājam vai domēna vārda reģistratūrai (lēmuma adresātam) lēmumu, tam pievienojot šo noteikumu pielikumā norādīto pieprasījuma formu ar 9.1.apakšpunkta informāciju.</w:t>
      </w:r>
    </w:p>
    <w:p w14:paraId="6D9A750A" w14:textId="77777777" w:rsidR="00573EF0" w:rsidRDefault="00573EF0" w:rsidP="00573EF0">
      <w:pPr>
        <w:spacing w:after="0"/>
        <w:ind w:firstLine="720"/>
        <w:jc w:val="both"/>
        <w:rPr>
          <w:rFonts w:ascii="Times New Roman" w:hAnsi="Times New Roman" w:cs="Times New Roman"/>
          <w:shd w:val="clear" w:color="auto" w:fill="FFFFFF"/>
        </w:rPr>
      </w:pPr>
      <w:r>
        <w:rPr>
          <w:rFonts w:ascii="Times New Roman" w:hAnsi="Times New Roman" w:cs="Times New Roman"/>
          <w:color w:val="000000"/>
          <w:shd w:val="clear" w:color="auto" w:fill="FFFFFF"/>
        </w:rPr>
        <w:t>16. Ja lēmums par piekļuves ierobežošanu paredz piekļuves ierobežošanu vairākām tiešsaistes saskarnēm vai satura vienībām informācijas sabiedrības pakalpojumā, iestāde ir tiesīga nosūtīt informācijas sabiedrības pakalpojumu sniedzējam lēmumu, pievienojot šo noteikumu pielikumā norādīto pieprasījuma formu ar 15.1.apakšpunkta informāciju.</w:t>
      </w:r>
    </w:p>
    <w:p w14:paraId="5988F0F3" w14:textId="77777777" w:rsidR="00573EF0" w:rsidRDefault="00573EF0" w:rsidP="00573EF0">
      <w:pPr>
        <w:spacing w:after="0"/>
        <w:jc w:val="both"/>
        <w:rPr>
          <w:rFonts w:ascii="Times New Roman" w:hAnsi="Times New Roman" w:cs="Times New Roman"/>
          <w:shd w:val="clear" w:color="auto" w:fill="FFFFFF"/>
        </w:rPr>
      </w:pPr>
    </w:p>
    <w:p w14:paraId="75907EE7" w14:textId="77777777" w:rsidR="00573EF0" w:rsidRDefault="00573EF0" w:rsidP="00573EF0">
      <w:pPr>
        <w:pStyle w:val="ListParagraph"/>
        <w:numPr>
          <w:ilvl w:val="0"/>
          <w:numId w:val="2"/>
        </w:numPr>
        <w:spacing w:after="0"/>
        <w:jc w:val="both"/>
        <w:rPr>
          <w:rFonts w:ascii="Times New Roman" w:hAnsi="Times New Roman" w:cs="Times New Roman"/>
          <w:shd w:val="clear" w:color="auto" w:fill="FFFFFF"/>
        </w:rPr>
      </w:pPr>
      <w:r>
        <w:rPr>
          <w:rFonts w:ascii="Times New Roman" w:hAnsi="Times New Roman" w:cs="Times New Roman"/>
          <w:color w:val="000000"/>
          <w:shd w:val="clear" w:color="auto" w:fill="FFFFFF"/>
        </w:rPr>
        <w:t xml:space="preserve">Lūdzam Projekta 5.punktu attiecīgi salāgot ar 10. un 16. punktu, izsakot šādā redakcijā: </w:t>
      </w:r>
    </w:p>
    <w:p w14:paraId="436161F3" w14:textId="77777777" w:rsidR="00573EF0" w:rsidRDefault="00573EF0" w:rsidP="00573EF0">
      <w:pPr>
        <w:spacing w:after="0"/>
        <w:ind w:firstLine="720"/>
        <w:jc w:val="both"/>
        <w:rPr>
          <w:rFonts w:ascii="Times New Roman" w:hAnsi="Times New Roman" w:cs="Times New Roman"/>
          <w:shd w:val="clear" w:color="auto" w:fill="FFFFFF"/>
        </w:rPr>
      </w:pPr>
      <w:r>
        <w:rPr>
          <w:rFonts w:ascii="Times New Roman" w:hAnsi="Times New Roman" w:cs="Times New Roman"/>
          <w:color w:val="000000"/>
          <w:shd w:val="clear" w:color="auto" w:fill="FFFFFF"/>
        </w:rPr>
        <w:t>5.    Ja lēmums par piekļuves ierobežošanu tiešsaistes saskarnei elektronisko sakaru tīklā paredz piekļuves liegšanu (bloķēšanu) vairākām tiešsaistes saskarnēm elektronisko sakaru tīklā Latvijas teritorijā, iestāde ir tiesīga nosūtīt elektronisko sakaru komersantam lēmumu, tam pievienojot šo noteikumu pielikumā norādīto pieprasījuma formu ar 4.1.apakšpunkta informāciju.</w:t>
      </w:r>
    </w:p>
    <w:p w14:paraId="09F76ED6" w14:textId="77777777" w:rsidR="00573EF0" w:rsidRDefault="00573EF0" w:rsidP="00573EF0">
      <w:pPr>
        <w:spacing w:after="0"/>
        <w:ind w:firstLine="720"/>
        <w:jc w:val="both"/>
      </w:pPr>
    </w:p>
    <w:p w14:paraId="7463CD1F" w14:textId="77777777" w:rsidR="00573EF0" w:rsidRDefault="00573EF0" w:rsidP="00573EF0"/>
    <w:p w14:paraId="33C1261C" w14:textId="77777777" w:rsidR="00573EF0" w:rsidRDefault="00573EF0" w:rsidP="00573EF0"/>
    <w:p w14:paraId="13DFBFCA" w14:textId="77777777" w:rsidR="00573EF0" w:rsidRDefault="00573EF0" w:rsidP="00573EF0">
      <w:pPr>
        <w:spacing w:after="0" w:line="240" w:lineRule="auto"/>
        <w:rPr>
          <w:rFonts w:ascii="Verdana" w:hAnsi="Verdana"/>
          <w:color w:val="000000"/>
          <w:sz w:val="20"/>
          <w:szCs w:val="20"/>
          <w:lang w:eastAsia="en-GB"/>
        </w:rPr>
      </w:pPr>
    </w:p>
    <w:p w14:paraId="09CD6408" w14:textId="05028ADB" w:rsidR="00573EF0" w:rsidRDefault="00573EF0" w:rsidP="00573EF0">
      <w:pPr>
        <w:spacing w:after="0" w:line="240" w:lineRule="auto"/>
        <w:rPr>
          <w:lang w:eastAsia="en-GB"/>
        </w:rPr>
      </w:pPr>
      <w:r>
        <w:rPr>
          <w:noProof/>
        </w:rPr>
        <w:drawing>
          <wp:anchor distT="0" distB="0" distL="114300" distR="114300" simplePos="0" relativeHeight="251659264" behindDoc="0" locked="0" layoutInCell="1" allowOverlap="0" wp14:anchorId="174F450B" wp14:editId="0FA9ED55">
            <wp:simplePos x="0" y="0"/>
            <wp:positionH relativeFrom="column">
              <wp:align>left</wp:align>
            </wp:positionH>
            <wp:positionV relativeFrom="line">
              <wp:posOffset>0</wp:posOffset>
            </wp:positionV>
            <wp:extent cx="1619250" cy="1619250"/>
            <wp:effectExtent l="0" t="0" r="0" b="0"/>
            <wp:wrapSquare wrapText="bothSides"/>
            <wp:docPr id="1" name="Picture 1" descr="signature_1706317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gnature_170631767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19250" cy="1619250"/>
                    </a:xfrm>
                    <a:prstGeom prst="rect">
                      <a:avLst/>
                    </a:prstGeom>
                    <a:noFill/>
                  </pic:spPr>
                </pic:pic>
              </a:graphicData>
            </a:graphic>
            <wp14:sizeRelH relativeFrom="page">
              <wp14:pctWidth>0</wp14:pctWidth>
            </wp14:sizeRelH>
            <wp14:sizeRelV relativeFrom="page">
              <wp14:pctHeight>0</wp14:pctHeight>
            </wp14:sizeRelV>
          </wp:anchor>
        </w:drawing>
      </w:r>
      <w:r>
        <w:rPr>
          <w:color w:val="000000"/>
          <w:lang w:val="en-US" w:eastAsia="en-GB"/>
        </w:rPr>
        <w:t>Ar cieņu</w:t>
      </w:r>
    </w:p>
    <w:p w14:paraId="27832A80" w14:textId="77777777" w:rsidR="00573EF0" w:rsidRDefault="00573EF0" w:rsidP="00573EF0">
      <w:pPr>
        <w:spacing w:after="0" w:line="240" w:lineRule="auto"/>
        <w:rPr>
          <w:lang w:eastAsia="en-GB"/>
        </w:rPr>
      </w:pPr>
      <w:r>
        <w:rPr>
          <w:color w:val="000000"/>
          <w:lang w:val="en-US" w:eastAsia="en-GB"/>
        </w:rPr>
        <w:t> </w:t>
      </w:r>
    </w:p>
    <w:p w14:paraId="6E022EB0" w14:textId="77777777" w:rsidR="00573EF0" w:rsidRDefault="00573EF0" w:rsidP="00573EF0">
      <w:pPr>
        <w:spacing w:after="0" w:line="240" w:lineRule="auto"/>
        <w:rPr>
          <w:lang w:eastAsia="en-GB"/>
        </w:rPr>
      </w:pPr>
      <w:r>
        <w:rPr>
          <w:b/>
          <w:bCs/>
          <w:color w:val="000000"/>
          <w:lang w:eastAsia="en-GB"/>
        </w:rPr>
        <w:t>Elizabete Udarska</w:t>
      </w:r>
    </w:p>
    <w:p w14:paraId="64C60CFF" w14:textId="77777777" w:rsidR="00573EF0" w:rsidRDefault="00573EF0" w:rsidP="00573EF0">
      <w:pPr>
        <w:spacing w:after="0" w:line="240" w:lineRule="auto"/>
        <w:rPr>
          <w:lang w:eastAsia="en-GB"/>
        </w:rPr>
      </w:pPr>
      <w:r>
        <w:rPr>
          <w:color w:val="000000"/>
          <w:lang w:val="en-US" w:eastAsia="en-GB"/>
        </w:rPr>
        <w:t>Satiksmes ministrijas</w:t>
      </w:r>
    </w:p>
    <w:p w14:paraId="1CED849B" w14:textId="77777777" w:rsidR="00573EF0" w:rsidRDefault="00573EF0" w:rsidP="00573EF0">
      <w:pPr>
        <w:spacing w:after="0" w:line="240" w:lineRule="auto"/>
        <w:rPr>
          <w:lang w:eastAsia="en-GB"/>
        </w:rPr>
      </w:pPr>
      <w:r>
        <w:rPr>
          <w:color w:val="000000"/>
          <w:lang w:eastAsia="en-GB"/>
        </w:rPr>
        <w:t>Juridiskā departamenta</w:t>
      </w:r>
    </w:p>
    <w:p w14:paraId="5F04EC59" w14:textId="77777777" w:rsidR="00573EF0" w:rsidRDefault="00573EF0" w:rsidP="00573EF0">
      <w:pPr>
        <w:spacing w:after="0" w:line="240" w:lineRule="auto"/>
        <w:rPr>
          <w:lang w:eastAsia="en-GB"/>
        </w:rPr>
      </w:pPr>
      <w:r>
        <w:rPr>
          <w:color w:val="000000"/>
          <w:lang w:eastAsia="en-GB"/>
        </w:rPr>
        <w:t>Tiesību aktu nodaļas juriskonsulte</w:t>
      </w:r>
    </w:p>
    <w:p w14:paraId="5AEBFB75" w14:textId="77777777" w:rsidR="00573EF0" w:rsidRDefault="00573EF0" w:rsidP="00573EF0">
      <w:pPr>
        <w:spacing w:after="0" w:line="240" w:lineRule="auto"/>
        <w:rPr>
          <w:lang w:eastAsia="en-GB"/>
        </w:rPr>
      </w:pPr>
      <w:r>
        <w:rPr>
          <w:color w:val="000000"/>
          <w:lang w:eastAsia="en-GB"/>
        </w:rPr>
        <w:t xml:space="preserve">Tālrunis: +371 </w:t>
      </w:r>
      <w:r>
        <w:rPr>
          <w:lang w:eastAsia="en-GB"/>
        </w:rPr>
        <w:t>67028355</w:t>
      </w:r>
    </w:p>
    <w:p w14:paraId="2A1A8B47" w14:textId="77777777" w:rsidR="00573EF0" w:rsidRDefault="00573EF0" w:rsidP="00573EF0">
      <w:pPr>
        <w:spacing w:after="0" w:line="240" w:lineRule="auto"/>
        <w:rPr>
          <w:lang w:eastAsia="en-GB"/>
        </w:rPr>
      </w:pPr>
      <w:r>
        <w:rPr>
          <w:color w:val="000000"/>
          <w:lang w:eastAsia="en-GB"/>
        </w:rPr>
        <w:t>E-pasts: </w:t>
      </w:r>
      <w:hyperlink r:id="rId7" w:history="1">
        <w:r>
          <w:rPr>
            <w:rStyle w:val="Hyperlink"/>
            <w:color w:val="0000FF"/>
            <w:lang w:eastAsia="en-GB"/>
          </w:rPr>
          <w:t>elizabete.udarska@sam.gov.lv</w:t>
        </w:r>
      </w:hyperlink>
      <w:r>
        <w:rPr>
          <w:color w:val="000000"/>
          <w:lang w:eastAsia="en-GB"/>
        </w:rPr>
        <w:t xml:space="preserve">  </w:t>
      </w:r>
    </w:p>
    <w:p w14:paraId="575DD91D" w14:textId="77777777" w:rsidR="00573EF0" w:rsidRDefault="00573EF0" w:rsidP="00573EF0">
      <w:pPr>
        <w:spacing w:after="0" w:line="240" w:lineRule="auto"/>
        <w:rPr>
          <w:lang w:eastAsia="en-GB"/>
        </w:rPr>
      </w:pPr>
      <w:hyperlink r:id="rId8" w:tooltip="http://www.sam.gov.lv/" w:history="1">
        <w:r>
          <w:rPr>
            <w:rStyle w:val="Hyperlink"/>
            <w:color w:val="0000FF"/>
            <w:lang w:eastAsia="en-GB"/>
          </w:rPr>
          <w:t>www.sam.gov.lv</w:t>
        </w:r>
      </w:hyperlink>
    </w:p>
    <w:p w14:paraId="465F21D3" w14:textId="77777777" w:rsidR="00573EF0" w:rsidRDefault="00573EF0" w:rsidP="00573EF0"/>
    <w:p w14:paraId="1AF7D4FA" w14:textId="77777777" w:rsidR="00DE52C4" w:rsidRDefault="00DE52C4">
      <w:bookmarkStart w:id="0" w:name="_GoBack"/>
      <w:bookmarkEnd w:id="0"/>
    </w:p>
    <w:sectPr w:rsidR="00DE52C4">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ED6236"/>
    <w:multiLevelType w:val="hybridMultilevel"/>
    <w:tmpl w:val="316EA35A"/>
    <w:lvl w:ilvl="0" w:tplc="53FC7CF4">
      <w:start w:val="3"/>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 w15:restartNumberingAfterBreak="0">
    <w:nsid w:val="309321F1"/>
    <w:multiLevelType w:val="hybridMultilevel"/>
    <w:tmpl w:val="F10CF368"/>
    <w:lvl w:ilvl="0" w:tplc="E2044C48">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FFC"/>
    <w:rsid w:val="00573EF0"/>
    <w:rsid w:val="00B13FFC"/>
    <w:rsid w:val="00DE52C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F427EB-7EB3-45C8-8FA2-256BD02EC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3EF0"/>
    <w:pPr>
      <w:spacing w:line="252"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73EF0"/>
    <w:rPr>
      <w:color w:val="0563C1"/>
      <w:u w:val="single"/>
    </w:rPr>
  </w:style>
  <w:style w:type="paragraph" w:styleId="NormalWeb">
    <w:name w:val="Normal (Web)"/>
    <w:basedOn w:val="Normal"/>
    <w:uiPriority w:val="99"/>
    <w:semiHidden/>
    <w:unhideWhenUsed/>
    <w:rsid w:val="00573EF0"/>
    <w:pPr>
      <w:spacing w:before="100" w:beforeAutospacing="1" w:after="100" w:afterAutospacing="1" w:line="240" w:lineRule="auto"/>
    </w:pPr>
    <w:rPr>
      <w:lang w:eastAsia="lv-LV"/>
    </w:rPr>
  </w:style>
  <w:style w:type="character" w:customStyle="1" w:styleId="ListParagraphChar">
    <w:name w:val="List Paragraph Char"/>
    <w:aliases w:val="2 Char,H&amp;P List Paragraph Char,Bull Char,Bullet 1 Char,Bullet Points Char,Colorful List - Accent 11 Char,Dot pt Char,F5 List Paragraph Char,IFCL - List Paragraph Char,Indicator Text Char,List Paragraph Char Char Char Char,Strip Char"/>
    <w:basedOn w:val="DefaultParagraphFont"/>
    <w:link w:val="ListParagraph"/>
    <w:uiPriority w:val="34"/>
    <w:locked/>
    <w:rsid w:val="00573EF0"/>
    <w:rPr>
      <w:rFonts w:ascii="Calibri" w:hAnsi="Calibri" w:cs="Calibri"/>
    </w:rPr>
  </w:style>
  <w:style w:type="paragraph" w:styleId="ListParagraph">
    <w:name w:val="List Paragraph"/>
    <w:aliases w:val="2,H&amp;P List Paragraph,Bull,Bullet 1,Bullet Points,Colorful List - Accent 11,Dot pt,F5 List Paragraph,IFCL - List Paragraph,Indicator Text,List Paragraph Char Char Char,List Paragraph1,List Paragraph12,MAIN CONTENT,No Spacing1,Strip"/>
    <w:basedOn w:val="Normal"/>
    <w:link w:val="ListParagraphChar"/>
    <w:uiPriority w:val="34"/>
    <w:qFormat/>
    <w:rsid w:val="00573EF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73540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am.gov.lv/" TargetMode="External"/><Relationship Id="rId3" Type="http://schemas.openxmlformats.org/officeDocument/2006/relationships/settings" Target="settings.xml"/><Relationship Id="rId7" Type="http://schemas.openxmlformats.org/officeDocument/2006/relationships/hyperlink" Target="mailto:elizabete.udarska@sam.gov.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eur-lex.europa.eu/eli/reg/2004/2006/oj/?locale=LV"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3601</Words>
  <Characters>2053</Characters>
  <Application>Microsoft Office Word</Application>
  <DocSecurity>0</DocSecurity>
  <Lines>17</Lines>
  <Paragraphs>11</Paragraphs>
  <ScaleCrop>false</ScaleCrop>
  <Company/>
  <LinksUpToDate>false</LinksUpToDate>
  <CharactersWithSpaces>5643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Arnis Latišenko</dc:creator>
  <cp:keywords/>
  <dc:description/>
  <cp:lastModifiedBy>Arnis Latišenko</cp:lastModifiedBy>
  <cp:revision>3</cp:revision>
  <dcterms:created xsi:type="dcterms:W3CDTF">2021-12-06T19:08:00Z</dcterms:created>
  <dcterms:modified xsi:type="dcterms:W3CDTF">2021-12-06T19:08:00Z</dcterms:modified>
</cp:coreProperties>
</file>