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konsekventi sniegt skaidrojumu par visu projektā ietverto grozījumu nepieciešamību un mērķi. Piemēram, bet ne tikai, lūdzam sniegt skaidrojumu par noteikumu projekta 30. punktā paredzēto risinājumu attiecībā uz projektā ietvertu atsevišķu normu spēkā stāšanos. Vienlaikus lūdzam anotācijas 1.3. apakšsadaļā ietvert atsauces uz noteikumu projekta punktiem, kuros tiek veikti grozījumi, lai anotācijā sniegtie skaidrojumi būtu skaidri identificējami. Papildus lūdzam noteikumu projekta anotācijā skaidrot noteikumu projektā paredzēto grozījumu ietekmi uz jau uzsāktajiem, vērtēšanā esošajiem un vēl neiesniegtajiem atbalsta pieteikumiem, kā arī noslēgtajiem līgumiem, ja tādi ir, tostarp skaidrojot, vai grozījumi ir atbalsta pieteikumu iesniedzējiem labvēlīgi.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2025.gada 18.februārī ir pieņemts Padomes īstenošanas lēmums, ar ko groza Īstenošanas lēmumu (2021. gada 13. jūlijs) par Latvijas atveseļošanas un noturības plāna novērtējuma apstiprināšanu, kas stājās spēkā 2025.gada 19.februārī, tad attiecīgā norma nav aktuāla un ir svītrota no noteikumu projekta.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grozījumu projekts paredz palielināt atbalsta apmēru par 29 020 919  EUR ar 3.1.1.7.i. pasākuma investīciju finansējumu, kā arī atmaksātā finansējuma apmēru par 5 milj. EUR,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akciju sabiedrības “Attīstības finanšu institūcija Altum” (turpmāk – sabiedrība “Altum”) noslogoto kapitālu iecenošanu, maksas apmēru, kā arī pamatojumu par vadības izmaksas izmaiņām finanšu instrumentu griezumā, lai ievērotu Attīstības finanšu institūcijas likuma 12.panta trešajā un ceturtajā daļā noteikto. Vai arī lūdzam papildināt Ministru kabineta sēdes protokollēmuma projektu ar uzdevumu Ekonomikas ministrijai viena mēneša laikā pēc Ministru kabineta noteikumu stāšanās spēkā iesniegt Ministru kabinetā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atzinumu par Ekonomikas ministrijas izstrādāto noteikumu projektu (25-TA-101) “Grozījumi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nav iespējams sniegt norādītajā laikā (3 darba dienas), ņemot vērā, ka noteikumu projektā iekļauta jaunizveidotā Atveseļošanas un noturības mehānisma 3.1.1.7.i investīcija, kuras izveide un ieviešanas nosacījumi šobrīd tiek skaņoti ar Eiropas Komisiju. Informējam, ka nepieciešams ilgāks laiks, lai pilnvērtīgi izvērtētu jaunizveidotās 3.1.1.7.i investīcijas ieviešanas nosacījumus. Finanšu ministrija atzinumu sniegs līdz 2025. gada 13.februārim.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pamatinformācijā norādīts, ka tas nav steidzams. Reizē noteikumu projekts nodots saskaņošanai steidzamības kārtībā, nosakot atzinuma sniegšanu termiņu trīs darba dienas. Vēršam uzmanību, ka 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virzīt saskaņošanai vispārējā kārtībā atbilstoši Ministru kabineta 2021. gada 7. septembra noteikumu Nr. 606 "Ministru kabineta kārtības rullis" 55.1. apakšpunktam, vai arī norādīt, ka noteikumu projekts ir steidzams, sniedzot pamatojumu steidzamībai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saskaņošanai vispārējā kārtībā atbilstoši Ministru kabineta 2021. gada 7. septembra noteikumu Nr. 606 "Ministru kabineta kārtības rullis" 55.1.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tiks nodrošināts līdzsvarots reģionālais pārklājums mājokļu būvniecības jomā (izvairoties no pārāk koncentrētām investīcijām dažās pilsētās), ņemot vērā, ka tiek svītroti ierobežojumi attiecībā uz mājokļu skaitu vienā pašvaldībā. Vienlaikus, lūdzam sagatavot uz iesūtīt atbildes uz š.g. 17.februārī saņemtajam Eiropas Komisijas neformālajiem komentāriem, kas ietvēra arī šo jautājumu par reģionālo pārklājumu.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Atbildes uz Eiropas Komisijas neformālajiem komentāriem ir nosūtītas Finanšu ministrijai š.g. 14.martā.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sniedzam šādu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 ir vērsta uz ierobežojumu atcelšanu attiecībā uz maksimālo iespējamo dzīvokļu skaitu, ko var īstenot projektu ietvaros (120 dzīvokļi lielajās pilsētās un 60 dzīvokļi ārpus tām), ņemot vērā nepietiekamo mājokļu fondu reģionos un esošo pieprasījumu pēc pieejamiem mājokļiem. Tas ir īpaši būtiski pašvaldībām, kurās notiek aktīva uzņēmējdarbības attīstība un pieejami mājokļi ir nepieciešami, lai piesaistītu un izmitinātu jaunus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 attiecīgajā administratīvajā teritorijā ir atkarīga no pašvaldības iesaistes (nepieciešamība slēgt Pilnvarojuma līgumu, reģistrēt un uzturēt rindu), pieprasījuma un attīstītāju aktivitātes un kapacitātes attiecīgajā teritorijā projektu īstenot, turklāt, apstiprināti tiek tikai dzīvotspējīgi projekti. Tādējādi, saglabājot teritoriālos dzīvokļu skaitu ierobežojumus, nevar tikt garantēta projektu īstenošana tajās teritorijās, kurās šobrīd projekti netiek īstenoti. Uzskatām, ka nav pamatoti saglabāt esošo dzīvokļu skaitu ierobežojumu, ņemot vērā pastāvošo lielo pieejamu mājokļu problemātiku un lielāku pieprasījumu atsevišķās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projektu īstenošanas viedokļa, sniedzot iespējas vienā administratīvajā teritorijā realizēt lielāku pieejamu mājokļu skaitu, nav saskatāmi riski, ņemot vērā, ka atbalsts tiek īstenots finanšu instrumenta veidā, aizdevums attīstītājam ir jāatmaksā, kapitāla atlaide var tik piešķirta tikai pie noteikta izīrēto dzīvokļu skaita, kā arī Altum apstiprina tikai dzīvotspējīgus projektus. Attiecīgi izsverot projekta īstenošanas iespējas, attīstītājs ņem vērā potenciālo pieprasījumu, naudas plūsmas un projekta dzīvotspējas potenciālu, aizdevuma atmaksas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dzīvokļu skaita ierobežojumu atcelšanas, joprojām tiek nodrošināta reģionālā darba spēka mobilitāte, nodrošinot iedzīvotājiem iespēju vieglāk pārcelties uz tām administratīvajām teritorijām, kur ir ekonomiskā attīstība, attiecīgi vairāk darba iespēju. Veicinot pieprasījumam atbilstošu mājokļu pieejamību attiecīgajā teritorijā, tas samazina darbaspēka trūkumu un palīdz reģioniem attīstīties.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3.1.1.4.i investīcijas un 3.1.1.7.i investīcijas ieviešanu un īstenošanu regulējošie tiesību akti neparedz ierobežojumu minēto investīciju ietvaros nodrošināt vienmērīgu teritoriālo pārklājumu attiecībā uz izbūvējamo dzīvokļu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dažādi kapitāla atlaides nosacījumi nekustamā īpašuma attīstītājiem, kas 3.1.1.4.i investīcijas ietvaros nodrošinās dzīvojamās īres mājas nodošanu ekspluatācijā pēc 2026.gada 31.augusta un tiem, kas slēgs līgumus sākot ar 2025.gadu gan 3.1.1.4.i, gan 3.1.1.7.i investīcijas ietvaros, nevecina nevienlīdzīgas priekšrocības starp projektiem pēc būtības līdzīgās investīcijās.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31.decembrim noslēgto 7 aizdevumu līgumu ietvaros visi projekti paredz dzīvojamās īres mājas nodošanu ekspluatācijā līdz 2026.gada augustam. 2025.gadā jauni aizdevumu līgumi nav noslēgti. Līdz ar to secināms, ka, izpildot aizdevumu līgumos paredzētos nosacījumus attiecībā uz dzīvojamās īres mājas nodošanu ekspluatācijā līdz 2026.gada augustam, 3.1.1.4.i. investīcijas ietvaros projektiem, par kuru īstenošanu aizdevumu līgumi noslēgti līdz 2024.gada 31.decembrim, nav paredzēts piemērot kapitāla atlaidi līdz 25 %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atlaides piešķiršanas nosacījumi ir grozīti objektīvu iemeslu dēļ - projektiem, par kuru īstenošanu aizdevumu līgumi tiks noslēgti sākot no 2025.gada, ņemot vērā projektu dokumentācijai nepieciešamo sagatavošanas laiku, aizdevumu līgumu noslēgšanu un, jo īpaši, atlikušo būvniecības sezonu, dzīvojamās īres mājas nodot ekspluatācijā līdz 2026.gada augustam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Dažāds kapitāla atlaides apjoms, kas atkarīgs no īres mājas nodošanas ekspluatācijā termiņa, sākotnēji noteikumos tika noteikts, lai motivētu attīstītājus savlaicīgi realizēt projektu, kas, savukārt, ir būtiski 3.1.1.4.i investīcijas mērķa - uzbūvēti 300 dzīvokļi sasniegšanai.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ne tikai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61. punkta svītrošanu, bet arī noteikumu 58.-60. punkta svītrošanu. Atgādinām, ka anotācijā nepieciešams sniegt pamatojumu visiem noteikumu projektā paredzētajiem būtiskajiem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 459 8.2.2.apakšpounktā iekļautais Atveseļošanas un noturības mehānisma (turpmāk - Atveseļošanas fonds) mērķrādītājs ir līdz 2026. gada 30. jūnijam ir apstiprināti projekti par 467 dzīvokļu būvniecību, lūdzam papildināt anotāciju, vai būs iespējams šo rādītāju sasniegt pilnā apjomā, ņemot vērā, ka 3.1.1.4.i investīcijas ietvaros vēl ir pieejami 3 625 609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zemas īres maksas mājokļu būvniecības atbalsta programmā ir noslēgti 7 aizdevuma līgumi par kopumā 446 dzīvokļu būvniecību, kas nodrošina 95.5% izpildi no sasniedzamā mērķrādītāja – līdz 2026. gada 30. jūnijam ir apstiprināti projekti par 467 dzīvokļu būvniecību. Lai sasniegtu mērķrādītāja izpildi 100 % apmērā, ir vēl nepieciešams apstiprināt projektus par vismaz 21 dzīvokļa būvniecību. Papildus noslēgtajiem 7 aizdevuma līgumiem, Altum iesniegti un vērtēšanā ir 6 projekti kopā par 203 dzīvokļu būvniecību, no kuriem 4 vērtēšanā esošajiem projektiem pieprasītais AF finansējums ir līdz 3.63 milj. euro. Tādejādi gadījumā, ja kāds kāds no šobrīd vērtēšanā esošajiem projektiem tiks apstiprināts un par tā realizēšanu tiks noslēgts aizdevuma līgums, tad mērķrādītāja izpilde tiks nodrošināta 100 %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tomēr tiktu noraidīti un/vai atsaukti visi šobrīd iesniegtie un vērtēšanā esošie projektu pieteikumi, tad mērķrādītāja izpildes termiņš, kas ir 2026. gada 30. jūnijs, ir pietiekošs laiks, lai nodrošinātu jaunu projektu iesniegšanu un mērķrādītāja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būs nepieciešams veikt grozījumus līgumā, kas noslēgts starp sabiedrību "Altum" un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sniegto informāciju pārcelt uz 6.punktu un punktā “Cita informācija” norādīt ministriju, kura pieprasīs nepieciešamo finansējumu 3.1.1.7.i. investīcijas īstenošanai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Šo noteikumu 4.punktā minēto 3.1.1.7.i. investīcijai pieejamo finansējumu var izmantot pēc tam, kad šo noteikumu 4.punktā 3.1.1.4.i. investīcijā atbalstam pieejamā brīvā finansējuma apmērs nav pietiekošs projekta finansēšanai.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Nr. 459 plānotā 4.</w:t>
            </w:r>
            <w:r w:rsidR="00000000" w:rsidRPr="00000000" w:rsidDel="00000000">
              <w:rPr>
                <w:vertAlign w:val="superscript"/>
                <w:rtl w:val="0"/>
              </w:rPr>
              <w:t xml:space="preserve">1</w:t>
            </w:r>
            <w:r w:rsidR="00000000" w:rsidRPr="00000000" w:rsidDel="00000000">
              <w:rPr>
                <w:rtl w:val="0"/>
              </w:rPr>
              <w:t xml:space="preserve"> punkta mērķi. Vēršam uzmanību, ka nav pieļaujama 3.1.1.7.i. investīcijai pieejamā finansējuma izmantošana 3.1.1.4.i. investīcijas ietvaros iesniegtu projektu īstenošanai, ja attiecīgais finansējums netiek atbrīvots no 3.1.1.7.i. investīcijas un pārdalīts uz 3.1.1.4.i. investīciju.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ar jaunu 3.1.1.7.i investīciju un papildus finansējumu, savukārt 3.1.1.4.i investīcijā vēl ir neapgūts finansējums 3 625 609 euro. Attiecīgi, lai nodrošinātu 3.1.1.4.i investīcijas finansējuma apguvi pilnā apmērā un mērķa - līdz 2026. gada 30. jūnijam ir apstiprināti projekti par 467 dzīvokļu būvniecību, izpildi (šobrīd izpilde ir 95,5 % apmērā, vēl nepieciešams apstiprināt projektus par 21 dzīvokļu būvniecību), tad šī noteikumu norma paredz primāri izmantot 3.1.1.4.i investīcijā pieejamo brīvo finansējumu, ja tas ir pietiekošs attiecīgā projekta finansēšanai.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praksi finanšu instrumentu īstenošanā sabiedrībā "Altum", ir pieejamas atbalsta programmas, kuras vienlaikus paredz vairākus finanšu avotus.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Zemas īres maksas mājokļu būvniecības projekti tiks finansēti un realizēti gan 3.1.1.4.i investīcijas, gan 3.1.1.7.i investīcijas ietvaros, un sabiedrība "Altum" nodrošinās katrā investīcijā apstiprināto projektu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projektu pieteikumu formu, tad ir paredzēts, ka tā būs vienāda gan 3.1.1.4.i investīcijai, gan 3.1.1.7.i investīcijai.  Ņemot vērā 3.1.1.4.i investīcijā atlikušo brīvo finansējumu un attiecīgā projekta lielumu un tā finansēšanai nepieciešamā AF finansējuma apmēru, attiecīgais projekts tiks virzīts lēmuma pieņemšanai un finansēšanai no vienas vai otras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sabiedrībā "Altum" vērtēšanā ir atsevišķi projekti, kuru ietvaros pieprasītais AF finansējums pārsniedz 3.1.1.4i. investīcijā pieejamo brīvo finansējumu, un to vienīgā finansēšanas un realizēšanas iespēja būtu 3.1.1.7i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Šo noteikumu 4.punktā minēto 3.1.1.7.i. investīcijai pieejamo finansējumu var izmantot pēc tam, kad šo noteikumu 4.punktā 3.1.1.4.i. investīcijā atbalstam pieejamā brīvā finansējuma apmērs nav pietiekošs projekta finansēšanai.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pievienotās vērtības nodokļa izmaksām, kas nav atgūstamas vispārējā kārtībā, izmantot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finansējumu un darbības programmas "Uzņēmējdarbība un inovācijas" 2.2.1.4.1. apakšaktivitātes "Atbalsts aizdevumu veidā komersantu konkurētspējas uzlabošanai" un citu sabiedrības “Altum” īstenošanā un Ekonomikas ministrijas pārraudzībā esošo programmu ietvaros atmaksāto publisko finansējumu kopā līdz 14 000 000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459 75. punkts paredz, ka projekta pievienotās vērtības nodokļa izmaksas, ja tās nav atgūstamas vispārējā kārtībā, un citas izmaksas, kas netiek finansētas no Atveseļošanas fonda finansējuma, var tikt finansētas </w:t>
            </w:r>
            <w:r w:rsidR="00000000" w:rsidRPr="00000000" w:rsidDel="00000000">
              <w:rPr>
                <w:u w:val="single"/>
                <w:rtl w:val="0"/>
              </w:rPr>
              <w:t xml:space="preserve">no sabiedrības "Altum" resursiem, kas noteikti šo noteikumu 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Nr. 459 plānotajā 6.1. apakšpunktā minētais finansējums uzskatāms par sabiedrības "Altum" resursiem, un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par "citu programmu ietvaros atmaksātā finansējuma" avotiem, t.sk. norādot, vai šiem avotiem nav uzlikti specifiski atkalizlietošanas ierobežojumi ar horizontālajiem normatīvajiem aktiem vai konkrēto programmu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75.punkts un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pievienotās vērtības nodokļa izmaksām, kas nav atgūstamas vispārējā kārtībā, izmantot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finansējumu un darbības programmas "Uzņēmējdarbība un inovācijas" 2.2.1.4.1. apakšaktivitātes "Atbalsts aizdevumu veidā komersantu konkurētspējas uzlabošanai" un citu sabiedrības "Altum" īstenošanā un Ekonomikas ministrijas pārraudzībā esošo programmu ietvaros atmaksāto publisko finansējumu kopā līdz 14 000 000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līdz 2025. gada 31. decembrim ir apstiprināti projekti par 410 dzīvokļu būvniecību;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Nr. 459 8.1.2.apakšpunktu, ņemot vērā, ka Atveseļošanas fonda plāna Darbības kārtība vairs neparedz šādu uzraudzības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līdz 2025. gada 31. decembrim ir apstiprināti projekti par 410 dzīvokļu būvniecību;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līdz 2025.gada 30.jūnijam ir noslēgts līgums ar sabiedrību "Altum" par 3.1.1.7.i investīcijas īstenošanu un ir veikts Atveseļošanās fonda finansējuma pārskaitījums sabiedrībai "Altum" šo noteikumu 4.punktā 3.1.1.7.i. investīcijai pieejamā finansējuma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anotācija ar Eiropas Komisijas (EK) izvirzītajām prasībām līgumam ar sabiedrību Altum" saturu atbilstoši EK priekšlikumam attiecībā uz šī mērķa aprakstu </w:t>
            </w:r>
            <w:r w:rsidR="00000000" w:rsidRPr="00000000" w:rsidDel="00000000">
              <w:rPr>
                <w:i w:val="1"/>
                <w:rtl w:val="0"/>
              </w:rPr>
              <w:t xml:space="preserve">Padomes īstenošanas lēmuma</w:t>
            </w:r>
            <w:r w:rsidR="00000000" w:rsidRPr="00000000" w:rsidDel="00000000">
              <w:rPr>
                <w:rtl w:val="0"/>
              </w:rPr>
              <w:t xml:space="preserve">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ka šis ir "atskaites punkts" atbilstoši </w:t>
            </w:r>
            <w:r w:rsidR="00000000" w:rsidRPr="00000000" w:rsidDel="00000000">
              <w:rPr>
                <w:i w:val="1"/>
                <w:rtl w:val="0"/>
              </w:rPr>
              <w:t xml:space="preserve">Padomes īstenošanas lēmuma</w:t>
            </w:r>
            <w:r w:rsidR="00000000" w:rsidRPr="00000000" w:rsidDel="00000000">
              <w:rPr>
                <w:rtl w:val="0"/>
              </w:rPr>
              <w:t xml:space="preserve"> projektā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projektu ar nosacījumiem par Atveseļošanās fonda finansējuma pārskaitījuma veikšanu sabiedrībai "Altum" 3.1.1.7.i. investīcijas īstenošanai, lai nodrošinātu mērķa nosacījumu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līdz 2025.gada 30.jūnijam ir noslēgts līgums ar sabiedrību "Altum" par 3.1.1.7.i. investīcijas īstenošanu un ir veikts Atveseļošanās fonda finansējuma pārskaitījums sabiedrībai "Altum" šo noteikumu 4.punktā 3.1.1.7.i. investīcijai pieejamā finansējuma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Ministrijas un sabiedrības "Altum" noslēgtajā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minētajā līgumā iekļauj pušu saistības par darbībām  ministrijas un sabiedrības "Altum" līmenī un sabiedrības "Altum" un  nekustamā īpašuma attīstītāju līmenī, lai 3.1.1.4.i. investīcijas īstenošanas laikā novērstu interešu konfliktu, korupciju un krāpšanu, kā arī dubultfinansējuma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noteikumi Nr. 459 tiek papildināti ar 3.1.1.7.i. investīcijas īstenošanu, lūdzam papildināt noteikumu Nr. 459 14. punktu ar atsauci arī uz 3.1.1.7.i. investīciju.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Ministrijas un sabiedrības "Altum" noslēgtajā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minētajā līgumā iekļauj pušu saistības par darbībām ministrijas un sabiedrības "Altum" līmenī un sabiedrības "Altum" un  nekustamā īpašuma attīstītāju līmenī, lai 3.1.1.4.i. investīcijas un 3.1.1.7.i. investīcijas īstenošanas laikā novērstu interešu konfliktu, korupciju un krāpšanu, kā arī dubultfinansējuma risku.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Kapitāla atlaidi atbilstoši aizdevuma līgumam ar nekustamā īpašuma attīstītāju sabiedrība "Altum" var piešķirt aizdevuma pamatsummas daļējai dzēšanai,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un izziņā ietvertajiem skaidrojumiem izriet, ka noteikumu 55.1. un 55.2. apakšpunkts attiecas uz projektiem, par kuru īstenošanu aizdevuma vai paralēlā aizdevuma līgumi ir noslēgti līdz 2025. gadam (proti, kā skaidrots izziņas 13. punktā: "</w:t>
            </w:r>
            <w:r w:rsidR="00000000" w:rsidRPr="00000000" w:rsidDel="00000000">
              <w:rPr>
                <w:i w:val="1"/>
                <w:rtl w:val="0"/>
              </w:rPr>
              <w:t xml:space="preserve">Aizdevuma līgumiem, kas noslēgti līdz 2025.gadam, tiek saglabāts esošais regulējums (55.1. un 55.2.apakšpunkts)</w:t>
            </w:r>
            <w:r w:rsidR="00000000" w:rsidRPr="00000000" w:rsidDel="00000000">
              <w:rPr>
                <w:rtl w:val="0"/>
              </w:rPr>
              <w:t xml:space="preserve">"). Aicinām izvērtēt, vai tiesiskās skaidrības un noteiktības labad nav nepieciešams to nepārprotami noteikt arī noteikumu tekstā, precizējot noteikumu 55.1. un 55.2.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55.1. un 55.2.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Kapitāla atlaidi atbilstoši aizdevuma līgumam ar nekustamā īpašuma attīstītāju sabiedrība "Altum" var piešķirt aizdevuma pamatsummas daļējai dzēšanai,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3.1.1.4.i. investīcijas un 3.1.1.7.i. investīcijas ietvaros projektiem, par kuru īstenošanu aizdevuma vai paralēlā aizdevuma līgumi ir noslēgti sākot no 2025.gada un kuru ietvaros tiek nodrošināta dzīvojamās īres mājas nodošana ekspluatācijā, ir piemērojama kapitāla atlaide līdz 30 % no sabiedrības "Altum" aizdevuma vai paralēlā aizdevuma, kas tiek finansēts no šo noteikumu 4. punktā minētā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Nr. 459 55. punktu, paredzot regulējumu par kapitāla atlaides piemērošanu, ja aizdevuma vai paralēlā aizdevuma līgumi noslēgti līdz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Aizdevuma līgumiem, kas noslēgti līdz 2025.gadam, tiek saglabāts esošais regulējums (55.1. un 55.2.apakšpunkts). Atbilstoši Tieslietu ministrijas 10.marta priekšlikumam, tiek tehniski precizēts noteikumu 55.1. un 55.2. apakšpunkts, lai nodrošinātu viennozīmīgu skaidrību par projektiem, kuriem piemērojams noteikumu 55.1. un 55.2.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vienā kalendāra mēnesī no vairākiem nekustamā īpašuma attīstītājiem tiks saņemti atbalsta pieteikumi par projektu īstenošanu vienā administratīvajā teritorijā un vienlaikus iesniegto projektu ietvaros kopējais īres dzīvokļu skaits pārsniegs 120 dzīvokļus Daugavpils valstspilsētas, Jelgavas valstspilsētas, Liepājas valstspilsētas, Rēzeknes valstspilsētas, Ventspils valstspilsētas, Ogres novada, Valmieras novada un Jēkabpils novada administratīvajā teritorijā vai 60 īres dzīvokļus ārpus minētajām administratīvajām teritorijām, tad atbalstīts tiks atbalsta pieteikums, ņemot vērā šādus nosacījumus šādā secībā: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atsevišķus projektu ranžēšanas nosacījumus, lai nodrošinātu pēc iespējas lielāku investīciju atdevi sociālo problēmu risināšanā, t.sk. jo īpaši lūdzam saglabāt priekšrocības nosacījumus par zemāku īres maksu par lietderīgās platības kvadrātmetru. Papildus vēršam uzmanību, ka šis nosacījums būtisks </w:t>
            </w:r>
            <w:r w:rsidR="00000000" w:rsidRPr="00000000" w:rsidDel="00000000">
              <w:rPr>
                <w:i w:val="1"/>
                <w:rtl w:val="0"/>
              </w:rPr>
              <w:t xml:space="preserve">Padomes īstenošanas lēmuma i</w:t>
            </w:r>
            <w:r w:rsidR="00000000" w:rsidRPr="00000000" w:rsidDel="00000000">
              <w:rPr>
                <w:rtl w:val="0"/>
              </w:rPr>
              <w:t xml:space="preserve">etverto nosacījumu izpildes pierādīšanai attiecībā uz mājokļu pieejamību, t.sk. ņemot vērā no EK saņemtos jautājumus Atveseļošanas fonda 101.mērķrādītāja </w:t>
            </w:r>
            <w:r w:rsidR="00000000" w:rsidRPr="00000000" w:rsidDel="00000000">
              <w:rPr>
                <w:i w:val="1"/>
                <w:rtl w:val="0"/>
              </w:rPr>
              <w:t xml:space="preserve">cover note</w:t>
            </w:r>
            <w:r w:rsidR="00000000" w:rsidRPr="00000000" w:rsidDel="00000000">
              <w:rPr>
                <w:rtl w:val="0"/>
              </w:rPr>
              <w:t xml:space="preserve"> 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kādu iemeslu dēļ līdz šim praksē nav izpildījušies noteikumu Nr. 459 61.2., 61.3.apakšpunktā minētie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Iesniegšanas datums viena mēneša ietvaros nav būtisks, jo atbalsta programmā katrs projekts ir individuāls, tā gatavības stadija atšķiras un projekta izvērtēšanas process ir ilgs un komplicēts, tai skaitā, ņemot vērā dažādu iesniegtās informācijas un dokumentācijas kvalitāti. Uz lēmuma pieņemšanu par projekta apstiprināšanu tiek virzīti projekti, kam iesniegta korekta visa sākotnējā dokumentācija un ir izvērtēta visa iesniegtā papildinformācija, piemēram, informācija par attīstītāja finanšu līdzekļu izcelsmi, attīstītāja saistītajām personām u.c. Ar katru attīstītāju sadarbība, tai skaitā, izvērtēšanai nepieciešamā papildus informācija ir atšķirīga, arī laika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īres maksas kritēriju (61.2.apakšpunkts), skaidrojam, ka attīstītāji projektā cenšas piemērot attiecīgā gada maksimāli iespējamo īres maksu un tā tiek noteikta apmērā, lai nodrošinātu projekta dzīvotspēju. Projekta ietvaros īres maksa ir indikatīva un tā pēc ēkas nodošanas ekspluatācijā var mainīties atbilstoši faktiskajām naudas plūsmām, nepārsniedzot maksimāli iespējamo attiecīgā gada Ekonomikas ministrijas aprēķināto īres maksu, un tas ir saskaņā ar MK noteikumu Nr.459 nosacījumiem. Tādēļ praktiski šāda kritērija piemērošana nav pamatota, jo negarantē sākotnēji projektā noteikto īres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61.3. apakšpunktā noteikto kritēriju attiecībā uz dzīvojamās īres mājas nodošanu ekspluatācijā līdz 2026. gada 31. augustam vērtēšanā esošajiem un jaunajiem projektiem nav iespējams izpildīt, ņemot vērā atlikušo būvniecības sezonu un nepieciešamās darbības ēkas nodošanai ekspluatācijā līdz 2026.gada 31.augustam. Papildus jānorāda, ka ar noteikumu projektu ir paredzēts grozīt kapitāla atlaides piemērošanas nosacījumus, un ir paredzēts piemērot kapitāla atlaidi 30 % apmērā 2025.gadā un turpmāk iesniegtajiem un apstiprinātajiem projektiem, neatkarīgi no dzīvojamās īres mājas nodošanas ekspluatācijā termiņa. Sākotnēji šāds īres maksas kritērijs tika noteikts, lai motivētu attīstītājus dzīvojamo īres māju nodot ekspluatācijā ātrāk, saņemot maksimāli iespējamo kapitāla atlaidi un sniedzot ieguldījumu 3.1.1.4.i investīcijas mērķa - līdz 2026. gada 30. jūnijam ir uzbūvēti 300 dzīvokļi,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noteikumu projekts ir iesniegts Eiropas Komisijā, un par šo apakšpunktu grozījumiem nav saņemti iebildumi no Eiropas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arī norādāms, ka 2025.gada 18.februārī pieņemtais Padomes īstenošanas lēmums, ar ko groza Īstenošanas lēmumu (2021. gada 13. jūlijs) par Latvijas atveseļošanas un noturības plāna novērtējuma apstiprināšanu un attiecīgie Latvijas Atveseļošanās un noturības mehānisma plāna grozījumi neparedz nosacījumus attiecībā uz īres maksu 3.1.1.7.i investīcijas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vienā kalendāra mēnesī no vairākiem nekustamā īpašuma attīstītājiem tiks saņemti atbalsta pieteikumi par projektu īstenošanu vienā administratīvajā teritorijā un vienlaikus iesniegto projektu ietvaros kopējais īres dzīvokļu skaits pārsniegs 120 dzīvokļus Daugavpils valstspilsētas, Jelgavas valstspilsētas, Liepājas valstspilsētas, Rēzeknes valstspilsētas, Ventspils valstspilsētas, Ogres novada, Valmieras novada un Jēkabpils novada administratīvajā teritorijā vai 60 īres dzīvokļus ārpus minētajām administratīvajām teritorijām, tad atbalstīts tiks atbalsta pieteikums, ņemot vērā šādus nosacījumus šādā secībā: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Grozījumi šo noteikumu 8.1.2. un </w:t>
            </w:r>
            <w:r w:rsidR="00000000" w:rsidRPr="00000000" w:rsidDel="00000000">
              <w:rPr>
                <w:rtl w:val="0"/>
              </w:rPr>
              <w:t xml:space="preserve">8.2.2.</w:t>
            </w:r>
            <w:r w:rsidR="00000000" w:rsidRPr="00000000" w:rsidDel="00000000">
              <w:rPr>
                <w:rtl w:val="0"/>
              </w:rPr>
              <w:t xml:space="preserve"> apakšpunktā</w:t>
            </w:r>
            <w:r w:rsidR="00000000" w:rsidRPr="00000000" w:rsidDel="00000000">
              <w:rPr>
                <w:rtl w:val="0"/>
              </w:rPr>
              <w:t xml:space="preserve"> par izmaiņām pasākuma ietvaros sasniedzamo mērķrādītāju vērtībās stājas spēkā vienlaikus ar Eiropas Komisijas lēmumu par attiecīgajiem Atveseļošanas fonda plāna grozījumu priekšlikumiem. Ekonomikas ministrija pēc tam, kad Eiropas Komisija pieņēmusi lēmumu par Atveseļošanas fonda plāna grozījumu priekšlikumiem, nosūta attiecīgu paziņojumu publicēšanai oficiālajā izdevumā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noteikumu 87. punktā nav paredzēti, aicinām novērst tehnisku nepilnību un svītrot noteikumu projekta 34.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87.punktā ir veikti tehniski precizējumi, noņemot 87.punktā sasaisti (linku) ar 8.1.2.apakšpunktu, kurš noteikumu projektā tiek svītrots. Pretējā gadījumā nevar saglabāt izmaiņas attiecībā uz 8.1.2.apakšpunkta svītrošanu.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Grozījumi šo noteikumu 8.1.2. un </w:t>
            </w:r>
            <w:r w:rsidR="00000000" w:rsidRPr="00000000" w:rsidDel="00000000">
              <w:rPr>
                <w:rtl w:val="0"/>
              </w:rPr>
              <w:t xml:space="preserve">8.2.2.</w:t>
            </w:r>
            <w:r w:rsidR="00000000" w:rsidRPr="00000000" w:rsidDel="00000000">
              <w:rPr>
                <w:rtl w:val="0"/>
              </w:rPr>
              <w:t xml:space="preserve"> apakšpunktā</w:t>
            </w:r>
            <w:r w:rsidR="00000000" w:rsidRPr="00000000" w:rsidDel="00000000">
              <w:rPr>
                <w:rtl w:val="0"/>
              </w:rPr>
              <w:t xml:space="preserve"> par izmaiņām pasākuma ietvaros sasniedzamo mērķrādītāju vērtībās stājas spēkā vienlaikus ar Eiropas Komisijas lēmumu par attiecīgajiem Atveseļošanas fonda plāna grozījumu priekšlikumiem. Ekonomikas ministrija pēc tam, kad Eiropas Komisija pieņēmusi lēmumu par Atveseļošanas fonda plāna grozījumu priekšlikumiem, nosūta attiecīgu paziņojumu publicēšanai oficiālajā izdevumā "Latvijas Vēstnesis".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Grozījumi šo noteikumu 4.punktā par 3.1.1.7.i. investīcijai pieejamo finansējumu un šo noteikumu 8.1 punkts stājas spēkā vienlaikus ar Eiropas Komisijas lēmumu par attiecīgajiem Atveseļošanas fonda plāna grozījumu priekšlikumiem. Ekonomikas ministrija pēc tam, kad Eiropas Komisija pieņēmusi lēmumu par Atveseļošanas fonda plāna grozījumu priekšlikumiem, nosūta attiecīgu paziņojumu publicēšanai oficiālajā izdevumā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noteikumu projektu regulējums par 3.1.1.7.i. investīcijas īstenošanu iekļauts arī citās noteikumu Nr. 459 normās. Ievērojot minēto, lūdzam izvērtēt iespēju precizēt noteikumu Nr. 459 plānoto 88. punktu un tā pirmajā teikumā iekļaut vispārīgu normu par to, ka grozījumi noteikumos Nr. 459, kas paredz to papildināšanu ar regulējumu par 3.1.1.7.i. investīcijas īstenošanu, stājas spēkā vienlaikus ar attiecīgo Eiropas Komisijas lēmumu. Norādām, ka atbilstoši juridiskās tehnikas prasībām tiesību normai ir jābūt skaidrai, lai tās lietotājs un piemērotājs gūtu nepārprotamu priekšstatu par normā ietvertajiem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2025.gada 18.februārī ir pieņemts Padomes īstenošanas lēmums, ar ko groza Īstenošanas lēmumu (2021. gada 13. jūlijs) par Latvijas atveseļošanas un noturības plāna novērtējuma apstiprināšanu, kas stājās spēkā 2025.gada 19.februārī, tad attiecīgā norma nav aktuāla un ir svītrota no noteikumu projekta.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25-TA-101</w:t>
    </w:r>
    <w:r>
      <w:br/>
    </w:r>
    <w:r w:rsidR="00000000" w:rsidRPr="00000000" w:rsidDel="00000000">
      <w:rPr>
        <w:rtl w:val="0"/>
      </w:rPr>
      <w:t xml:space="preserve">18.03.2025. 17.17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25-TA-101</w:t>
    </w:r>
    <w:r>
      <w:br/>
    </w:r>
    <w:r w:rsidR="00000000" w:rsidRPr="00000000" w:rsidDel="00000000">
      <w:rPr>
        <w:rtl w:val="0"/>
      </w:rPr>
      <w:t xml:space="preserve">18.03.2025. 17.17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Izziņa_25-TA-101.docx</dc:title>
</cp:coreProperties>
</file>

<file path=docProps/custom.xml><?xml version="1.0" encoding="utf-8"?>
<Properties xmlns="http://schemas.openxmlformats.org/officeDocument/2006/custom-properties" xmlns:vt="http://schemas.openxmlformats.org/officeDocument/2006/docPropsVTypes"/>
</file>