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1.6. apakšpunktā un MK noteikumu  anotācijā minēto, ka Atveseļošanas fonda investīcijām un  Eiropas Savienības Kohēzijas politikas programmas 2021. – 2027. gadam specifiskā atbalsta mērķa pasākumiem izglītības piedāvājuma bezdarba riskam pakļautām  personām nodrošināšanai un to demarkāciju lemj Cilvēkkapitāla attīstības padome. Saskaņā ar cilvēkkapitāla attīstības pārvaldības modeli, kas ir iekļauta Cilvēkkapitāla attīstības stratēģijas projektā un kas konceptuāli tika atbalstīta Cilvēkkapitāla attīstības padomē, pasūtījumu darba tirgus vajadzībām veidos Ekonomikas ministrija sadarbībā ar darba devējiem un apstiprinās  Ekonomikas ministrijas Apvienotā pieaugušo izglītības koordinācijas komisija (nevis padome), tādējādi mazinot arī mācību piedāvājuma sadrumstalotību un pārklāšanos.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kurā noteikts Nodarbinātības valsts aģentūras (turpmāk – NVA) pienākums investīcijas atbalsta demarkācijas nodrošināšanai. Precizēta noteikumu projekta anotācijas 1. 6. apakšsadaļā “Cita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ņemts vērā arī Tieslietu ministrijas (turpmāk – TM) iebildums. Skatīt izziņas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anotācijas sadaļā "problēmas aprakts, kā arī sadaļa "cita informācija" pie demarkācijas apraksta papildināt ar informāciju/atsauci arī uz IZM pārziņā esošo Taisnīgas Pārkārtošanās fonda 6.1.1. specifiskā atbalsta mērķa "Pārejas uz klimatneitrālitāti radīto ekonomisko, sociālo un vides seku mazināšana visvairāk skartajos reģionos" 6.1.1.5. pasākumu "Nodarbināto prasmju paaugstināšana un atbalsts kvalifikācijas iegūšanai, atbalsts darbaspēka mācībām saskaņā ar uzņēmumu pieprasījumu", kā īstenošana plānota no 2024.-2029 gadam, paredzot  atbalstu Kurzemes, Latgales, Vidzemes un Zemgales statistiskā reģiona iedzīvotāju prasmju paaugstināšanai un atbalstu profesionālās kvalifikācijas iegūšanai, lai pielāgotos ekonomikas zaļās pārkārtošanās rezultātā radītajām darba tirgus vajadzībām, kā arī paredzot atbalstu pārejas uz klimatneitrālu ekonomiku visvairāk skarto reģionu ekonomiskās transformācijas virzieniem atbilstošu speciālistu sagatavošanai īsā cikla izglītības programmās, tai skaitā darba vidē balstītu mācību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veikti precizējumi noteikumu projekta anotācijas 1.3. apakšadaļā “Pašreizējā situācija, problēmas un risinājumi” un 1.6.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Cilvēkkapitāla attīstības padomes ietvaros panākta vienošanās, ka Ekonomikas ministrija sadarbībā ar darba devējiem sagatavo nozaru darba tirgus prognozes un  ikgadēju datos balstītu nozaru vajadzību pasūtījumu, kā arī Cilvēkkapitāla attīstības padome, apvienotā Ekonomikas ministrijas Pieaugušo izglītības  komisija nodrošina cilvēkkapitāla prasmju attīstības pasūtījumu un veic rezultātu uzraudzību, aicinām attiecīgos uzdevumus/pienākumus ietvert un atrunāt 3.1.2.5.i investīcijas ieviešanas nosacījumos, lai tas visām pusēm būtu viennozīmīgi skaidrs. Rosinām papildināt anotāciju, norādot, ka  atbilstoši Cilvēkkapitāla attīstības padomes ietvaros iezīmētajam resoru atbildības sadalījumam tiek plānots, ka Ekonomikas ministrija, balstoties vienotiem kritērijiem apkopo, izvērtē un sagatavo darba tirgus prognozes un sagatavo ikgadējo nozaru tautsaimniecības vajadzībās un nodarbinātības analīzē balstītu pieprasījumu, un sadarbībā ar nozaru ekspertu padomēm sagatavo darba tirgus pieprasījumam un tautsaimniecības nozaru attīstībai nepieciešamās profesionālās kvalifikācijas un prasmes nozaru un profesiju griezumā un tā nepieciešamo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precizēta noteikumu projekta anotācijas 1.6. apakšsadaļā “Cita informācija” ietvertā informācija. Skaidrojam, ka investīcijas noteikumu 26.2.1. apakšpunktā ir noteikts, ka investīcijas atbalstāmās darbības un izmaksas plāno atbilstoši normatīvajiem aktiem par aktīvo nodarbinātības pasākumu un preventīvo bezdarba samazināšanas pasākumu organizēšanas un finansēšanas kārtību un pasākumu īstenotāju izvēles principiem, t.i. atbilstoši Ministru kabineta 2011. gada 25. janvāra noteikumos Nr. 75 "Noteikumi par aktīvo nodarbinātības pasākumu un preventīvo bezdarba samazināšanas pasākumu organizēšanas un finansēšanas kārtību un pasākumu īstenotāju izvēles principiem" (turpmāk – MK noteikumi Nr. 75), ciktāl investīcijas īstenošanas noteikumi nenosaka citādi. MK noteikumu Nr. 75 22. punktā ir noteikta arī Ekonomikas ministrijas (turpmāk – EM) Apvienotās pieaugušo izglītības  koordinācijas komisijas loma. Tā pat noteikts, ka komisijas sastāvu un nolikumu apstiprina ekonomikas ministrs. Investīcijas noteikumos nav nepieciešams dublēt šo informāciju, tomēr izskaidrojoša informācija ietverta noteikumu projekta anotācijas 1.6.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šo noteikumu grozījumu projektā un anotācijā ietverto informāciju par Cilvēkkapitāla attīstības padomi, aizstājot to ar Apvienoto pieaugušo izglītības koordinācijas komisiju. Saskaņā ar MK noteikumu Nr.75 22. punktu par Ekonomikas ministrijas izveidoto komisiju informējam, ka apstiprināšanai tiek virzīts Apvienotās pieaugušo izglītības koordinācijas komisijas nolikums (turpmāk - Komisija), saskaņā ar kuru viens no Komisijas uzdevumiem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noteikt, izskatīt, apstiprināt un aktualizēt Ekonomikas ministrijas, Izglītības un zinātnes ministrijas un Labklājības ministrijas atbildībā esošo valsts budžeta, Latvijas Atveseļošanas un noturības mehānisma (turpmāk – ANM) plāna un Eiropas Savienības fondu finansēto pieaugušo izglītības pasākumu prioritāri atbalstāmās mērķa grupas, mācību virzienus un jomas, izglītības programmas vai plānotos mācību kursus, nepieciešamības gadījumā nosakot mācību apjomu un prioritāri apgūstamās prasmes, kā arī citus atbalsta pasākumus nodarbināto, bezdarbnieku, darba meklētāju un bezdarba riskam pakļauto personu konkurētspējas veicināšanai darba tirgū, saskaņā ar cilvēkkapitāla attīstības stratēģiskajiem mērķiem, darba tirgus un tautsaimniecības nozaru attīstības prognozēm, t.sk. noteikt un apstiprināt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ANM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(turpmāk – ANM 3.1.2.5.i) mācības bezdarbnieku, darba meklētāju un bezdarba riskam pakļauto personu kvalifikācijas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kurā noteikts NVA pienākums investīcijas atbalsta demarkācijas nodrošināšanai. Precizēta noteikumu projekta anotācijas 1. 6. apakšsadaļā “Cita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ņemts vērā arī TM iebildums,  skatīt izziņas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sadaļas 1. tabulā ietverto informāciju par Komisijas 2023. gada 13. decembra Regulas (ES) 2023/2831 par Līguma par ES darbību 107. un 108. panta piemērošanu de minimis atbalstam (turpmāk - Komisijas regula 2023/2831) prasību ieviešanu noteikumu projektā, precizējot vai svītrojot norādes uz 107., 108. pantu, jo minētajā regulā nav šādu vienību, kā arī 7. panta 4. punktu, ievērojot, ka noteikumu projektā nav tiesību normu, ar kurām tiktu ieviesta attiecīgā regulas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precizēta informācija noteikumu projekta anotācijas 5.4. apakšsadaļas “Tiesību akta projekta atbilstība ES tiesību aktiem” 1. tabulā. Tāpat precizēts noteikumu projekta 1.15. apakšpunkts (iepriekš 1.13. apakšpunkts), norādot atsauci uz Komisijas 2023. gada 13. decembra Regulas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2023/2831) 7.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līdz 2023. gada 31. decembrim – digitālā rīka izstrāde prasmju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cilvēkkapitāla jautājumu integrāciju Ekonomikas ministrijas koordinācijā, lūdzam anotācijā sniegt skaidrojumu par jaunveidojamā digitālā rīka starpnozaru izmantošanas iespējām, plānoto procedūru starpresoru saskaņošanai, integrāciju ar šobrīd esošajiem izglītības sistēmas risinājumiem un iespēju iekļaut vienā IT infrastruktūrā. Norādām, ka ņemot vērā darba tirgus prognožu konsolidāciju Ekonomikas ministrijā un nepieciešamību izstrādāt sinhronizētus risinājumu attiecībā uz izglītības piedāvājumu, risinājums būtu realizējams, iespējams, pārresoru sadarbībā vai iesaistot par valsts digitālajām sistēmām atbildīgās institūcijas, garantējot sistēmu ilgtspēju un funkcionālo lietderību.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digitālais rīks prasmju novērtēšanai (divi testi) atbilstoši investīcijas noteikumu 6.1.2. apakšpunktā norādītajam termiņam ir izstrādāts un ieviests lietošanā. Digitālais rīks prasmju novērtēšanai, ir pieejams https://testi.ekarjera.lv/ un ietver divus testus: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tests “Prasmju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https://testi.ekarjera.lv/tests/prasmju-novertesana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tests “Prasmju novērtēšana darbam dažādos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https://testi.ekarjera.lv/tests/prasmju-novertesana-darbam-dazados-apstaklos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pieņemto lēmumu par tālāko mācību piedāvājuma koordinēšanu Apvienotajā pieaugušo izglītības koordinācijas komisijā, izstrādātais digitālais rīks ir NVA instruments mērķa grupas prasmju noteikšanai. Vienlaikus papildināta noteikumu projekta anotācijas 1. 6. apakšsadaļā “Cita informācija” ietvertā informācija par to, ka  LM plāno ierosināt diskusiju Apvienotajā pieaugušo izglītības koordinācijas komisijā, lai nodrošinātu, ka izstrādātais digitālais rīks kļūst par integrētu sastāvdaļu kopējam horizontālajam pieaugušo prasmju novērtēšanas digitālajam rīkam, kuru plānots izstrādāt, veidojot individuālos mācību kontus iedzīvotājiem, kā arī citos ar pieaugušo izglītību saistītajos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anotācijā aprakstīts, ka ir plānota arī sadarbība ar Izglītības un zinātnes ministriju un Valsts izglītības attīstības aģentūru (turpmāk – VIAA) digitālā rīka iespējamai integrēšanai  un savietojamībai ar plānoto Prasmju pārvaldības platformu Atveseļošanas fonda investīcijas 2.3.1.4.i. “Individuālo mācību kontu pieejas attīstība” ietvaros. Papildus jāatzīmē, ka digitālais rīks ir pieejams jebkuram interesentam, to aizpildot iepriekš pieminētajās tīmekļa vietnes saitēs.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līdz 2023. gada 31. decembrim – digitālā rīka izstrāde prasmju novērtēšanai;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Atskaites punktu, mērķrādītāju, uzraudzības rādītāja un kopējo rādītāju sasniegšanu apliecina Kohēzijas politikas fondu vadības informācijas sistēmā (turpmāk – vadības informācijas sistēma) pieejams šāds dokumentu un informācijas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konkrētā MK noteikumu projekta punkta redakciju saskaņot ar plānoto pieaugušo izglītības sistēmas pārvaldības modeli vai tā darbības principiem atbilstoši Cilvēkkapitāla attīstības padomes lēmumiem.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precizēta noteikumu projekta 1.7. apakšpunkta (iepriekš 1.6. apakšpunkts) redakcija, svītrojot noteikumu 21. punktu. Noteikumu projekts papildināts ar 1. 10. apakšpunktu, kurā noteikts NVA pienākums investīcijas atbalsta demarkācijas nodrošināšanai. Precizēta noteikumu projekta anotācijas 1. 6. apakšsadaļā “Cita informācija” ietvertā informācija, nosakot, ka, lai nodrošinātu pieejamā atbalsta pieaugušo izglītībai savstarpēju saskaņotību un papildināmību, turpmāk lēmumus attiecībā uz investīcijas mērķa grupai (bezdarbniekiem, darba meklētājiem un bezdarba riskam pakļautām personām) pieejamiem mācību pasākumiem pieņems un apstiprinās Apvienotā pieaugušo izglītības koordinācijas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anotācija papildināta ar šādu informāciju – LM plāno ierosināt diskusiju Apvienotajā pieaugušo izglītības koordinācijas komisijā, lai nodrošinātu, ka izstrādātais digitālais rīks kļūst par integrētu sastāvdaļu kopējam horizontālajam pieaugušo prasmju novērtēšanas digitālajam rīkam, kuru plānots izstrādāt, veidojot individuālos mācību kontus iedzīvotājiem, kā arī citos ar pieaugušo izglītību saistītajos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jāmin, ka investīcijas atskaites punkti, mērķrādītāji, uzraudzības rādītājs un kopējie rādītāji tika apstiprināti, izstrādājot Latvijas Atveseļošanas un noturības mehānisma plānu (https://likumi.lv/ta/id/322858-par-latvijas-atveselosanas-un-noturibas-mehanisma-planu). Šī noteikumu projekta mērķis (attiecībā uz digitālo rīku prasmju novērtēšanai) ir tehniski precizēt izstrādātā rīka nosaukumu un būtību (viens rīks – online platforma, kurā iekļauti vairāki testi). Ar šo noteikumu projektu nav plānots noteikt jaunus vai izslēgt iepriekš definētos atskaites punktus, mērķrādītājus un  uzraudzības rādītāju un kopējos rādītājus, bet veikt tehniskus precizējumus, kas tika izdiskutēti un saskaņoti iepriekš ar Eiropas Komisiju un Finanšu ministriju (turpmāk – FM), tos apstiprinot ar 2023. gada 8. decembrī pieņemto Padomes īstenošanas lēmumu, ar ko groza Īstenošanas lēmumu (13.07.2021) par Latvijas atveseļošanas un noturības plāna novērtējuma apstiprināšanu, oficiālās publikācijas saite – https://eur-lex.europa.eu/legal-content/LV/TXT/PDF/?uri=CONSIL:ST_15569_2023_INIT.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arī izziņas 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Atskaites punktu, mērķrādītāju, uzraudzības rādītāja un kopējo rādītāju sasniegšanu apliecina Kohēzijas politikas fondu vadības informācijas sistēmā (turpmāk – vadības informācijas sistēma) pieejams šāds dokumentu un informācijas kopums: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šo noteikumu </w:t>
            </w:r>
            <w:r w:rsidR="00000000" w:rsidRPr="00000000" w:rsidDel="00000000">
              <w:rPr>
                <w:rtl w:val="0"/>
              </w:rPr>
              <w:t xml:space="preserve">6.1.1.</w:t>
            </w:r>
            <w:r w:rsidR="00000000" w:rsidRPr="00000000" w:rsidDel="00000000">
              <w:rPr>
                <w:rtl w:val="0"/>
              </w:rPr>
              <w:t xml:space="preserve"> apakšpunktā minētā atskaites punkta sasniegšanai Labklājības ministrijas izveidotās mācību komisijas sēdes protokola, ar kuru apstiprināts jauns pārkvalificēšanās un prasmju pilnveides izglītības programmu saraksts (tostarp digitālo prasmju izglītības programmas) finansējuma saņēmēja klientiem, kopija un izraksts no tā attiecīgajām daļām, kas apstiprina atbilstību norādītajam atskaites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kopijas un izraksti ir dokumentu atvasinājumu veidi un, ja iesniedzama ir dokumenta kopija, pirmšķietami nav pamatoti un ir lieks administratīvais slogs prasīt iesniegt arī izrakstu. Attiecīgi lūdzam izvērtēt un precizēt noteikumu projekta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noteikumu projekta 1.3. apakšpunkts (iepriekš –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6.1.1. apakšpunktā minētais atskaites punkts ir izpildīts 2023. gadā. Dokumenti, kas jāpievieno Kohēzijas politikas fondu vadības informācijas sistēmā, lai pamatotu atskaites punkta izpildi, ir noteikti Darbības kārtībā. Ar izrakstu šajā gadījumā saprot īsu kopsavilkuma informāciju (apraksts), kas apliecina, ka dokumentos ietvertā informācija aptver atskaites punkta izpildi pamatojošo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šo noteikumu </w:t>
            </w:r>
            <w:r w:rsidR="00000000" w:rsidRPr="00000000" w:rsidDel="00000000">
              <w:rPr>
                <w:rtl w:val="0"/>
              </w:rPr>
              <w:t xml:space="preserve">6.1.1.</w:t>
            </w:r>
            <w:r w:rsidR="00000000" w:rsidRPr="00000000" w:rsidDel="00000000">
              <w:rPr>
                <w:rtl w:val="0"/>
              </w:rPr>
              <w:t xml:space="preserve"> apakšpunktā minētā atskaites punkta sasniegšanai Labklājības ministrijas izveidotās mācību komisijas sēdes protokola, ar kuru apstiprināts jauns pārkvalificēšanās un prasmju pilnveides izglītības programmu saraksts (tostarp digitālo prasmju izglītības programmas) finansējuma saņēmēja klientiem, kopija un apraksts no tā attiecīgajām daļām, kas apstiprina atbilstību norādītajam atskaites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6.2.</w:t>
            </w:r>
            <w:r w:rsidR="00000000" w:rsidRPr="00000000" w:rsidDel="00000000">
              <w:rPr>
                <w:rtl w:val="0"/>
              </w:rPr>
              <w:t xml:space="preserve"> apakšpunktā minēto mērķrādītāju un </w:t>
            </w:r>
            <w:r w:rsidR="00000000" w:rsidRPr="00000000" w:rsidDel="00000000">
              <w:rPr>
                <w:rtl w:val="0"/>
              </w:rPr>
              <w:t xml:space="preserve">6.3.</w:t>
            </w:r>
            <w:r w:rsidR="00000000" w:rsidRPr="00000000" w:rsidDel="00000000">
              <w:rPr>
                <w:rtl w:val="0"/>
              </w:rPr>
              <w:t xml:space="preserve"> apakšpunktā minētā uzraudzības rādītāja sasniegšanai šāda finansējuma saņēmēja sagatavota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nacionālos rezultāta rādītājus, demonstrējot ciešu sasaisti ar ietekmi un nodarbinātību, nosakot, ka rezultāts ir realizēto mācību ietvaros konkrētā dalībnieka iesaiste atbilstošā nozarē vismaz 6 mēnešu laikā pēc mācību noslēgšanās. Aicinām izmantot ncionālo rādītāju definēšanā kvalitatīvus KPI par sagaidāmo ietekmi tautsaimniecībā.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atskaites punkti, mērķrādītāji, uzraudzības rādītājs un kopējie rādītāji ir noteikti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Padomes īstenošanas lēmumam par Latvijas atveseļošanas un noturības plāna novērtējuma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 gada 1. februāra noteikumiem Nr. 90 “Par Atveseļošanas fonda plāna Darbības kārtību, par kuru vienojas Eiropas Komisija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2021. gada 28. septembra Deleģētai regulai (ES) Nr. 2021/2106, ar kuru, nosakot atveseļošanas un noturības rezultātu pārskata kopējos rādītājus un detalizētos elementus, papildina Eiropas Parlamenta un Padomes Regulu (ES) 2021/241, ar ko izveidots Atveseļošanas un noturības mehānismu pielikums “Kopējo rādītāju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paredz Vadlīniju informatīvā ziņojuma vai Ministru kabineta noteikumu izstrādei par Eiropas Savienības Atveseļošanas un noturības mehānisma plāna reformas vai investīcijas ieviešanu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mācību pasākumu ietekme uz personas iespējām iekārtoties darbā tiek vērtēta regulāri un neatkarīgi no kāda finanšu instrumenta tie finansēti. Tā pat mācību pasākumu ietekme uz personas spēju iekārtoties darbā tiek vērtēta arī, ja tas nav noteikts kā uzraudzības rādītājs investīcijas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tiek veikti arī aktīvās darba tirgus politikas pasākumu izvērtējumi. 2022. gadā FM pasūtītā izvērtējuma “ES fondu ieguldījumu ilgtspējīgas un kvalitatīvas nodarbinātībā un darbaspēka mobilitātē 2014. – 2020. gada plānošanas periodā lietderības, efektivitātes un ietekmes 2022. gada izvērtējums”  ietvaros ar kontrafaktuālo izvērtējumu metodēm tika vērtēta NVA īstenoto mācību pasākumu ieguldījumu lietderība un efektivitāte nodarbinātības veicināšanā. Izvērtējuma rezultāti liecina, ka mācību pasākumiem ir labvēlīga un pozitīva ietekme uz dalībnieku spējām kļūt nodarbinātiem pēc noteikta laika perioda (dalībnieku nodarbinātības situācija tika salīdzināta 6, 12 un 18 mēnešu periodā). Tāpat 2022. gada periodā pēc dalības profesionālajās mācībās darbā pirmo sešu mēnešu laikā iekārtojās 48,2 % personas, kas ir uzskatāms kā augsts ietekmes novērtējuma rādītājs arī ES dalībvalstu vidū. Vēl pozitīvāki rezultāti konstatēti pasākumā “Apmācība pie darba devēja”, t.i., pēc dalības pabeigšanas 6 mēnešu laikā darbā atradās līdz 70% pasākuma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anotācijā norādīto, ka indikatīvi 2025. gada IV ceturksnī plānots uzsākt programmas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īstenošanu, kas ir plānots kā turpinājums 3.1.2.5.i. investīcijai, LM izvērtēs iespēju noteikt papildu nacionālos rādītājus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6.2.</w:t>
            </w:r>
            <w:r w:rsidR="00000000" w:rsidRPr="00000000" w:rsidDel="00000000">
              <w:rPr>
                <w:rtl w:val="0"/>
              </w:rPr>
              <w:t xml:space="preserve"> apakšpunktā minēto mērķrādītāju un </w:t>
            </w:r>
            <w:r w:rsidR="00000000" w:rsidRPr="00000000" w:rsidDel="00000000">
              <w:rPr>
                <w:rtl w:val="0"/>
              </w:rPr>
              <w:t xml:space="preserve">6.3.</w:t>
            </w:r>
            <w:r w:rsidR="00000000" w:rsidRPr="00000000" w:rsidDel="00000000">
              <w:rPr>
                <w:rtl w:val="0"/>
              </w:rPr>
              <w:t xml:space="preserve"> apakšpunktā minētā uzraudzības rādītāja sasniegšanai šāda finansējuma saņēmēja sagatavota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 mācību piedāvājumu apstiprina  Cilvēkresursu attīstības padomes izveidotā Apvienotā pieaugušo izglītības koordinācijas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kurā noteikts NVA pienākums investīcijas atbalsta demarkācijas nodrošināšanai. Precizēta noteikumu projekta anotācijas 1. 6. apakšsadaļā “Cita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ņemts vērā arī TM iebildums. Skatīt izziņas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norādītajai informācijai plānots ka Ekonomikas ministrijas apvienotā komisija noteiks pārkvalifikācijas un prasmju pilnveides programmas 3.1.2.5.i. investīcijas mērķa grupai, tādējādi nodrošinot sasaisti ar citiem IZM un EM īstenotajiem pieaugušo izglītības projektiem Latvijā, sekmējot kā pieprasījuma, tā piedāvājuma puses iesaisti projektos un mazinot sadrumstalotību un pārklāšanos izglītības programmu griezumā, kas ir atbilstoši Cilvēkkapitāla attīstības padomē pieņemtiem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3.1.2.5.i. investīcijas īstenošanas nosacījumiem nav viennozīmīgi izprotams investīcījas ietvaros mērķa grupai piedāvāto mācību noteikšanas princips. Ievērojot minēto aicinām MK noteikumu projektu papildināt ar nosacījumu (iespējams, arī nosakot jaunu punktu), ka 3.1.2.5.i. investīcijas 15.3., 15.4., 15.5. un 15.6. apakšpunktā minētās atbalstāmās darbības īstenošanā paredzēto mācību piedāvājumu apstiprina Ekonomikas ministrijas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pie īstenošanas nosacījumiem lūdzam atrunāt/ noteikt, ka Ekonomikas ministrija izvērtē un sagatavo nozaru darba tirgus prognozes un sagatavo ikgadējo nozaru tautsaimniecības vajadzībās un nodarbinātības analīzē balstītu pieprasījumu. Ekonomikas ministrija sadarbībā ar nozaru ekspertu padomēm sagatavo darba tirgus pieprasījumam un tautsaimniecības nozaru attīstībai nepieciešamās profesionālās kvalifikācijas un prasmes nozaru un profesiju griezumā un tā nepieciešamo apjomu. Informējam, ka par šādu Ekonomikas ministrijas pienākumu/darbību Izglītības un zinātnes ministrija ir vienojusies ar Ekonomikas miistriju, to attiecīgi nosacot arī IZM pārziņā esošajos 4.2.4.2.pasākuma "Atbalsts pieaugušo individuālajās vajadzībās balstītai pieaugušo izglītībai” un 6.1.1.5. pasākuma ""Nodarbināto prasmju paaugstināšana un atbalsts kvalifikācijas iegūšanai, atbalsts darbaspēka mācībām saskaņā ar uzņēmumu pieprasījumu"  īstenošanas nosacījumos.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kurā noteikts NVA pienākums investīcijas atbalsta demarkācijas nodrošināšanai. Precizēta noteikumu projekta anotācijas 1. 6. apakšsadaļā “Cita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Apvienotajā pieaugušo izglītības koordinācijas komisijā plānots pārskatīt pēc būtības visus investīcijas ietvaros minētos mācību veidus un apstiprināt demarkācijas nosacījumus ar VIAA un Latvijas Investīciju attīstības aģentūras (turpmāk – LIAA) projektu ietvaros īstenotajiem mācību veidiem. Papildus lūdzam skatīt skaidrojumu izziņas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apakšpunktu, ņemot vērā, ka no attiecīgās normas redakcijas nav skaidrs, vai Cilvēkkapitāla attīstības padome ir atbildīga par demarkācijas nodrošināšanu (šobrīd nav skaidri noteikts minētās padomes lēmuma priekšmets). Kā arī, ņemot vērā, ka no noteikumu projekta un tā anotācijas neizriet finansējuma saņēmēja loma demarkācijas nodrošināšanā, lūdzam sniegt attiecīgu skaidrojumu noteikumu projekta anotācijā, nepieciešamības gadījumā precizējot noteikumu projekta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nosakot, ka NVA nodrošina  demarkāciju ar citiem valsts un ārvalstu finanšu atbalsta instrumentiem. Skaidrojam, ka NVA demarkāciju nodrošina atbilstoši Apvienotās pieaugušo izglītības koordinācijas komisijas lēmumiem un apstiprinātajiem mācību programmu sarakstiem investīcijas mērķa grupai, tādējādi nodrošinot, ka NVA, VIAA un LIAA projektos netiek īstenotas vienas un tās pašas izglītības programmas vienām un tām pašām mērķa grupām. NVA īsteno tikai tās mācību programmas, kuras līdz šim apstiprināja LM Apmācību komisija un sākot ar 2024. gadu – EM Apvienotā pieaugušo izglītības koordinācijas komisija. Atbilstoši investīcijas noteikumu 26.2. apakšpunktā noteiktajam,  investīcijas atbalstāmās darbības un izmaksas plāno atbilstoši normatīvajiem aktiem par aktīvo nodarbinātības pasākumu un preventīvo bezdarba samazināšanas pasākumu organizēšanas un finansēšanas kārtību un pasākumu īstenotāju izvēles principiem, t.i. atbilstoši MK noteikumiem Nr. 75, ciktāl investīcijas īstenošanas noteikumi nenosaka citādi. MK noteikumu Nr. 75 22. punktā ir noteikta arī  Apvienotās pieaugušo izglītības  koordinācijas komisijas loma, bet MK noteikumu Nr. 75  25. punktā noteikts NVA pienākums ievērot komisijas lēmumus. Tāpat noteikts, ka komisijas sastāvu un nolikumu apstiprina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"Cilvēkkapitāla attīstības padome" ar "Apvienotās pieaugušo izglītības koordinācijas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1.7. apakšpunkta (iepriekš 1.6. apakšpunkts) redakcija, svītrojot noteikumu 21. punktu. Noteikumu projekts papildināts ar 1. 10. apakšpunktu, kurā noteikts NVA pienākums investīcijas atbalsta demarkācijas nodrošināšanai. Precizēta noteikumu projekta anotācijas 1. 6. apakšsadaļā “Cita informācija”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ņemts vērā arī TM iebildums. Skatīt izziņas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investīcijas atbalsta demarkāciju ar Atveseļošanas fonda investīcijām un  Eiropas Savienības Kohēzijas politikas programmas 2021. – 2027. gadam specifiskā atbalsta mērķa pasākumiem  izglītības piedāvājuma bezdarba riskam pakļautām  personām nodrošināšanai lemj Cilvēkkapitāla attīstības padome.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nevienā trīs gadu periodā no tā piešķiršanas brīža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(turpmāk – regula 2023/2831) ir noteikts, ka "Trīs gadu laikposms šīs regulas vajadzībām būtu jāvērtē kā slīdošs periods. Attiecībā uz katru jaunu de minimis atbalsta piešķiršanu jāņem vērā de minimis atbalsta kopsumma, kas piešķirta iepriekšējos trīs gados.", lūdzam precizēt noteikumu 36.2.2. apakšpunktu pret Komisijas regulas Nr. 2023/2831 3. panta 2. punktā lietoto formulējumu, ka de minimis kopsummu ir jāpārbauda iepriekšējo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ka regulas 2023/2831 ietvaros trīs gadu laikposms ir jāvērtē kā slīdošs periods un attiecībā uz katru jaunu de minimis atbalsta piešķiršanu jāņem vērā de minimis atbalsta kopsumma, kas piešķirta iepriekšējos trīs gados, piemēram, ja jaunā atbalsta piešķiršanas datums ir 2024.gada 18.jūnijs, trīs gadu periods būs skaitāms līdz 2021.gada 18.jūnijam.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precizēta noteikumu projekta 1.13. apakšpunkta (iepriekš 1.11. apakšpunkts) redakcija un papildināta noteikumu projekta anotācijas 1.6. apakšsadaļā “Cita informācija” ietvertā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36.2.2. iepriekšējo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4. punktu un 8. pantu, Komisijas regulas Nr. 717/2014 7. panta 4. punktu un 8. pantu un Komisijas regulas Nr. 1408/2013 7. panta 4. punktu un 8. pantu atbilstoši šo regulu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2023.gada 13.decembra regulas Nr. 2023/2831 par Līguma par Eiropas Savienības darbību 107. un 108. panta piemērošanu de minimis atbalstam (turpmāk - Komisijas regula Nr. 2023/2831) spēkā esamības termiņš ir noteikts Komisijas regulas Nr. 2023/2831 7.panta 3. punktā un 8.pantā. Līdz ar to lūdzam precizēt atsauci noteikumu projekta 39.punktā.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5.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3. punktu un 8. pantu, Komisijas regulas Nr. 717/2014 7. panta 4. punktu un 8. pantu un Komisijas regulas Nr. 1408/2013 7. panta 4. punktu un 8. pantu atbilstoši šo regulu darbības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tiek pārkāptas šajos noteikumos noteiktās komercdarbības atbalsta kontroles normas, tostarp nosacījumi, kas noteikti atbilstoši Komisijas regulai  2023/2831, Komisijas regulai Nr. 717/2014 vai Komisijas regulai Nr. 1408/2013, atbalsta saņēmējam ir pienākums atmaksāt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41.punktu izteikt, piemēram, šādā redakcijā: “Ja tiek pārkāptas Komisijas regulas 2023/2831, Komisijas regulas Nr. 717/2014 vai Komisijas regulas Nr. 1408/2013 nosacījumi, atbalsta saņēmējam ir pienākums atmaksāt finansējuma saņēmējam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1.16. apakšpunkta (iepriekš 1.14.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tiek pārkāpti Komisijas regulas 2023/2831, Komisijas regulas Nr. 717/2014 vai Komisijas regulas Nr.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novērtē iekļauto papildu informāciju par prasmju profilēšanas rīka centralizētas izmantošanas diskusijas ierosināšanu. Ņemot vērā prasmju novērtējuma būtisko ietekmi uz katra mācību dalībnieka turpmāko mācību ceļu, lūdzam precizēt anotāciju paredzot nevis diskusiju, bet priekšlikumu iesniegšanu Cilvēkkapitāla attīstības padomē konkrēto profilēšanas risinājumu attīstībai un nosakot termiņu šī priekšlikuma iesniegšanai, tādējādi veicinot izstrādāto digitālo rīku ilgtspējīgu pielietojumu. Ņemot vērā MK š.g. 7.maija sēdē izskatīto jautājumu par pieaugušo izglītības un cilvēkkapitāla attīstības pārvaldības jautājumu izvērtēšanu, aicinām priekšlikumu CAP iesniegt līdz 2024.gada 30.jūnijam, kas paredzēts, lai vienotos par vienotu pieeju un rīcības plānu cilvēkkapitāla vienotas pārvaldības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veikti precizējumi noteikumu projekta anotācijas 1.6. apakšsadaļā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1.6. sadaļu ar informāciju, vai, ņemot vērā plānotos grozījumus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būs nepieciešami grozījumi vienošanās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apakšsadaļā “Cita informācija” ietvertā informācija, norādot, ka atbilstoši izmaiņām noteikumu projektā veicamas arī vienošanās par projekta īstenošanu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digitālus prasmju novērtēšanas rīkus efektīvāka individuālā pārkvalificēšanās un prasmju pilnveides piedāvājuma veidošanai, uzsvaru liekot uz digitālajām prasmēm.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1.3.apakšsadaļas punkta “Problēmas apraksts” 1.rindkopā norādīto, ka 2023.gada 8.decembrī ir pieņemts Padomes Īstenošanas lēmums, ar ko groza 2021.gada 13.jūlija Īstenošanas lēmumu par Latvijas atveseļošanas un noturības plāna novērtējuma apstiprināšanu, un ar kuru tika precizēts, ka 3.1.2.5.i. investīcijas ietvaros tiks izstrādāts </w:t>
            </w:r>
            <w:r w:rsidR="00000000" w:rsidRPr="00000000" w:rsidDel="00000000">
              <w:rPr>
                <w:u w:val="single"/>
                <w:rtl w:val="0"/>
              </w:rPr>
              <w:t xml:space="preserve">viens digitālais rīks</w:t>
            </w:r>
            <w:r w:rsidR="00000000" w:rsidRPr="00000000" w:rsidDel="00000000">
              <w:rPr>
                <w:rtl w:val="0"/>
              </w:rPr>
              <w:t xml:space="preserve">, lūdzam izvērtēt, vai nebūtu precizējams arī MK 2023.gada 20.jūnija noteikumu Nr.323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norādītājam  noteikumu projektā ietverts 1.1. apakšpunkts, veicot grozījumus noteikumu 3. punkta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mērķis ir veicināt bezdarbnieku, darba meklētāju un bezdarba riskam pakļauto personu konkurētspēju un iekļaušanos darba tirgū, īstenojot profesionālās izglītības, pārkvalifikācijas, kvalifikācijas paaugstināšanas un neformālās izglītības pasākumus, un uzlabotas profilēšanas sistēmas ietvaros izstrādāt un ieviest digitālu prasmju novērtēšanas rīku efektīvāka individuālā pārkvalificēšanās un prasmju pilnveides piedāvājuma veidošanai, uzsvaru liekot uz digitālajām prasmēm.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w:t>
            </w:r>
            <w:r w:rsidR="00000000" w:rsidRPr="00000000" w:rsidDel="00000000">
              <w:rPr>
                <w:rtl w:val="0"/>
              </w:rPr>
              <w:t xml:space="preserve">6.4.1.</w:t>
            </w:r>
            <w:r w:rsidR="00000000" w:rsidRPr="00000000" w:rsidDel="00000000">
              <w:rPr>
                <w:rtl w:val="0"/>
              </w:rPr>
              <w:t xml:space="preserve"> apakšpunktā minētā kopējā rādītāja izpildi apliecina sagatavots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(izdruka no BURVIS), dalījumā pa dzimumiem un vecuma grupām, izdalot informāciju par personām, kuras piedalījušās digitālo prasmju pilnveidē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apakšpunktā ietvertajā Ministru kabineta 2023. gada 20. jūnija noteikumu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7.2.4., 7.3.2., 7.4. un 7.6. apakšpunktā pieturzīmi iekavas aizstāt ar pieturzīmi domuzīme.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projekta 1.3. apakšpunkts (iepriekš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šo noteikumu </w:t>
            </w:r>
            <w:r w:rsidR="00000000" w:rsidRPr="00000000" w:rsidDel="00000000">
              <w:rPr>
                <w:rtl w:val="0"/>
              </w:rPr>
              <w:t xml:space="preserve">6.4.1.</w:t>
            </w:r>
            <w:r w:rsidR="00000000" w:rsidRPr="00000000" w:rsidDel="00000000">
              <w:rPr>
                <w:rtl w:val="0"/>
              </w:rPr>
              <w:t xml:space="preserve"> apakšpunktā minētā kopējā rādītāja izpildi apliecina sagatavots anonimizēts to mērķa grupas personu saraksts, kuras piedalījušās finansējuma saņēmēja īstenotajās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w:t>
            </w:r>
            <w:r w:rsidR="00000000" w:rsidRPr="00000000" w:rsidDel="00000000">
              <w:rPr>
                <w:rtl w:val="0"/>
              </w:rPr>
              <w:t xml:space="preserve"> apakšpunktā minētajās atbalstāmajās darbībās – izdruka no BURVIS, dalījumā pa dzimumiem un vecuma grupām, izdalot informāciju par personām, kuras piedalījušās digitālo prasmju pilnveidē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demarkācijas informāciju ar alternatīvām atbalsta programmām, kas nodrošina pieeju tiešsaistes kursiem platformās, kā arī izvērtējumu, kā šis risinājums mērķtiecīgi risina konkrētās mērķa grupas vajadzības.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NVA 3.1.2.5.i. investīcijas demarkāciju nodrošina atbilstoši noteikumu projektā un tā anotācijā aprakstītajam. Investīcijas noteikumu projektā un anotācijā ir iekļauta informācija un paredzētas darbības demarkācijas nodrošināšanai ar EM un IZM projektiem, kuros arī ir plānots nodrošināt pieeju atvērtajiem tiešsaistes 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šī mācību veida nozīme NVA klientu izglītošanā sniegta Sociālās aizsardzības un darba tirgus politikas pamatnostādnēs 2021.-2027. gadam, Eiropas Komisijas pārskatos un izvērtējumos, zinatniskajās publikācijās (https://joint-research-centre.ec.europa.eu/document/download/65220b7b-2f1f-497a-b1de-795e16a06b34_en?filename=JRC%20brief%20MOOCs_JRC101956.pdf; https://www.sciencedirect.com/science/article/pii/S0360131521001664), 17.12.2020. Ministru kabineta noteikumu Nr. 812 “Grozījumi Ministru kabineta 2011. gada 25. janvāra noteikumos Nr. 75 “Noteikumi par aktīvo nodarbinātības pasākumu un preventīvo bezdarba samazināšanas pasākumu organizēšanas un finansēšanas kārtību un pasākumu īstenotāju izvēles principiem” anotācijā. Atbilstoši priekšlikumam papildināta anotācija, paredzot demarkāciju arī ar šādām ANM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2.3.1.2.i. investīcija “Uzņēmumu digitālo prasmju attīstība”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2.3.1.3.i investīcija “Pašvadītas IKT speciālistu mācību pieejas attīstība”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ANM 2.3.2.1.i. investīcija  “Digitālās prasmes iedzīvotājiem t.sk. jauniešiem”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skatīt noteikumu projekta 1. 10. apakšpunktu, kurš  nosaka, ka NVA nodrošina  demarkāciju ar citiem valsts un ārvalstu finanšu atbalsta instrumentiem un noteikumu projekta anotācijas 1. 6. apakšsadaļā “Cita informācija”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ņemts vērā arī Tieslietu ministrijas (turpmāk – TM) iebildums. Skatīt izziņas  12.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 atvērto tiešsaistes kursu platformā piedāvāto augstākās izglītības iestādes vai nozares uzņēmuma izstrādāto izglītības programmu apguve kādā no Eiropas Savienības oficiālajām valodām, kas mērķa grupas personām dod iespēju pilnveidot vai iegūt darba tirgum nepieciešamās zināšanas, prasmes un specializāciju;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Komisijas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Nodarbinātības valsts aģentūra projekta Nr.3.1.2.5.i.0/1/23/CFLA/001 ietvaros ir piešķīrusi atbalstu saskaņā ar regulu Nr.1407/2013, lūdzam nedzēst to no MK noteikumu punktiem Nr.35., 36., 38., 39. un 41., bet norādīt, līdz kuram datumam atbalsts ir piešķirts saskaņā ar regulu Nr. 1407/2013, un no kura datuma atbalsts tiks piešķirts saskaņā ar regulu Nr.2023/2831. Savukārt, ja atbalsts nav sniegts atbilstoši regulai Nr. 1407/2013, lūdzam to norādīt MK noteikumu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saglabāts noteikumu projekta 2. punkts, jo neatstājot informāciju par regulām, kuras vairs netiek piemērotas, noteikumi ir pārskatāmāki.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līdz 2024. gada 30. jūnijam NVA tāpat kā līdz šim sniegs atbalstu regulas Nr. 1407/2013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w:t>
            </w:r>
            <w:r w:rsidR="00000000" w:rsidRPr="00000000" w:rsidDel="00000000">
              <w:rPr>
                <w:rtl w:val="0"/>
              </w:rPr>
              <w:t xml:space="preserve">16.3.6.</w:t>
            </w:r>
            <w:r w:rsidR="00000000" w:rsidRPr="00000000" w:rsidDel="00000000">
              <w:rPr>
                <w:rtl w:val="0"/>
              </w:rPr>
              <w:t xml:space="preserve"> un </w:t>
            </w:r>
            <w:r w:rsidR="00000000" w:rsidRPr="00000000" w:rsidDel="00000000">
              <w:rPr>
                <w:rtl w:val="0"/>
              </w:rPr>
              <w:t xml:space="preserve">16.3.7.</w:t>
            </w:r>
            <w:r w:rsidR="00000000" w:rsidRPr="00000000" w:rsidDel="00000000">
              <w:rPr>
                <w:rtl w:val="0"/>
              </w:rPr>
              <w:t xml:space="preserve">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Komisijas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Saimnieciskās darbības veicējs, kuram piemēro </w:t>
            </w:r>
            <w:r w:rsidR="00000000" w:rsidRPr="00000000" w:rsidDel="00000000">
              <w:rPr>
                <w:i w:val="1"/>
                <w:rtl w:val="0"/>
              </w:rPr>
              <w:t xml:space="preserve">de minimis</w:t>
            </w:r>
            <w:r w:rsidR="00000000" w:rsidRPr="00000000" w:rsidDel="00000000">
              <w:rPr>
                <w:rtl w:val="0"/>
              </w:rPr>
              <w:t xml:space="preserve"> atbalstu saskaņā ar Komisijas regulu 2023/2831 un, kas darbojas arī nozarēs, kuras minētas Komisijas regulas 2023/28311. panta 1. punkta “a”, “b”, “c” vai “d” apakšpunktā, nodrošina šo nozaru darbību vai izmaksu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Saimnieciskās darbības veicējs, kuram piešķir </w:t>
            </w:r>
            <w:r w:rsidR="00000000" w:rsidRPr="00000000" w:rsidDel="00000000">
              <w:rPr>
                <w:i w:val="1"/>
                <w:rtl w:val="0"/>
              </w:rPr>
              <w:t xml:space="preserve">de minimis</w:t>
            </w:r>
            <w:r w:rsidR="00000000" w:rsidRPr="00000000" w:rsidDel="00000000">
              <w:rPr>
                <w:rtl w:val="0"/>
              </w:rPr>
              <w:t xml:space="preserve"> atbalstu saskaņā ar Komisijas regulu 2023/2831 un, kas darbojas arī nozarēs, kuras minētas Komisijas regulas 2023/28311. panta 1. punkta “a”, “b”, “c” vai “d” apakšpunktā, nodrošina šo nozaru darbību vai izmaksu nodalīšanu, saskaņā ar Komisijas regulas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elektroniskajai komunikācijai ar FM par priekšlikumu precizēta noteikumu projekta 1.14. apakšpunkta (iepriekš 1.12. apakšpunkts)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saimnieciskās darbības veicējs vienlaikus darbojas vienā vai vairākās Komisijas regulas 2023/2831 1. panta 1. punkta "a", "b", "c" un "d" apakšpunktā minētajās nozarēs, atbalstu drīkst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4. punktu un 8. pantu, Komisijas regulas Nr. 717/2014 7. panta 4. punktu un 8. pantu un Komisijas regulas Nr. 1408/2013 7. panta 4. punktu un 8. pantu atbilstoši šo regulu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1.13. apakšpunktā atsaukties uz Komisijas regulas 2023/2831 7. panta 3., nevis 4. punktu, tādējādi nodrošinot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norādītājam precizēta noteikumu projekta 1.15. apakšpunkta (iepriekš 1.13. apakšpunkts)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Komisijas regulas 2023/2831 7. panta 3. punktu un 8. pantu, Komisijas regulas Nr. 717/2014 7. panta 4. punktu un 8. pantu un Komisijas regulas Nr. 1408/2013 7. panta 4. punktu un 8. pantu atbilstoši šo regulu darbības termiņam.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w:t>
    </w:r>
    <w:r>
      <w:br/>
    </w:r>
    <w:r w:rsidR="00000000" w:rsidRPr="00000000" w:rsidDel="00000000">
      <w:rPr>
        <w:rtl w:val="0"/>
      </w:rPr>
      <w:t xml:space="preserve">20.05.2024. 10.02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24-TA-207</w:t>
    </w:r>
    <w:r>
      <w:br/>
    </w:r>
    <w:r w:rsidR="00000000" w:rsidRPr="00000000" w:rsidDel="00000000">
      <w:rPr>
        <w:rtl w:val="0"/>
      </w:rPr>
      <w:t xml:space="preserve">20.05.2024. 10.02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Izziņa_24-TA-207.docx</dc:title>
</cp:coreProperties>
</file>

<file path=docProps/custom.xml><?xml version="1.0" encoding="utf-8"?>
<Properties xmlns="http://schemas.openxmlformats.org/officeDocument/2006/custom-properties" xmlns:vt="http://schemas.openxmlformats.org/officeDocument/2006/docPropsVTypes"/>
</file>