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25-TA-1276: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22. oktobra noteikumos Nr. 663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trešās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(18.03.2025.)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- 13.08.2025.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risinājuma 2. 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projektu iesniegumu vērtēšanā iesaistītos sadarbības partnerus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Noteikumu Nr.663 ietvaros atbalsts tika sniegts tikai divējāda lietojuma jaunu produktu vai tehnoloģiju. Minēto projektu vērtēšanā tiek iesaistīta Aizsardzības ministrija kā kompetentā iestāde  jaunu vai būtiski uzlabotu produktu vērtēšanā, identificējot to militāro pielietojumu (atbilstību būtiskām drošības interesēm, kas saistītas ar ieroču, munīcijas un militārā aprīkojuma ražošanu vai izstradi). Ņemot vēra, ka ar MK noteikumu projektu tiek paredzēts atbalsts arī jaunu vai būtiski uzlabotu produktu vai tehnoloģiju izstrādei, bez divējāda lietojuma, projektu vērtēšanā tiek piesaistīti arī Latvijas Zinātnes padomes eksperti, kas nodrošinās projekta inovācijas, aktualitātes un zinātniskās komponentes vērtēšanu. Tiek veikti precizējumi Noteikumu Nr.663 18.2. apakšpunktā, nosakot, ka Aizsardzības ministrija nodrošina projektu iesniegumu inovācijas, aktualitātes un pielietojamības aizsardzības un militārajā jomā, savukārt, Latvijas Zinātnes padome zinātniskā aspekta vērtēšanu. Vienlaikus, Noteikumi Nr.663 tiek papildināti ar 18.1 punktu, nosakot, ka Latvijas Zinātnes padome piesaista ekspertus projekta inovācijas, aktualitātes un zinātniskās komponentes vērtēšanai (ja projekta iesniegums paredz jauna produkta vai tehnoloģijas izstrādi), kas sniedz vērtējumu atzinuma formā. Tāpat tiek definētas prasības piesaistītajam ekspertam - tam pēdējo 10 gadu laikā ir pieredze projektu vērtēšanā Eiropas Savienības inovāciju atbalsta programmās vai citās inovāciju atbalsta programmās, kur viena projekta kopējā summa bijusi vismaz 200 000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projektu iesniegumu vērtēšanā iesaistītos sadarbības partnerus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Noteikumu Nr.663 ietvaros atbalsts tika sniegts tikai divējāda lietojuma jaunu produktu vai tehnoloģiju. Minēto projektu vērtēšanā tiek iesaistīta Aizsardzības ministrija kā kompetentā iestāde  jaunu vai būtiski uzlabotu produktu vērtēšanā, identificējot to militāro pielietojumu (atbilstību būtiskām drošības interesēm, kas saistītas ar ieroču, munīcijas un militārā aprīkojuma ražošanu vai izstradi). Ņemot vēra, ka ar MK noteikumu projektu tiek paredzēts atbalsts arī jaunu vai būtiski uzlabotu produktu vai tehnoloģiju izstrādei, bez divējāda lietojuma, projektu vērtēšanā tiek piesaistīti arī Latvijas Zinātnes padomes eksperti, kas nodrošinās projekta inovācijas, aktualitātes un zinātniskās komponentes vērtēšanu. Tiek veikti precizējumi Noteikumu Nr.663 18.2. apakšpunktā, nosakot, ka Aizsardzības ministrija nodrošina projektu iesniegumu inovācijas, aktualitātes un pielietojamības aizsardzības un militārajā jomā, savukārt, Latvijas Zinātnes padome zinātniskā aspekta vērtēšanu. Vienlaikus, Noteikumi Nr.663 tiek papildināti ar 18.1 punktu, nosakot, ka Latvijas Zinātnes padome piesaista ekspertus projekta inovācijas, aktualitātes un zinātniskās komponentes vērtēšanai (ja projekta iesniegums paredz jauna produkta vai tehnoloģijas izstrādi), kas sniedz vērtējumu atzinuma formā. Tāpat tiek definētas prasības piesaistītajam ekspertam - tam pēdējo 10 gadu laikā ir pieredze projektu vērtēšanā Eiropas Savienības inovāciju atbalsta programmās vai citās inovāciju atbalsta programmās, kur viena projekta kopējā summa bijusi vismaz 200 000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 šādā redakcijā: </w:t>
            </w:r>
            <w:r w:rsidR="00000000" w:rsidRPr="00000000" w:rsidDel="00000000">
              <w:rPr>
                <w:i w:val="1"/>
                <w:rtl w:val="0"/>
              </w:rPr>
              <w:t xml:space="preserve">Noteikumu Nr. 663 ietvaros tiek sniegts atbalsts jaunu divējāda lietojuma produktu un tehnoloģiju izstrādei aizsardzības un drošības jomā. Divējāda lietojuma produkti un tehnoloģijas ir tādi, kurus iespējams izmantot gan civilām, gan militārām vajadzībām.</w:t>
            </w:r>
            <w:r w:rsidR="00000000" w:rsidRPr="00000000" w:rsidDel="00000000">
              <w:rPr>
                <w:i w:val="1"/>
                <w:rtl w:val="0"/>
              </w:rPr>
              <w:t xml:space="preserve">Lai nodrošinātu pēc iespējas kvalitatīvāku projektu izvērtēšanu, MK noteikumu projektā paredzēts, ka projektu iesniegumu vērtēšanā (inovācijas, aktualitātes un pielietojamības aizsardzības jomā, kā arī pētniecības kategoriju vērtēšanā) piedalās gan atbildīgā iestāde, gan Aizsardzības ministrija.</w:t>
            </w:r>
            <w:r w:rsidR="00000000" w:rsidRPr="00000000" w:rsidDel="00000000">
              <w:rPr>
                <w:i w:val="1"/>
                <w:rtl w:val="0"/>
              </w:rPr>
              <w:t xml:space="preserve">Aizsardzības ministrija kā kompetentā iestāde vērtē militāro komponenti, savukārt civilo komponenti izvērtē atbildīgā iestāde.</w:t>
            </w:r>
            <w:r w:rsidR="00000000" w:rsidRPr="00000000" w:rsidDel="00000000">
              <w:rPr>
                <w:i w:val="1"/>
                <w:rtl w:val="0"/>
              </w:rPr>
              <w:t xml:space="preserve">Lai samazinātu birokrātisko slogu un atvieglotu prasības finansējuma saņēmējiem, tiek precizētas prasības projekta gala rezultātu izvērtēšanai. Tā kā projekta iesnieguma sākotnējā izvērtēšanā jau tiek pārbaudīta atbilstība inovācijas, aktualitātes, pielietojamības aizsardzības jomā un pētniecības kritērijiem, atkārtota šo aspektu vērtēšana nav nepieciešama. Gala rezultātu izvērtēšanā tiek pārbaudīta projekta mērķu un plānoto aktivitāšu atbilstība sasniegtajiem rezultātiem, ko nodrošina gan atbildīgā iestāde, gan Aizsardzības ministrija.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tiek papildināti ar jaunu atbalsta veidu saskaņā ar Komisijas regulas Nr. 651/2014 28. pantu, proti, mainās komercdarbības atbalsta piešķiršanas nosacījumi, lūdzam anotācijas 5.4. 1. tabulu papildināt ar informāciju, ka EM 20 darba dienu laikā pēc grozījumu spēkā stāšanās iesniegs EK kopsavilkuma informāciju par programmu, izmantojot SANI2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š.g. 10.jūnijā un 6.augustā notikušajās kopīgajās sanāksmēs pieteikto, Ekonomikas Ministrijas (EM) piedāvājumā saskatām augstus demarkācijas risku ar Izglītības un zinātnes ministrijas (IZM) pārziņā esošo 1.1.1.3. pasākumu “Praktiskas ievirzes pētījumi”, īpaši ņemot vērā to, ka gan IZM, gan EM atbalsta programmu projektu iesniegumu atlašu uzsaukumus plānots sludināt vienā laikā (2025.gada III -IV ceturksnis). Tādēļ lūdzam EM  izvērtēt sanāksmes laikā izdiskutētos variantus  (piemēram, pasākuma trešās kārtas atkārtotajam uzsaukumam saglabājot fokusu uz duālo produktu izstrādi, nemainot 1.2.1.1. pasākuma 3. kārtas mērķi, apsverot iespējas nesludināt kārtas uzsaukumu vienlaicīgi ar IZM praktiskas ievirzes pētījumu uzsaukumu, kā arī izvērtējot iespēju šo atbalstu pārplānot zem REARM regulas grozījumiem*, t.sk.atbalstot arī militāru produktu izstrādi (projekts pieejams te: regulation-proposal-mid-term-review-2025_en.pdfregulation-proposal-mid-term-review-2025_en.pdf) , un attiecīgi precizēt MK noteikumu grozījumu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*Regulation of the European Parliament  and of the council amending Regulations (EU) 2021/1058 and (EU) 2021/1056 as regards specific measures to address strategic challenges in the context of the mid-term review</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 saglabājot esošo atbalsta programmas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mērķis ir finansējuma pieejamības nodrošināšana uzņēmumu jaunu, t.sk. divējāda lietojuma, produktu un tehnoloģiju izstrādei, piesaistot Eiropas Reģionālās attīstības fonda finansējumu un privāto līdzfinansējumu.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- 08.08.2025.)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ir iepazinusies ar Ekonomikas ministrijas virzītājiem grozījumiem Ministru kabineta 2024. gada 22. oktobra noteikumos Nr. 663, ar kuriem tiek mainīts atbalsta pasākuma „Atbalsts jaunu produktu attīstībai un internacionalizācijai” trešās kārtas mērķis. Programmas sākotnējais mērķis bija koncentrēts un stratēģiski pamatots — veicināt divējāda lietojuma produktu un tehnoloģiju izstrādi aizsardzības un drošības vajadzībām, tādējādi nodrošinot ciešu sasaisti ar valsts drošības interesēm un aizsardzības industrijas attīstību. Mērķa paplašināšana uz jebkāda veida jaunu vai būtiski uzlabotu produktu izstrādi </w:t>
            </w:r>
            <w:r w:rsidR="00000000" w:rsidRPr="00000000" w:rsidDel="00000000">
              <w:rPr>
                <w:b w:val="1"/>
                <w:rtl w:val="0"/>
              </w:rPr>
              <w:t xml:space="preserve">atver programmu jebkura veida projektiem</w:t>
            </w:r>
            <w:r w:rsidR="00000000" w:rsidRPr="00000000" w:rsidDel="00000000">
              <w:rPr>
                <w:rtl w:val="0"/>
              </w:rPr>
              <w:t xml:space="preserve">, kas būtiski maina sākotnējo koncepciju un apdraud iecerēto specializēto atbalstu stratēģiski svarīgām nozarēm. Grozījumi būtībā</w:t>
            </w:r>
            <w:r w:rsidR="00000000" w:rsidRPr="00000000" w:rsidDel="00000000">
              <w:rPr>
                <w:b w:val="1"/>
                <w:rtl w:val="0"/>
              </w:rPr>
              <w:t xml:space="preserve"> atceļ "kārtu" pieeju</w:t>
            </w:r>
            <w:r w:rsidR="00000000" w:rsidRPr="00000000" w:rsidDel="00000000">
              <w:rPr>
                <w:rtl w:val="0"/>
              </w:rPr>
              <w:t xml:space="preserve">, kurā bija skaidri noteikts, ka trešā kārta paredzēta tikai projektiem ar divējāda lietojuma potenciālu. Plašākas mērķgrupas ieviešana var samazināt divējāda lietojuma projektu iespējas iegūt atbalstu, neraugoties uz formāli saglabāto prioritāti šo projektu vērtēšanā. Ievērojot finansējuma ierobežoto apjomu, šāda pieeja faktiski nolīdzina spēles laukumu, novēršot specializēto pieeju un mazinot programmas stratēģisko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Savienības politikas fokusu uz stratēģisku autonomiju un drošības jomas stiprināšanu, aicinām saglabāt programmas mērķi nemainītu un virzīt to kā ilgtspējīgu, specializētu atbalsta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 saglabājot esošo atbalsta programmas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Aizsardzības ministrijas vai tās norīkotas iestādes pārstāvi projektu iesniegumu inovācijas, aktualitātes un pielietojamības aizsardzības jomā un zinātniskā aspekta vērtēšanai (ja projekta iesniegums paredz divējāda lietojuma jauna produkta vai tehnoloģijas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- 13.08.2025.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Aizsardzības ministrijas vai tās norīkotas iestādes pārstāvi projektu iesniegumu inovācijas, aktualitātes un pielietojamības vērtēšanai aizsardzības jomā (atbilstība būtiskām drošības interesēm, kas saistītas ar ieroču, munīcijas un militārā aprīkojuma ražošanu), ja projekta iesniegums paredz divējāda lietojuma jauna produkta vai tehnoloģijas izstrādi, identificējot militārā pielietojuma aspektu."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Aizsardzības ministrijas vai tās norīkotas iestādes pārstāvi projektu iesniegumu inovācijas, aktualitātes un pielietojamības vērtēšanai aizsardzības jomā (atbilstība būtiskām drošības interesēm, kas saistītas ar ieroču, munīcijas un militārā aprīkojuma ražošanu), ja projekta iesniegums paredz divējāda lietojuma jauna produkta vai tehnoloģijas izstrādi, identificējot militārā pielietojuma aspektu.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18.2. apakšpunkts izteikts šādā redakcijā: </w:t>
            </w:r>
            <w:r w:rsidR="00000000" w:rsidRPr="00000000" w:rsidDel="00000000">
              <w:rPr>
                <w:i w:val="1"/>
                <w:rtl w:val="0"/>
              </w:rPr>
              <w:t xml:space="preserve">Aizsardzības ministrijas vai tās norīkotas iestādes pārstāvi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Aizsardzības ministrijas vai tās norīkotas iestādes pārstāvi projektu iesniegumu inovācijas, aktualitātes un pielietojamības aizsardzības jomā un zinātniskā aspekta vērtēšanai (ja projekta iesniegums paredz divējāda lietojuma jauna produkta vai tehnoloģijas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š.g. 6.augustā kopīgajā sanāksmē par 1.2.1.1.pasākuma trešās kārtas konceptu CFLA pieteikto problēmu, ka Aizsardzības ministrijas ekspertiem nereti ir liels izaicinājums kvalitatīvi izvērtēt zinātniskos aspektus (atbilstība noteiktam TRL līmenim), aicinām EM izvērtēt, vai ņemot vērā plānoto LZP iesaisti un analoģiju ar citām pētījumu atbalsta programmām, zinātniskā aspekta vērtēšana pēc būtības nav uzticama jomas ekspertiem- LZP.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pārrunātajam CFLA un AM kolēģiem, izvērtējums ir nodrošināts atbilstošā kvalitātē. Lai nodrošinātu efektīvāku projektu iesniegumu vērtēšanu, tiek noteikts, ka otrajā projektu iesniegumu atlasē projektu iesniegumu militārās komponentes vērtēšanu veic AM kā kompetentā iestāde, savukārt civilo komponenti izvērtē atbildīgā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Ja projekta iesniegums paredz jauna produkta vai tehnoloģijas izstrādi, Latvijas Zinātnes padome projekta inovācijas, aktualitātes un zinātniskās komponentes vērtēšanai pieprasa ekspertu atzinumu. Atzinuma sniegšanai piesaista ekspertus, kam pēdējo 10 gadu laikā ir pieredze projektu vērtēšanā Eiropas Savienības inovāciju atbalsta programmās vai citās inovāciju atbalsta programmās, kur viena projekta kopējā summa bijusi vismaz 200 000 </w:t>
            </w:r>
            <w:r w:rsidR="00000000" w:rsidRPr="00000000" w:rsidDel="00000000">
              <w:rPr>
                <w:i w:val="1"/>
                <w:rtl w:val="0"/>
              </w:rPr>
              <w:t xml:space="preserve">euro</w:t>
            </w:r>
            <w:r w:rsidR="00000000" w:rsidRPr="00000000" w:rsidDel="00000000">
              <w:rPr>
                <w:rtl w:val="0"/>
              </w:rPr>
              <w:t xml:space="preserve">. Piesaistītais eksperts nav saistīts ar projektu Eiropas Parlamenta un Padomes 2024. gada 23. septembra Regulas (ES, Euratom) 2024/2509 par finanšu noteikumiem, ko piemēro Savienības vispārējam budžetam (turpmāk – regula Nr. 2024/2509) 61. panta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- 08.08.2025.)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paredzētā ekspertu piesaiste caur Latvijas Zinātnes padomi, vērtējot zinātnisko komponenti projektos, kuru fokuss nav divējāda lietojuma risinājumi,</w:t>
            </w:r>
            <w:r w:rsidR="00000000" w:rsidRPr="00000000" w:rsidDel="00000000">
              <w:rPr>
                <w:b w:val="1"/>
                <w:rtl w:val="0"/>
              </w:rPr>
              <w:t xml:space="preserve"> rada šaubas par ekspertu atbilstošu kompetenci konkrētajās industrijas jomās</w:t>
            </w:r>
            <w:r w:rsidR="00000000" w:rsidRPr="00000000" w:rsidDel="00000000">
              <w:rPr>
                <w:rtl w:val="0"/>
              </w:rPr>
              <w:t xml:space="preserve">. Pieredze ES inovāciju programmās kā vienīgais atlases kritērijs nenodrošina pietiekamu nozares konteksta izpratni, īpaši militāro un drošības tehnoloģiju jomā, kur nepieciešamas padziļinātas tehniskās zināšanas un izpratne par nozares regulējumu, pielietojamību un tirgus vajadzībām. Uzskatām, ka šāds ekspertu atlases princips nav atbalstāms.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27.15. ja finansējuma saņēmējs ir komersants, kas atbilst sīkā (mikro), mazā vai vidējā saimnieciskās darbības subjekta statusam – izmaksas par patentiem un citu nemateriālu aktīvu iegūšanu, ciktāl tos izmanto rūpnieciskā pētījuma, eksperimentālās izstrādes vai tehniski ekonomiskās priekšizpētes darbībām, atbilst Komisijas regulas Nr. 651/2014 28. panta 2. punkta "a"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tiek papildināti ar jaunu atbalsta veidu saskaņā ar Komisijas regulas Nr. 651/2014 28. pantu, lūdzam noteikumu projektu papildināt ar jaunu punktu par atbalsta, kas piešķirts ar Komisijas regulas Nr.651/2014 28.pantu, kumulāciju (atbalsta apvienošanu) vai papildināt esošo noteikumu 62.punktu.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27.15. ja finansējuma saņēmējs ir komersants, kas atbilst sīkā (mikro), mazā vai vidējā saimnieciskās darbības subjekta statusam – izmaksas par patentiem un citu nemateriālu aktīvu iegūšanu, ciktāl tos izmanto rūpnieciskā pētījuma, eksperimentālās izstrādes vai tehniski ekonomiskās priekšizpētes darbībām, kas atbilst Komisijas regulas Nr. 651/2014 28. panta 2. punkta "a" apakšpunktam;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27.16. izmaksas par nozares ekspertīzi tirgus un tehnoloģiju izpētei, ciktāl tas nepieciešams projekta īstenošanai, atbilst Eiropas Komisijas 2023. gada 13. decembra Regulai (ES) Nr.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attiecībā uz 27.16.apakspunktā minētajām izmaksām noteikumi paredz piemērot jaunu komercdarbības atbalsta regulējumu – Komisijas Regulu Nr.2023/2831, lūdzam noteikumus papildināt ar visiem nosacījumiem, kas jāievēro, piešķirot atbalstu ar minēto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27.16. izmaksas par nozares ekspertīzi tirgus un tehnoloģiju izpētei, ciktāl tas nepieciešams projekta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Projekta pārtraukšana pirms termiņa beigām ir atbalstāma, ja projekta īstenošanas gaitā finansējuma saņēmējs vai sadarbības partneris konstatē, ka nebūs iespējams pilnībā sasniegt projekta izvirzīto mērķi. Sadarbības iestāde, pamatojoties uz zinātniskās kvalitātes izvērtējumu, kuru sniedz Aizsardzības ministrija vai Latvijas Zinātnes padome, izvērtē projekta rezultātus, iekļautās izmaksas un sasniegto rezultātu atbilstību projekta mērķim un plānotajām aktivitātēm. Projektā ietverto atsevišķu aktivitāšu izmaksas ir attiecināmas, ja aktivitātes ietvaros plānotā darbība ir pilnībā pabeigta atbilstoši projekta iesniegumam un līguma par projekta īstenošanu nosacījumiem. Izmaksas var tikt attiecinātas un iekļautas maksājuma pieprasījumā tikai par tādiem starpposmiem, kas projekta pārtraukšanas brīdī ir pabeigti.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- 13.08.2025.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Projekta pārtraukšana pirms termiņa beigām ir atbalstāma, ja projekta īstenošanas gaitā finansējuma saņēmējs vai sadarbības partneris konstatē, ka nebūs iespējams pilnībā sasniegt projekta izvirzīto mērķi. Sadarbības iestāde, pamatojoties uz izvērtējumu (par atbilstību divējāda lietojuma mērķim, ko sniedz Aizsardzības ministrija, izvērtē projekta rezultātus, iekļautās izmaksas un sasniegto rezultātu atbilstību projekta mērķim un plānotajām aktivitātēm. Projektā ietverto atsevišķu aktivitāšu izmaksas ir attiecināmas, ja aktivitātes ietvaros plānotā darbība ir pilnībā pabeigta atbilstoši projekta iesniegumam un līguma par projekta īstenošanu nosacījumiem. Izmaksas var tikt attiecinātas un iekļautas maksājuma pieprasījumā tikai par tādiem starpposmiem, kas projekta pārtraukšanas brīdī ir pabeigti.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Projekta pārtraukšana pirms termiņa beigām ir atbalstāma, ja projekta īstenošanas gaitā finansējuma saņēmējs vai sadarbības partneris konstatē, ka nebūs iespējams pilnībā sasniegt projekta izvirzīto mērķi. Sadarbības iestāde, pamatojoties uz izvērtējumu (par atbilstību divējāda lietojuma mērķim, ko sniedz Aizsardzības ministrija, izvērtē projekta rezultātus, iekļautās izmaksas un sasniegto rezultātu atbilstību projekta mērķim un plānotajām aktivitātēm. Projektā ietverto atsevišķu aktivitāšu izmaksas ir attiecināmas, ja aktivitātes ietvaros plānotā darbība ir pilnībā pabeigta atbilstoši projekta iesniegumam un līguma par projekta īstenošanu nosacījumiem. Izmaksas var tikt attiecinātas un iekļautas maksājuma pieprasījumā tikai par tādiem starpposmiem, kas projekta pārtraukšanas brīdī ir pabeigti.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izteikts šādā redakcijā: </w:t>
            </w:r>
            <w:r w:rsidR="00000000" w:rsidRPr="00000000" w:rsidDel="00000000">
              <w:rPr>
                <w:i w:val="1"/>
                <w:rtl w:val="0"/>
              </w:rPr>
              <w:t xml:space="preserve">Projekta pārtraukšana pirms termiņa beigām ir atbalstāma, ja projekta īstenošanas gaitā finansējuma saņēmējs konstatē, ka nebūs iespējams pilnībā sasniegt projekta izvirzīto mērķi. Sadarbības iestāde, pamatojoties uz gala rezultātu kvalitātes izvērtējumu, kuru sniedz atbildīgā iestāde un Aizsardzības ministrija, izvērtē projekta rezultātus, iekļautās izmaksas un sasniegto rezultātu atbilstību projekta mērķim un plānotajām aktivitātēm. Projektā ietverto atsevišķu aktivitāšu izmaksas ir attiecināmas, ja aktivitātes ietvaros plānotā darbība ir pilnībā pabeigta atbilstoši projekta iesniegumam un līguma par projekta īstenošanu nosacījumiem. Izmaksas var tikt attiecinātas un iekļautas maksājuma pieprasījumā tikai par tādiem starpposmiem, kas projekta pārtraukšanas brīdī ir pabeigti.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atbildīgā iestāde izstrādā un ar sadarbības iestādi, Aizsardzības ministriju un Latvijas Zinātnes padomi saskaņo izvērtējuma standartformas, izvērtējumā ietverot prasību Aizsardzības ministrijas pārstāvim vai Latvijas Zinātnes padomes piesaistītajam ekspertam izvērtēt un pamatot, cik lielā mērā plānotie rezultāti ir sasniegti;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- 13.08.2025.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atbildīgā iestāde izstrādā un ar sadarbības iestādi, Aizsardzības ministriju saskaņo izvērtējuma standartformas, izvērtējumā ietverot prasību Aizsardzības ministrijas pārstāvim piesaistītajam ekspertam izvērtēt un pamatot, cik lielā mērā plānotie rezultāti ir sasniegti;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atbildīgā iestāde izstrādā un ar sadarbības iestādi, Aizsardzības ministriju saskaņo izvērtējuma standartformas, izvērtējumā ietverot prasību Aizsardzības ministrijas pārstāvim piesaistītajam ekspertam izvērtēt un pamatot, cik lielā mērā plānotie rezultāti ir sasniegti;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precizēts šādā redakcijā: </w:t>
            </w:r>
            <w:r w:rsidR="00000000" w:rsidRPr="00000000" w:rsidDel="00000000">
              <w:rPr>
                <w:i w:val="1"/>
                <w:rtl w:val="0"/>
              </w:rPr>
              <w:t xml:space="preserve">atbildīgā iestāde izstrādā un ar sadarbības iestādi un Aizsardzības ministriju saskaņo izvērtējuma standartformas, izvērtējumā ietverot prasību atbildīgās iestādes un Aizsardzības ministrijas pārstāvim izvērtēt un pamatot, cik lielā mērā plānotie rezultāti ir sasniegti;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54.2. gala rezultātu kvalitātes izvērtējumu, kuru veic Aizsardzības ministrija vai Latvijas Zinātnes padome, sadarbības iestāde izmanto lēmuma pieņemšanā par projekta mērķa un plānoto rezultātu sasniegšanu. Pamatojoties uz gala izvērtējumu par projektā plānoto rezultātu sasniegšanas līmeni, sadarbības iestāde var pieņemt lēmumu par finanšu korekcijas piemērošanu saskaņā ar vadošās iestādes izstrādātajām vadlīnijām par finanšu korekciju piemērošanu. Par minēto lēmumu sadarbības iestāde informē atbildīgo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- 13.08.2025.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54.2. gala rezultātu izvērtējumu, kuru veic Aizsardzības ministrija, sadarbības iestāde izmanto lēmuma pieņemšanā par projekta mērķa un plānoto rezultātu sasniegšanu. Pamatojoties uz gala izvērtējumu par projektā plānoto rezultātu sasniegšanas līmeni, sadarbības iestāde var pieņemt lēmumu par finanšu korekcijas piemērošanu saskaņā ar vadošās iestādes izstrādātajām vadlīnijām par finanšu korekciju piemērošanu. Par minēto lēmumu sadarbības iestāde informē atbildīgo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54.2. gala rezultātu izvērtējumu, kuru veic Aizsardzības ministrija, sadarbības iestāde izmanto lēmuma pieņemšanā par projekta mērķa un plānoto rezultātu sasniegšanu. Pamatojoties uz gala izvērtējumu par projektā plānoto rezultātu sasniegšanas līmeni, sadarbības iestāde var pieņemt lēmumu par finanšu korekcijas piemērošanu saskaņā ar vadošās iestādes izstrādātajām vadlīnijām par finanšu korekciju piemērošanu. Par minēto lēmumu sadarbības iestāde informē atbildīgo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precizēts šādā redakcijā: </w:t>
            </w:r>
            <w:r w:rsidR="00000000" w:rsidRPr="00000000" w:rsidDel="00000000">
              <w:rPr>
                <w:i w:val="1"/>
                <w:rtl w:val="0"/>
              </w:rPr>
              <w:t xml:space="preserve">gala rezultātu kvalitātes izvērtējumu, kuru veic atbildīgā iestāde un Aizsardzības ministrija, sadarbības iestāde izmanto lēmuma pieņemšanā par projekta mērķa un plānoto rezultātu sasniegšanu. Pamatojoties uz gala izvērtējumu par projektā plānoto rezultātu sasniegšanas līmeni, sadarbības iestāde var pieņemt lēmumu par finanšu korekcijas piemērošanu saskaņā ar vadošās iestādes izstrādātajām vadlīnijām par finanšu korekciju piemērošanu. Par minēto lēmumu sadarbības iestāde informē atbildīgo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55.3. inovāciju kvalitāte, aktualitāte un pielietojamība aizsardzības un drošības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- 13.08.2025.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55.3. inovāciju kvalitāte, aktualitāte un pielietojamība aizsardzības jomā (atbilstība būtiskām drošības interesēm, kas saistītas ar ieroču, munīcijas un militārā aprīkojuma ražošanu).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55.3. inovāciju kvalitāte, aktualitāte un pielietojamība aizsardzības jomā (atbilstība būtiskām drošības interesēm, kas saistītas ar ieroču, munīcijas un militārā aprīkojuma ražošanu).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Aizsardzības ministrija vai Latvijas Zinātnes padome atzinumu par finansējuma saņēmēja sagatavoto noslēguma rezultātu pārskatu sniedz, ievērojot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- 13.08.2025.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Aizsardzības ministrija atzinumus par finansējuma saņēmēja sagatavoto noslēguma rezultātu pārskatu sniedz, ievērojot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56.1. Aizsardzības ministrijas atzinumā iekļauta informācija par inovāciju kvalitāti, aktualitāti un pielietojamību aizsardzības jomā (atbilstību būtiskām drošības interesēm);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Aizsardzības ministrija un Latvijas Zinātnes padome atzinumus par finansējuma saņēmēja sagatavoto noslēguma rezultātu pārskatu sniedz, ievērojot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56.1. Aizsardzības ministrijas atzinumā iekļauta informācija par inovāciju kvalitāti, aktualitāti un pielietojamību aizsardzības jomā (atbilstību būtiskām drošības interesēm, kas saistītas ar ieroču, munīcijas un militārā aprīkojuma ražošanu);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 Latvijas zinātnes padomes atzinumā tiek iekļauta vismaz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56.2.1. pētījuma īstenošanas gaita, kas vērsta uz projekta mērķu un plānoto pētniecības rezultātu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56.2.2. finansējuma izlietojums, kas ietver novērtējumu par projektā piešķirtā finansējuma izlietojuma atbilstību gala rezultāta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56.2.3. sasniegtie pētniecības rezultāti ir skaidri un nepārprotami;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56.2.4. pētniecības rezultātu zinātniskā kvalitāte ir atbilstoša, ņemot vērā sasniegto rezultātu zinātnisko vērtību, novitātes līmeni, tajā skaitā ir gūstama pārliecība, ka projekta ietvaros izstrādātais prototips atbilst jauna produkta vai tehnoloģijas definīcijai atbilstoši šo noteikumu 2.3. apakšpunktā minētajam, vai projekta darbības ir vērstas uz prototipa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56.2.5. projektā izmantotās zināšanas nav pieejamas citur vai ir aizsargātas, izmantotās zināšanas palielina industrijas zināšanu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56.3. noslēguma rezultātu pārskata atbilstību šo noteikumu 56.1. un 56.2. apakšpunktos minētajiem kritērijiem raksturo ar šādiem vērtējumiem: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56.3.1. atbilst;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56.3.2. daļēji atbilst;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56.3.3. neatbilst.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precizēts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56. Atbildīgā iestāde un Aizsardzības ministrija izvērtējumu par finansējuma saņēmēja sagatavoto noslēguma rezultātu pārskatu sniedz, ievērojot šādus nosacījumus:</w:t>
            </w:r>
            <w:r w:rsidR="00000000" w:rsidRPr="00000000" w:rsidDel="00000000">
              <w:rPr>
                <w:i w:val="1"/>
                <w:rtl w:val="0"/>
              </w:rPr>
              <w:t xml:space="preserve">56.1. izvērtējumā tiek iekļauta vismaz šāda informācija:</w:t>
            </w:r>
            <w:r w:rsidR="00000000" w:rsidRPr="00000000" w:rsidDel="00000000">
              <w:rPr>
                <w:i w:val="1"/>
                <w:rtl w:val="0"/>
              </w:rPr>
              <w:t xml:space="preserve">56.1.1. sasniegtie pētniecības rezultāti ir skaidri un nepārprotami;</w:t>
            </w:r>
            <w:r w:rsidR="00000000" w:rsidRPr="00000000" w:rsidDel="00000000">
              <w:rPr>
                <w:i w:val="1"/>
                <w:rtl w:val="0"/>
              </w:rPr>
              <w:t xml:space="preserve">56.1.2. pētniecības rezultāti atbilst projekta mērķim un plānotajām aktivitātēm, tajā skaitā ir gūstama pārliecība, ka projekta ietvaros izstrādātais prototips atbilst jauna produkta vai tehnoloģijas definīcijai atbilstoši šo noteikumu 2.3. apakšpunktā minētajam, vai projekta darbības ir vērstas uz prototipa izstrādi;</w:t>
            </w:r>
            <w:r w:rsidR="00000000" w:rsidRPr="00000000" w:rsidDel="00000000">
              <w:rPr>
                <w:i w:val="1"/>
                <w:rtl w:val="0"/>
              </w:rPr>
              <w:t xml:space="preserve">56.2. noslēguma rezultātu pārskata atbilstību šo noteikumu 56.1. apakšpunktā minētajiem kritērijiem raksturo ar šādiem vērtējumiem:</w:t>
            </w:r>
            <w:r w:rsidR="00000000" w:rsidRPr="00000000" w:rsidDel="00000000">
              <w:rPr>
                <w:i w:val="1"/>
                <w:rtl w:val="0"/>
              </w:rPr>
              <w:t xml:space="preserve">56.2.1. atbilst;</w:t>
            </w:r>
            <w:r w:rsidR="00000000" w:rsidRPr="00000000" w:rsidDel="00000000">
              <w:rPr>
                <w:i w:val="1"/>
                <w:rtl w:val="0"/>
              </w:rPr>
              <w:t xml:space="preserve">56.2.2. daļēji atbilst;</w:t>
            </w:r>
            <w:r w:rsidR="00000000" w:rsidRPr="00000000" w:rsidDel="00000000">
              <w:rPr>
                <w:i w:val="1"/>
                <w:rtl w:val="0"/>
              </w:rPr>
              <w:t xml:space="preserve">56.2.3. neatbilst.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apakšpunktu "Pašreizējā situācija, problēmas un risinājumi", norādot, ka Noteikumu projekta 33. punkts stājas spēkā retrospektīvi no projekta iesnieguma iesniegšanas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komentārs).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apakšpunkta "Pašreizējā situācija, problēmas un risinājumi" 2. punktā norādīto informāciju no "Vienlaikus, Noteikumi Nr.663 tiek papildināti ar 42.3 punktu, paredzot, ka maksimāli pieļaujamā atbalsta intensitāte patentiem un citu nemateriālu aktīvu iegūšanai ir 85%." uz "Vienlaikus, Noteikumi Nr.663 tiek papildināti ar 42.3 punktu, paredzot, ka maksimāli pieļaujamā atbalsta intensitāte nozares ekspertīzei tirgus un tehnoloģiju izpētei ir 85%."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norādot, kādas izdevumu pozīcijas atbilst kādiem intervences kodiem.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atbilstoši faktiskajai situācijai, jo anotācijā ir skaidrots, ka noteikumu projekts neietekmēs pirmajā projektu iesniegumu atlasē saņemto projektu iesniegumu vērtēšanu. Minētais rada interpretācijas variantus, jo pirmās projektu iesniegumu atlases kārtas nosacījumus nosaka Ministru kabineta 2024. gada 23. jūlija noteikumi Nr. 501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pirmās kārtas īstenošanas noteikumi”. Vienlaikus secināms, ka minētais attiecināms uz trešās projektu iesniegumu atlases kārtas jau īstenošanā esošajiem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projektu anotācijā iekļautā atsauce uz pirmo projektu iesniegumu atlasi ir attiecināma uz Ministru kabineta 2024. gada 22. oktobra noteikumiem Nr.663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pirmās kārtas īstenošanas noteikumi", nevis Ministru kabineta 2024. gada 23. jūlija noteikumi Nr. 501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pirmās kārtas īstenošanas noteikumi”. Lai novērstu interpretācijas iespējas, veikti atbilstoši precizējumi noteikumu projekta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5.4.1. tabulu papildināt ar noteikumu projekta punktu izvērtējumu atbilstoši noteikumu projektā iekļautajām Komisijas regulas Nr. 2023/2831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ārvalstu sadarbības partneris – komersants vai pētniecības un zināšanu izplatīšanas organizācija, kas reģistrēta Eiropas Savienības dalībvalstī, Eiropas Ekonomikas zonas valstī vai Ziemeļatlantijas līguma organizācijas dalībvalstī, kas nav Latvija, un ar kuru projekta iesniedzējs ir noslēdzis sadarbības līgumu.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paskaidrot anotācijā, kādēļ MK noteikumu projekts papildināts ar ārvalstu sadarbības partneru definīciju.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ārvalstu sadarbības partneris – komersants vai pētniecības un zināšanu izplatīšanas organizācija, kas reģistrēta Eiropas Savienības dalībvalstī, Eiropas Ekonomikas zonas valstī vai Ziemeļatlantijas līguma organizācijas dalībvalstī, kas nav Latvija, un ar kuru projekta iesniedzējs ir noslēdzis sadarbības līgumu.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finansējuma saņēmējam pieder projekta rezultāti un uz finansējuma saņēmēju attiecas neizdošanās risks;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viennozīmīgai izpratnei precizēt vai skaidrot noteikumu projekta 3. punktā izteiktajā 2.9.1. apakšpunktā lietotos vārdus “neizdošanās risks”, kas raksturo līgumpētījumus.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ar "neizdošanās risku" tiek saprast projekta īstenošanas un rezultātu sasniegšanas neizdošanās. Noteikumu projekta 2.9.1. apakšpunkts, pirms vārdiem "neizdošanās risks", papildināts ar vārdu "projekta", lai mazinātu interpretācijas iespējas.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finansējuma saņēmējam pieder projekta rezultāti un uz finansējuma saņēmēju attiecas projekta neizdošanās risks;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minētais finansējums netiek sadalīts pilnībā, tad šī pasākuma ietvaros atbildīgā iestāde, izvērtējot atlikušo finansējumu, ierosina veidot jaunu atklātu projektu iesniegumu atlasi atbilstoši šo noteikumu </w:t>
            </w:r>
            <w:r w:rsidR="00000000" w:rsidRPr="00000000" w:rsidDel="00000000">
              <w:rPr>
                <w:rtl w:val="0"/>
              </w:rPr>
              <w:t xml:space="preserve">13. </w:t>
            </w:r>
            <w:r w:rsidR="00000000" w:rsidRPr="00000000" w:rsidDel="00000000">
              <w:rPr>
                <w:rtl w:val="0"/>
              </w:rPr>
              <w:t xml:space="preserve">punktam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skaidrāk saprotams, lūgums papildināt MK noteikumu projekta 13.</w:t>
            </w:r>
            <w:r w:rsidR="00000000" w:rsidRPr="00000000" w:rsidDel="00000000">
              <w:rPr>
                <w:vertAlign w:val="superscript"/>
                <w:rtl w:val="0"/>
              </w:rPr>
              <w:t xml:space="preserve">1</w:t>
            </w:r>
            <w:r w:rsidR="00000000" w:rsidRPr="00000000" w:rsidDel="00000000">
              <w:rPr>
                <w:rtl w:val="0"/>
              </w:rPr>
              <w:t xml:space="preserve">punktu ar vārdiem “sadarbības iestādei” aiz vārda “ierosina”.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šo noteikumu 6. punktā minētais finansējums netiek sadalīts pilnībā, tad šī pasākuma ietvaros atbildīgā iestāde, izvērtējot atlikušo finansējumu, ierosina </w:t>
            </w:r>
            <w:r w:rsidR="00000000" w:rsidRPr="00000000" w:rsidDel="00000000">
              <w:rPr>
                <w:b w:val="1"/>
                <w:rtl w:val="0"/>
              </w:rPr>
              <w:t xml:space="preserve">sadarbības iestādei </w:t>
            </w:r>
            <w:r w:rsidR="00000000" w:rsidRPr="00000000" w:rsidDel="00000000">
              <w:rPr>
                <w:rtl w:val="0"/>
              </w:rPr>
              <w:t xml:space="preserve">veidot jaunu atklātu projektu iesniegumu atlasi atbilstoši šo noteikumu 13.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minētais finansējums netiek sadalīts pilnībā, tad šī pasākuma ietvaros atbildīgā iestāde, izvērtējot atlikušo finansējumu, ierosina sadarbības iestādei veidot jaunu atklātu projektu iesniegumu atlasi atbilstoši šo noteikumu </w:t>
            </w:r>
            <w:r w:rsidR="00000000" w:rsidRPr="00000000" w:rsidDel="00000000">
              <w:rPr>
                <w:rtl w:val="0"/>
              </w:rPr>
              <w:t xml:space="preserve">13. </w:t>
            </w:r>
            <w:r w:rsidR="00000000" w:rsidRPr="00000000" w:rsidDel="00000000">
              <w:rPr>
                <w:rtl w:val="0"/>
              </w:rPr>
              <w:t xml:space="preserve">punktam</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minētais finansējums netiek sadalīts pilnībā, tad šī pasākuma ietvaros atbildīgā iestāde, izvērtējot atlikušo finansējumu, ierosina veidot jaunu atklātu projektu iesniegumu atlasi atbilstoši šo noteikumu </w:t>
            </w:r>
            <w:r w:rsidR="00000000" w:rsidRPr="00000000" w:rsidDel="00000000">
              <w:rPr>
                <w:rtl w:val="0"/>
              </w:rPr>
              <w:t xml:space="preserve">13. </w:t>
            </w:r>
            <w:r w:rsidR="00000000" w:rsidRPr="00000000" w:rsidDel="00000000">
              <w:rPr>
                <w:rtl w:val="0"/>
              </w:rPr>
              <w:t xml:space="preserve">punktam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projektā un anotācijā ietvertās informācijas nav gūstama viennozīmīga izpratne par regulējumu, </w:t>
            </w:r>
            <w:r w:rsidR="00000000" w:rsidRPr="00000000" w:rsidDel="00000000">
              <w:rPr>
                <w:u w:val="single"/>
                <w:rtl w:val="0"/>
              </w:rPr>
              <w:t xml:space="preserve">kas attiecas uz jaunu atklātu projekta iesniegumu atlasi, jo noteikumi neparedz vairākus uzsaukumus vai jaunu atlases kārtu</w:t>
            </w:r>
            <w:r w:rsidR="00000000" w:rsidRPr="00000000" w:rsidDel="00000000">
              <w:rPr>
                <w:rtl w:val="0"/>
              </w:rPr>
              <w:t xml:space="preserve">. Ja atlasē plānots jauns uzsaukums, tad būtu jābūt noteiktam, ka noteikumu projektā noteiktie jaunie nosacījumi ir par trešās atlases kārtas jaunu uzsaukumu, vai jāizveido jauna projekta iesniegumu atlases kārta ar saviem Ministru kabineta noteikumiem par specifisko atbalsta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aicinām precizēt noteikumu projektu, skaidri nodalot jaunās atlases kārtas nosacījumus, </w:t>
            </w:r>
            <w:r w:rsidR="00000000" w:rsidRPr="00000000" w:rsidDel="00000000">
              <w:rPr>
                <w:u w:val="single"/>
                <w:rtl w:val="0"/>
              </w:rPr>
              <w:t xml:space="preserve">lai neveidojas situācija, ka noteikumu projekta integrētie nosacījumi nav nodalīti no jau noteikumos noteiktās esošas trešās projektu iesniegumu atlases, kuras ietvaros spēkā esošie nosacījumi ir piemērojami.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pirmā projektu iesniegumu atlase ir noslēgusies un tiek īstenots līgumslēgšanas process, iekļautie nosacījumi uz to nav attiecināmi. Noteikumu projekta anotācijā iekļauts skaidrojums, ka Noteikumu Nr.663 grozījumi ir attiecināmi uz jaunu projektu iesniegumu atlasi. Turklāt, noteikumu projekta papildināšana ar punktu, kurā tiek iekļautas atsauces uz punktiem, kas attiecināmi uz jaunu projektu iesniegumu atlasi, var radīt interpretācijas iespējas un neskaidrību potenciālajiem finansējuma saņēmējiem. Šāda punkta iekļaušana noteikumu projektā nerada neskaidrību, tomēr pēc grozījumu stāšanās spēkā tas tiks iekļauts noteikumu konsolidētajā versijā un publicēts likumi.lv, kas radīs neizpratni attiecībā uz nosacījumu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minētais finansējums netiek sadalīts pilnībā, tad šī pasākuma ietvaros atbildīgā iestāde, izvērtējot atlikušo finansējumu, ierosina sadarbības iestādei veidot jaunu atklātu projektu iesniegumu atlasi atbilstoši šo noteikumu </w:t>
            </w:r>
            <w:r w:rsidR="00000000" w:rsidRPr="00000000" w:rsidDel="00000000">
              <w:rPr>
                <w:rtl w:val="0"/>
              </w:rPr>
              <w:t xml:space="preserve">13. </w:t>
            </w:r>
            <w:r w:rsidR="00000000" w:rsidRPr="00000000" w:rsidDel="00000000">
              <w:rPr>
                <w:rtl w:val="0"/>
              </w:rPr>
              <w:t xml:space="preserve">punktam</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tā apgrozījuma apjoms pēdējā noslēgtajā finanšu gadā līdz projekta iesnieguma iesniegšanai Kohēzijas politikas fondu vadības informācijas sistēmā (turpmāk – vadības informācijas sistēma) ir vismaz 30 % apmērā no plānotā publiskā finansējuma apmēra, vai tam ir noslēgts līgums ar Nacionālajiem bruņotajiem spēkiem un tā apjoms ir vismaz 30 % apmērā no plānotā publiskā finansējuma apmēra. Jaunam komersantam - tā apgrozījuma apjoms pēdējā noslēgtajā finanšu gadā līdz projekta iesnieguma iesniegšanai vadības informācijas sistēmā ir vismaz projekta īstenošanai nepieciešamā privātā līdzfinansējuma apmērā, vai tam ir noslēgts līgums ar Nacionālajiem bruņotajiem spēkiem un tā apjoms ir vismaz projekta īstenošanai nepieciešamā privātā līdzfinansējuma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Acainām izvērtēt un ja nepieciešams precizēt jaunajam komersantam noteiktās minimālas prasības, ņemot vērā, ka uz projekta iesniegšanas brīdi nesen dibinātam uzņēmumam vēl nebūs pieejami gada pārskati.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šī brīža redakciju, nav skaidri saprotams, vai jaunais komersants tiek virzīts uz noraidīšanu, ja tam nav pieejams gada pārskats, vai tomēr MNK punktā ir neveiksmīgs formulējums, un Ekonomikas ministrija apzināti nav paredzējusi sašaurināt jauno komersantu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tā apgrozījuma apjoms pēdējā noslēgtajā finanšu gadā līdz projekta iesnieguma iesniegšanai Kohēzijas politikas fondu vadības informācijas sistēmā (turpmāk – vadības informācijas sistēma) ir vismaz 30 % apmērā no plānotā publiskā finansējuma apmēra, vai tam ir noslēgts līgums ar Nacionālajiem bruņotajiem spēkiem un tā apjoms ir vismaz 30 % apmērā no plānotā publiskā finansējuma apmēra;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Aizsardzības ministrijas vai tās norīkotas iestādes pārstāvi.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atjaunot 18.2. apakšpunktu šādā redakcijā: “18.2. Aizsardzības ministrijas vai tās norīkotas iestādes pārstāvi projektu iesniegumu inovācijas, aktualitātes un pielietojamības aizsardzības jomā un zinātniskā aspekta vērtēšanai”, tādējādi nodrošinot kvalitatīvu un objektīvu 1.2.1.1. pasākuma trešās kārtas projektu iesniegumu izvērtējumu šādos aspektos: inovācijas, aktualitāte un pielietojamība aizsardzības un civilajā jomā, zinātniskā kvalitāte, kā arī pētniecības kategorija un tehnoloģiju gatavības līmenis.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vai tās norīkotas iestādes pārstāvi projektu iesniegumu inovācijas, aktualitātes un pielietojamības aizsardzības jomā un zinātniskā aspekta 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Aizsardzības ministrijas vai tās norīkotas iestādes pārstāvi projektu iesniegumu inovācijas, aktualitātes un pielietojamības aizsardzības jomā un zinātniskā aspekta vērtēšanai.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Divējāda lietojuma jaunu produktu projekta iesniegumi ir prioritāri pret citiem projektu iesniegumiem.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 esošā MK noteikumu projektā piedāvātā atlases koncepta, pastāv risks, ka jāvirza uz apstiprināšanu zemas kvalitātes divējāda pielietojuma projekts, savukārt saturiski ļoti labs projekts ar augstāku punktu skaitu, kura ietvaros paredzēta jauna produkta un tehnoloģijas izstrāde ārpus aizsardzības jomas, var tikt noraidīts nepietiekama finansējuma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Aizsardzības ministrijas vai tās norīkotas iestādes pārstāvi projektu iesniegumu inovācijas, aktualitātes un pielietojamības aizsardzības jomā un zinātniskā aspekta vērtēšanai (ja projekta iesniegums paredz divējāda lietojuma jauna produkta vai tehnoloģijas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deleģēt Aizsardzības ministrijai visu projektu izvērtēšanu un klasificēšanu attiecībā uz to atbilstību duāla pielietojuma kategorijai.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ja projekta iesniegumā netiek norādīts </w:t>
            </w:r>
            <w:r w:rsidR="00000000" w:rsidRPr="00000000" w:rsidDel="00000000">
              <w:rPr>
                <w:i w:val="1"/>
                <w:rtl w:val="0"/>
              </w:rPr>
              <w:t xml:space="preserve">de minimis</w:t>
            </w:r>
            <w:r w:rsidR="00000000" w:rsidRPr="00000000" w:rsidDel="00000000">
              <w:rPr>
                <w:rtl w:val="0"/>
              </w:rPr>
              <w:t xml:space="preserve"> atbalsta uzskaites sistēmā izveidotās un apstiprinātās veidlapas identifikācijas numurs - </w:t>
            </w:r>
            <w:r w:rsidR="00000000" w:rsidRPr="00000000" w:rsidDel="00000000">
              <w:rPr>
                <w:i w:val="1"/>
                <w:rtl w:val="0"/>
              </w:rPr>
              <w:t xml:space="preserve">de</w:t>
            </w:r>
            <w:r w:rsidR="00000000" w:rsidRPr="00000000" w:rsidDel="00000000">
              <w:rPr>
                <w:i w:val="1"/>
                <w:rtl w:val="0"/>
              </w:rPr>
              <w:t xml:space="preserve"> minimis</w:t>
            </w:r>
            <w:r w:rsidR="00000000" w:rsidRPr="00000000" w:rsidDel="00000000">
              <w:rPr>
                <w:rtl w:val="0"/>
              </w:rPr>
              <w:t xml:space="preserve"> atbalsta uzskaites sistēmā sagatavoto veidlapas "Veidlapa par sniedzamo informāciju </w:t>
            </w:r>
            <w:r w:rsidR="00000000" w:rsidRPr="00000000" w:rsidDel="00000000">
              <w:rPr>
                <w:i w:val="1"/>
                <w:rtl w:val="0"/>
              </w:rPr>
              <w:t xml:space="preserve">de minimis</w:t>
            </w:r>
            <w:r w:rsidR="00000000" w:rsidRPr="00000000" w:rsidDel="00000000">
              <w:rPr>
                <w:rtl w:val="0"/>
              </w:rPr>
              <w:t xml:space="preserve"> atbalsta uzskaitei un piešķiršanai" izdruku.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de minimis atbalsts tiek piešķirts tikai vienai darbībai (noteikta 27.16.apakšpunktā) un pastāv iespēja, ka atbalsta pretendents projekta ietvaros nemaz nepieprasīs finansējumu 27.16.apakšpunktā noteiktai darbībai, kā rezultāta nepretendēs uz de minimis atbalstu, tad 19.7.apakšpunktu nepieciešams noformulēt tā, ka informāciju par de minimis veidlapu nepieciešams kopā ar projekta iesniegumu iesniegt tikai tad, ja projekta iesniedzējs vai sadarbības partneris pretendēs uz atbalstu 27.16.apakšpunktā noteiktai darbībai.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ja projekta iesniegumā tiek plānotas izmaksas atbilstoši šo noteikumu </w:t>
            </w:r>
            <w:r w:rsidR="00000000" w:rsidRPr="00000000" w:rsidDel="00000000">
              <w:rPr>
                <w:rtl w:val="0"/>
              </w:rPr>
              <w:t xml:space="preserve">27.16. </w:t>
            </w:r>
            <w:r w:rsidR="00000000" w:rsidRPr="00000000" w:rsidDel="00000000">
              <w:rPr>
                <w:rtl w:val="0"/>
              </w:rPr>
              <w:t xml:space="preserve">apakšpunktam</w:t>
            </w:r>
            <w:r w:rsidR="00000000" w:rsidRPr="00000000" w:rsidDel="00000000">
              <w:rPr>
                <w:rtl w:val="0"/>
              </w:rPr>
              <w:t xml:space="preserve"> un, ja projekta iesniegumā netiek norādīts </w:t>
            </w:r>
            <w:r w:rsidR="00000000" w:rsidRPr="00000000" w:rsidDel="00000000">
              <w:rPr>
                <w:i w:val="1"/>
                <w:rtl w:val="0"/>
              </w:rPr>
              <w:t xml:space="preserve">de minimis</w:t>
            </w:r>
            <w:r w:rsidR="00000000" w:rsidRPr="00000000" w:rsidDel="00000000">
              <w:rPr>
                <w:rtl w:val="0"/>
              </w:rPr>
              <w:t xml:space="preserve"> atbalsta uzskaites sistēmā izveidotās un apstiprinātās veidlapas identifikācijas numurs - </w:t>
            </w:r>
            <w:r w:rsidR="00000000" w:rsidRPr="00000000" w:rsidDel="00000000">
              <w:rPr>
                <w:i w:val="1"/>
                <w:rtl w:val="0"/>
              </w:rPr>
              <w:t xml:space="preserve">de</w:t>
            </w:r>
            <w:r w:rsidR="00000000" w:rsidRPr="00000000" w:rsidDel="00000000">
              <w:rPr>
                <w:i w:val="1"/>
                <w:rtl w:val="0"/>
              </w:rPr>
              <w:t xml:space="preserve"> minimis</w:t>
            </w:r>
            <w:r w:rsidR="00000000" w:rsidRPr="00000000" w:rsidDel="00000000">
              <w:rPr>
                <w:rtl w:val="0"/>
              </w:rPr>
              <w:t xml:space="preserve"> atbalsta uzskaites sistēmā sagatavoto veidlapas "Veidlapa par sniedzamo informāciju </w:t>
            </w:r>
            <w:r w:rsidR="00000000" w:rsidRPr="00000000" w:rsidDel="00000000">
              <w:rPr>
                <w:i w:val="1"/>
                <w:rtl w:val="0"/>
              </w:rPr>
              <w:t xml:space="preserve">de minimis</w:t>
            </w:r>
            <w:r w:rsidR="00000000" w:rsidRPr="00000000" w:rsidDel="00000000">
              <w:rPr>
                <w:rtl w:val="0"/>
              </w:rPr>
              <w:t xml:space="preserve"> atbalsta uzskaitei un piešķiršanai" izdruku.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Ja projekta iesniegums paredz jauna produkta vai tehnoloģijas izstrādi, Latvijas Zinātnes padome projekta inovācijas, aktualitātes un zinātniskās komponentes vērtēšanai pieprasa ekspertu atzinumu. Atzinuma sniegšanai piesaista ekspertus, kam pēdējo 10 gadu laikā ir pieredze projektu vērtēšanā Eiropas Savienības inovāciju atbalsta programmās vai citās inovāciju atbalsta programmās, kur viena projekta kopējā summa bijusi vismaz 200 000 </w:t>
            </w:r>
            <w:r w:rsidR="00000000" w:rsidRPr="00000000" w:rsidDel="00000000">
              <w:rPr>
                <w:i w:val="1"/>
                <w:rtl w:val="0"/>
              </w:rPr>
              <w:t xml:space="preserve">euro</w:t>
            </w:r>
            <w:r w:rsidR="00000000" w:rsidRPr="00000000" w:rsidDel="00000000">
              <w:rPr>
                <w:rtl w:val="0"/>
              </w:rPr>
              <w:t xml:space="preserve">. Piesaistītais eksperts nav saistīts ar projektu Eiropas Parlamenta un Padomes 2024. gada 23. septembra Regulas (ES, Euratom) 2024/2509 par finanšu noteikumiem, ko piemēro Savienības vispārējam budžetam (turpmāk – regula Nr. 2024/2509) 61. panta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sadarbojoties ar Aizsardzības ministriju un LZP, izvērtēt iespēju, ka vērtējumu, kas neskar duālo pielietojumu un militāro jomu, sniedz LZP piesaistīts eksperts, kura uzdevums būtu sniegt atzinumu par inovācijas, aktualitātes un zinātniskā aspekta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risku, ka, ja projekta vērtējumus par inovāciju un zinātnisko aspektu nodrošina vairākas iestādes, pastāv iespēja, ka netiks nodrošināta vienota vērtēšanas pieeja visiem projekta pieteikumiem.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1.2.1.1/1/25/I/001 ietvaros tika piešķirts finansējums 425 000 EUR, lai nodrošinātu kvalitatīvu un objektīvu inovāciju un zinātnisko aspektu izvērtēšanu 1.2.1.1. pasākuma 3. kārtas projektu iesniegumu atlases procesā, piesaistot LZP.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instrumentu, iekārtu un to aprīkojuma iegādes un nomas maksa atbilst Komisijas regulas Nr. </w:t>
            </w:r>
            <w:r w:rsidR="00000000" w:rsidRPr="00000000" w:rsidDel="00000000">
              <w:rPr>
                <w:rtl w:val="0"/>
              </w:rPr>
              <w:t xml:space="preserve">651/2014</w:t>
            </w:r>
            <w:r w:rsidR="00000000" w:rsidRPr="00000000" w:rsidDel="00000000">
              <w:rPr>
                <w:rtl w:val="0"/>
              </w:rPr>
              <w:t xml:space="preserve"> 25. panta 3. punkta "b" apakšpunktam, ciktāl to izmanto rūpnieciskā pētījuma, eksperimentālās izstrādes vai tehniski ekonomiskās priekšizpētes darbībām un nepārsniedz tirgū noteikto cenu. Iekārtu iegādes izmaksas attiecināmas, ja pamatlīdzekļu izmantošanas laiks saskaņā ar finansējuma saņēmēja vai sadarbības partnera grāmatvedības politikā noteikto uzskaiti projekta ietvaros aptver visu šo pamatlīdzekļu lietderīgās lietošanas laiku. Ja pamatlīdzekļu izmantošanas laiks projekta ietvaros neaptver visu šo pamatlīdzekļu lietderīgās lietošanas laiku, izmaksas ir attiecināmas kā iekārtas amortizācijas izmaksas. Attiecināmā instrumentu, iekārtu un to aprīkojuma mēneša nomas maksa tiek pielīdzināta amortizācijas izmaksām, kādas tās būtu, ja instrumenti, iekārtas un to aprīkojums būtu finansējuma saņēmēja vai sadarbības partnera īpašumā. Izmaksām jāpiemēro tāda pati nolietojuma aprēķināšanas metode kā nomnieka īpašumā esošajiem pamatlīdzekļiem. Finansējuma saņēmējam un sadarbības partnerim jāiesniedz attiecīgie dokumenti, kas apliecina nomāto instrumentu, iekārtu un to aprīkojuma tirgus vērtību;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uzraudzības birokrātisko slogu, kā arī atvieglotu finansējuma saņēmējiem izvirzītos papildus nosacījumus iekārtu nomām, lūgums izteikt Noteikumu projekta 27.6. apakšpunktu zemāk minētajā redakcijā. Papildus lūdzam anotācijā noteikt, ka nosacījumi ir attiecināmi retrospektīvi no projekta iesnieguma iesniegšanas brīža.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komentārs)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instrumentu, iekārtu un to aprīkojuma iegādes un nomas maksa atbilst Komisijas regulas Nr. 651/2014 25. panta 3. punkta "b" apakšpunktam, ciktāl to izmanto rūpnieciskā pētījuma, eksperimentālās izstrādes vai tehniski ekonomiskās priekšizpētes darbībām un nepārsniedz tirgū noteikto cenu. Iekārtu iegādes izmaksas attiecināmas, ja pamatlīdzekļu izmantošanas laiks saskaņā ar finansējuma saņēmēja vai sadarbības partnera grāmatvedības politikā noteikto uzskaiti projekta ietvaros aptver visu šo pamatlīdzekļu lietderīgās lietošanas laiku. Ja pamatlīdzekļu izmantošanas laiks projekta ietvaros neaptver visu šo pamatlīdzekļu lietderīgās lietošanas laiku, izmaksas ir attiecināmas kā iekārtas amortizācijas izmaksas. Iekārtu nomas izmaksām Finansējuma saņēmējam un Sadarbības partnerim ir pienākums pamatot un pierādīt, ka ir ievērots saimnieciskā izdevīguma princips. Izmaksām ir jābūt pamatotām, noteiktām atbilstoši ekonomiskuma un efektivitātes principam.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un anotācija precizēta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instrumentu, iekārtu un to aprīkojuma iegādes un nomas maksa, kas atbilst Komisijas regulas Nr. </w:t>
            </w:r>
            <w:r w:rsidR="00000000" w:rsidRPr="00000000" w:rsidDel="00000000">
              <w:rPr>
                <w:rtl w:val="0"/>
              </w:rPr>
              <w:t xml:space="preserve">651/2014</w:t>
            </w:r>
            <w:r w:rsidR="00000000" w:rsidRPr="00000000" w:rsidDel="00000000">
              <w:rPr>
                <w:rtl w:val="0"/>
              </w:rPr>
              <w:t xml:space="preserve"> 25. panta 3. punkta "b" apakšpunktam, ciktāl to izmanto rūpnieciskā pētījuma, eksperimentālās izstrādes vai tehniski ekonomiskās priekšizpētes darbībām un nepārsniedz tirgū noteikto cenu. Iekārtu iegādes izmaksas attiecināmas, ja pamatlīdzekļu izmantošanas laiks saskaņā ar finansējuma saņēmēja vai sadarbības partnera grāmatvedības politikā noteikto uzskaiti projekta ietvaros aptver visu šo pamatlīdzekļu lietderīgās lietošanas laiku. Ja pamatlīdzekļu izmantošanas laiks projekta ietvaros neaptver visu šo pamatlīdzekļu lietderīgās lietošanas laiku, izmaksas ir attiecināmas kā iekārtas amortizācijas izmaksas. Iekārtu nomas izmaksām finansējuma saņēmējam un sadarbības partnerim ir pienākums pamatot un pierādīt, ka ir ievērots saimnieciskā izdevīguma princips. Izmaksām ir jābūt pamatotām, noteiktām atbilstoši ekonomiskuma un efektivitātes principam;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27.15. ja finansējuma saņēmējs ir komersants, kas atbilst sīkā (mikro), mazā vai vidējā saimnieciskās darbības subjekta statusam – izmaksas par patentiem un citu nemateriālu aktīvu iegūšanu, ciktāl tos izmanto rūpnieciskā pētījuma, eksperimentālās izstrādes vai tehniski ekonomiskās priekšizpētes darbībām, atbilst Komisijas regulas Nr. 651/2014 28. panta 2. punkta "a"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Juridiskai skaidrībai, lai nodrošinātu, ka projektā attiecināmas tādas izmaksas, kas atbilst Komisijas regulai Nr.651/2014, lūdzam pirms vārdiem "atbilst Komisijas regulas Nr. 651/2014" papildināt ar vārdu "kas". Analoģiski lūdzam pārskatīt, vai nebūtu precizējami arī citi noteikumu projekta 27.punktā iekļautie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27.15. ja finansējuma saņēmējs ir komersants, kas atbilst sīkā (mikro), mazā vai vidējā saimnieciskās darbības subjekta statusam – izmaksas par patentiem un citu nemateriālu aktīvu iegūšanu, ciktāl tos izmanto rūpnieciskā pētījuma, eksperimentālās izstrādes vai tehniski ekonomiskās priekšizpētes darbībām, kas atbilst Komisijas regulas Nr. 651/2014 28. panta 2. punkta "a" apakšpunktam;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27.15. ja finansējuma saņēmējs ir komersants, kas atbilst sīkā (mikro), mazā vai vidējā saimnieciskās darbības subjekta statusam – izmaksas par patentiem un citu nemateriālu aktīvu iegūšanu, ciktāl tos izmanto rūpnieciskā pētījuma, eksperimentālās izstrādes vai tehniski ekonomiskās priekšizpētes darbībām, atbilst Komisijas regulas Nr. 651/2014 28. panta 2. punkta "a"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papildināt noteikumus ar 27.15. apakšpunktu, kas noteic, “ja finansējuma saņēmējs ir komersants, kas atbilst sīkā (mikro), mazā vai vidējā saimnieciskās darbības subjekta statusam – izmaksas par patentiem un citu nemateriālu aktīvu iegūšanu, ciktāl tos izmanto rūpnieciskā pētījuma, eksperimentālās izstrādes vai tehniski ekonomiskās priekšizpētes darbībām, atbilst Komisijas regulas Nr. 651/2014 28. panta 2. punkta "a" apakšpunktam". Vienlaikus Noteikumi Nr.663 tiek papildināti ar 42.</w:t>
            </w:r>
            <w:r w:rsidR="00000000" w:rsidRPr="00000000" w:rsidDel="00000000">
              <w:rPr>
                <w:vertAlign w:val="superscript"/>
                <w:rtl w:val="0"/>
              </w:rPr>
              <w:t xml:space="preserve">​2</w:t>
            </w:r>
            <w:r w:rsidR="00000000" w:rsidRPr="00000000" w:rsidDel="00000000">
              <w:rPr>
                <w:rtl w:val="0"/>
              </w:rPr>
              <w:t xml:space="preserve"> punktu, paredzot, ka maksimāli pieļaujamā atbalsta intensitāte patentiem un citu nemateriālu aktīvu iegūšanai ir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izmaksas, kas ir saistītas ar patentiem, var būt gan pirms patenta iegūšanas, kā, piemēram, patentmeklējums, tā arī saistītas ar patenta iegūšanu  un tālāk arī ar patenta uzturēšanu. Tādējādi, tiesiskās skaidrības nodrošināšanai un, lai izslēgtu normu tulkošanas dažādību, ierosinām papildināt noteikumu projekta anotāciju ar skaidrojumu, uz kādām konkrēti patentu izmaksām var attiecināt noteikumu projekta 27.15. apakšpunktā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27.15. ja finansējuma saņēmējs ir komersants, kas atbilst sīkā (mikro), mazā vai vidējā saimnieciskās darbības subjekta statusam – izmaksas par patentiem un citu nemateriālu aktīvu iegūšanu, ciktāl tos izmanto rūpnieciskā pētījuma, eksperimentālās izstrādes vai tehniski ekonomiskās priekšizpētes darbībām, kas atbilst Komisijas regulas Nr. 651/2014 28. panta 2. punkta "a" apakšpunktam;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47.2. ievietot savā tīmekļvietnē aktuālo informāciju par projekta īstenošanas gaitu un nodrošināt informācijas un publicitātes pasākumus;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Savienības fondos ieviesto terminu lietojumu Eiropas Savienības fondu 2021.-2027. gada plānošanas periodā attiecībā uz komunikāciju, aicinām aizstāt noteikumu projekta 27. punktā izteiktajā 47.2. apakšpunktā un noteikumu projekta 28. punktā izteiktajā 47.</w:t>
            </w:r>
            <w:r w:rsidR="00000000" w:rsidRPr="00000000" w:rsidDel="00000000">
              <w:rPr>
                <w:vertAlign w:val="superscript"/>
                <w:rtl w:val="0"/>
              </w:rPr>
              <w:t xml:space="preserve">1</w:t>
            </w:r>
            <w:r w:rsidR="00000000" w:rsidRPr="00000000" w:rsidDel="00000000">
              <w:rPr>
                <w:rtl w:val="0"/>
              </w:rPr>
              <w:t xml:space="preserve"> punktā vārdus “informācijas un publicitātes” ar vārdiem “komunikācijas un vizuālās identitātes”.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47.2. ievietot savā tīmekļvietnē aktuālo informāciju par projekta īstenošanas gaitu un nodrošināt komunikācijas un vizuālās identitātes pasākumus;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50.3. finansējuma saņēmējs var dalīt avansa maksājumus un saņemt vairākus avansa maksājumus, bet nākamo avansa maksājumu var saņemt tikai pēc tam, kad iepriekšējais ieguldīts pilnā apmērā un ne biežāk kā reizi sešos mēnešos.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neuzliktu papildus finansiālo slogu finansējuma saņēmējiem un vienādotu nosacījumus līdzvērtīgās pētniecības programmās, lūdzam no Noteikumu projekta 50.3. apakšpunkta dzēst teikuma daļu "un ne biežāk kā reizi sešos mēnešos".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50.3. finansējuma saņēmējs var dalīt avansa maksājumus un saņemt vairākus avansa maksājumus, bet nākamo avansa maksājumu var saņemt tikai pēc tam, kad iepriekšējais ieguldīts pilnā apmērā.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50.3. finansējuma saņēmējs var dalīt avansa maksājumus un saņemt vairākus avansa maksājumus, bet nākamo avansa maksājumu var saņemt tikai pēc tam, kad iepriekšējais ieguldīts pilnā apmērā.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Projektu īstenošanas uzraudzībai Aizsardzības ministrija vai Latvijas Zinātnes padome kopīgi ar sadarbības iestādi nodrošina projektu gala rezultātu zinātniskās kvalitātes izvērtējumu, ievērojot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- 13.08.2025.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nesniedz zinātniskās kvalitātes vērtējumu, lūgums šo punktu atbilstoši koriģēt.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56.1. atzinumā tiek iekļauta vismaz šāda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EM papildināt šo punktu ar jaunu apakšpunktu, nosakot, ka atzinumā ir jābūt ietvertam arī eksperta slēdzienam par projekta iesniegumā norādītās pētniecības kategorijas atbilstību atbilstoši Revīzijas iestādes ieteikumam par pieeju zinātniskās ekspertīzes nodrošināšanai (saņemts CFLA un Latvijas Zinātnes padomes starpresoru vienošanās projekta par sadarbību zinātniskās ekspertīzes nodrošināšanai saskaņošanas ietvaros, 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projekta iesnieguma sākotnējā izvērtēšanā jau tiek pārbaudīta atbilstība inovācijas, aktualitātes, pielietojamības aizsardzības jomā un pētniecības kategorijas kritērijiem, atkārtota šo aspektu vērtēšana nav nepieciešama. Šādas prasības piemērošana var radīt papildus birokrātisko slogu un prasības finansējuma saņēmējam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58.4.1.2. pētniecības un attīstības tehniskais personāls, t. sk. pētniecības un attīstības atbalsta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Vadlīnijās </w:t>
            </w:r>
            <w:r w:rsidR="00000000" w:rsidRPr="00000000" w:rsidDel="00000000">
              <w:rPr>
                <w:i w:val="1"/>
                <w:rtl w:val="0"/>
              </w:rPr>
              <w:t xml:space="preserve">par viedās specializācijas stratēģijas jomas noteikšanu un monitoringa veikšanu </w:t>
            </w:r>
            <w:r w:rsidR="00000000" w:rsidRPr="00000000" w:rsidDel="00000000">
              <w:rPr>
                <w:rtl w:val="0"/>
              </w:rPr>
              <w:t xml:space="preserve">(turpmāk - RIS3 vadlīnijas) aktualizētajiem RIS3 radītājiem (jūlijs, 2025), aicinām EM  precizēt šo kritēriju,  svītrojot šī kritērija apakškritērijus (nav nepieciešams P&amp;A tehniskā personāla iedalījums izglītības līmeņos) un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58.4.1.2.pētniecības un attīstības tehniskais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58.4.1.2. pētniecības un attīstības tehniskais personāls;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58.4.1.2.6. pētniecības un attīstības atbalsta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RIS3 vadlīnijās aktualizētajiem RIS3 radītājiem (jūlijs, 2025), aicinām EM  precizēt šo kritēriju (atsevišķs rādītājs, nevis 58.4.1.2.rādītāja apakšrādītājs),  izsakot to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58.4.1.3. pētniecības un attīstības atbalsta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58.5.1.2. pētniecības un attīstības tehniskais personāls, t. sk. pētniecības un attīstības atbalsta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RIS3 vadlīnijās aktualizētajiem RIS3 radītājiem (jūlijs, 2025), aicinām EM  precizēt šo kritēriju,  svītrojot šī kritērija apakškritērijus (nav nepieciešams P&amp;A tehniskā personāla iedalījums izglītības līmeņos) un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58.5.1.2.pētniecības un attīstības tehniskais personāls;</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58.5.1.2. pētniecības un attīstības tehniskais personāls;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58.5.1.2.6. pētniecības un attīstības atbalsta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RIS3 vadlīnijās aktualizētajiem RIS3 radītājiem (jūlijs, 2025), aicinām EM  precizēt šo kritēriju (atsevišķs rādītājs, nevis 58.5.1.2.rādītāja apakšrādītājs),  izsakot to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58.5.1.3.pētniecības un attīstības atbalsta personāls;</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 Pasākuma ietvaros sadarbības iestāde finansējuma saņēmējam un sadarbības partnerim finansējumu šo noteikumu </w:t>
            </w:r>
            <w:r w:rsidR="00000000" w:rsidRPr="00000000" w:rsidDel="00000000">
              <w:rPr>
                <w:rtl w:val="0"/>
              </w:rPr>
              <w:t xml:space="preserve">27.16. </w:t>
            </w:r>
            <w:r w:rsidR="00000000" w:rsidRPr="00000000" w:rsidDel="00000000">
              <w:rPr>
                <w:rtl w:val="0"/>
              </w:rPr>
              <w:t xml:space="preserve">apakšpunktā</w:t>
            </w:r>
            <w:r w:rsidR="00000000" w:rsidRPr="00000000" w:rsidDel="00000000">
              <w:rPr>
                <w:rtl w:val="0"/>
              </w:rPr>
              <w:t xml:space="preserve"> minēto izmaksu segšanai sniedz saskaņā ar Eiropas Komisijas 2023. gada 13. decembra Regulu (ES) Nr.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Komisijas regula Nr. 2023/2831)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tiek ievēroti visi nosacījumi, kas izriet no Eiropas Komisijas 2023.gada 13.decembra Regulas (ES) Nr. 2023/2831 par Līguma par Eiropas Savienības darbību 107. un 108. panta piemērošanu de minimis atbalstam (turpmāk - Komisijas regula Nr. 2023/2831), lūdzam papildināt noteikumus ar normu, kas izriet no Komisijas regulas Nr. 2023/2831 1. panta 1. un 2. punkta nosacījumiem. Lūdzam skatīt piedāvātās redakcijas piemēru zemāk.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 minimis atbalstu saskaņā ar Komisijas regulu Nr.2023/2831 piešķir, ievērojot Komisijas regulas Nr.2023/2831 1.panta 1.punktā minētos nozaru un darbību ierobežojumus. Ja projekta iesniedzējs un sadarbības partneris vienlaikus darbojas vienā vai vairākās Komisijas regulas Nr.2023/2831 1.panta 1.punkta a), b), c) un d) apakšpunktā minētajās nozarēs, atbalstu drīkst piešķirt tikai tad, ja projekta iesniedzējs un sadarbības partneris nodrošina šo nozaru darbību vai uzskaites nodalīšanu, lai saskaņā ar Komisijas regulas Nr.2023/2831 1.panta 2.punktu darbības izslēgtajās nozarēs un šo noteikumu 24.pantā izslēgtajās nozarēs un darbībās negūst labumu no de minimis atbalsta, ko piešķir saskaņā ar šiem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 Pasākuma ietvaros sadarbības iestāde finansējuma saņēmējam un sadarbības partnerim finansējumu šo noteikumu </w:t>
            </w:r>
            <w:r w:rsidR="00000000" w:rsidRPr="00000000" w:rsidDel="00000000">
              <w:rPr>
                <w:rtl w:val="0"/>
              </w:rPr>
              <w:t xml:space="preserve">27.16. </w:t>
            </w:r>
            <w:r w:rsidR="00000000" w:rsidRPr="00000000" w:rsidDel="00000000">
              <w:rPr>
                <w:rtl w:val="0"/>
              </w:rPr>
              <w:t xml:space="preserve">apakšpunktā</w:t>
            </w:r>
            <w:r w:rsidR="00000000" w:rsidRPr="00000000" w:rsidDel="00000000">
              <w:rPr>
                <w:rtl w:val="0"/>
              </w:rPr>
              <w:t xml:space="preserve"> minēto izmaksu segšanai sniedz saskaņā ar Eiropas Komisijas 2023. gada 13. decembra Regulu (ES) Nr.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Komisijas regula Nr. 2023/2831)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2</w:t>
            </w:r>
            <w:r w:rsidR="00000000" w:rsidRPr="00000000" w:rsidDel="00000000">
              <w:rPr>
                <w:rtl w:val="0"/>
              </w:rPr>
              <w:t xml:space="preserve"> Pirms komercdarbības atbalsta sniegšanas saskaņā ar Komisijas regulu Nr. 2023/2831 sadarbības iestāde pārliecinās, vai </w:t>
            </w:r>
            <w:r w:rsidR="00000000" w:rsidRPr="00000000" w:rsidDel="00000000">
              <w:rPr>
                <w:i w:val="1"/>
                <w:rtl w:val="0"/>
              </w:rPr>
              <w:t xml:space="preserve">de minimis</w:t>
            </w:r>
            <w:r w:rsidR="00000000" w:rsidRPr="00000000" w:rsidDel="00000000">
              <w:rPr>
                <w:rtl w:val="0"/>
              </w:rPr>
              <w:t xml:space="preserve"> atbalsta kopsumma finansējuma saņēmējam un sadarbības partnerim pēdējo triju gadu periodā, skaitot no </w:t>
            </w:r>
            <w:r w:rsidR="00000000" w:rsidRPr="00000000" w:rsidDel="00000000">
              <w:rPr>
                <w:i w:val="1"/>
                <w:rtl w:val="0"/>
              </w:rPr>
              <w:t xml:space="preserve">de minimis</w:t>
            </w:r>
            <w:r w:rsidR="00000000" w:rsidRPr="00000000" w:rsidDel="00000000">
              <w:rPr>
                <w:rtl w:val="0"/>
              </w:rPr>
              <w:t xml:space="preserve"> atbalsta piešķiršanas dienas, kopā ar plānoto </w:t>
            </w:r>
            <w:r w:rsidR="00000000" w:rsidRPr="00000000" w:rsidDel="00000000">
              <w:rPr>
                <w:i w:val="1"/>
                <w:rtl w:val="0"/>
              </w:rPr>
              <w:t xml:space="preserve">de minimis</w:t>
            </w:r>
            <w:r w:rsidR="00000000" w:rsidRPr="00000000" w:rsidDel="00000000">
              <w:rPr>
                <w:rtl w:val="0"/>
              </w:rPr>
              <w:t xml:space="preserve"> atbalstu nepārsniedz minētās regulas 3. panta 2. punktā noteikto </w:t>
            </w:r>
            <w:r w:rsidR="00000000" w:rsidRPr="00000000" w:rsidDel="00000000">
              <w:rPr>
                <w:i w:val="1"/>
                <w:rtl w:val="0"/>
              </w:rPr>
              <w:t xml:space="preserve">de minimis</w:t>
            </w:r>
            <w:r w:rsidR="00000000" w:rsidRPr="00000000" w:rsidDel="00000000">
              <w:rPr>
                <w:rtl w:val="0"/>
              </w:rPr>
              <w:t xml:space="preserve"> atbalsta ierobežojumu. Finansējuma limits vienam finansējuma saņēmējam un sadarbības partnerim tiek vērtēts viena vienota komersanta līmenī atbilstoši Komisijas regulas Nr. 2023/2831 2. panta 2.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noteikumu projektā tiek lietota vienota terminoloģija, lūdzam noteikumu projekta 62.</w:t>
            </w:r>
            <w:r w:rsidR="00000000" w:rsidRPr="00000000" w:rsidDel="00000000">
              <w:rPr>
                <w:vertAlign w:val="superscript"/>
                <w:rtl w:val="0"/>
              </w:rPr>
              <w:t xml:space="preserve">2</w:t>
            </w:r>
            <w:r w:rsidR="00000000" w:rsidRPr="00000000" w:rsidDel="00000000">
              <w:rPr>
                <w:rtl w:val="0"/>
              </w:rPr>
              <w:t xml:space="preserve"> punktā aizstāt vārdu "komersanta'' ar vārdu "uzņēmuma".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2</w:t>
            </w:r>
            <w:r w:rsidR="00000000" w:rsidRPr="00000000" w:rsidDel="00000000">
              <w:rPr>
                <w:rtl w:val="0"/>
              </w:rPr>
              <w:t xml:space="preserve"> Pirms komercdarbības atbalsta sniegšanas saskaņā ar Komisijas regulu Nr. 2023/2831 sadarbības iestāde pārliecinās, vai </w:t>
            </w:r>
            <w:r w:rsidR="00000000" w:rsidRPr="00000000" w:rsidDel="00000000">
              <w:rPr>
                <w:i w:val="1"/>
                <w:rtl w:val="0"/>
              </w:rPr>
              <w:t xml:space="preserve">de minimis</w:t>
            </w:r>
            <w:r w:rsidR="00000000" w:rsidRPr="00000000" w:rsidDel="00000000">
              <w:rPr>
                <w:rtl w:val="0"/>
              </w:rPr>
              <w:t xml:space="preserve"> atbalsta kopsumma finansējuma saņēmējam un sadarbības partnerim pēdējo triju gadu periodā, skaitot no </w:t>
            </w:r>
            <w:r w:rsidR="00000000" w:rsidRPr="00000000" w:rsidDel="00000000">
              <w:rPr>
                <w:i w:val="1"/>
                <w:rtl w:val="0"/>
              </w:rPr>
              <w:t xml:space="preserve">de minimis</w:t>
            </w:r>
            <w:r w:rsidR="00000000" w:rsidRPr="00000000" w:rsidDel="00000000">
              <w:rPr>
                <w:rtl w:val="0"/>
              </w:rPr>
              <w:t xml:space="preserve"> atbalsta piešķiršanas dienas, kopā ar plānoto </w:t>
            </w:r>
            <w:r w:rsidR="00000000" w:rsidRPr="00000000" w:rsidDel="00000000">
              <w:rPr>
                <w:i w:val="1"/>
                <w:rtl w:val="0"/>
              </w:rPr>
              <w:t xml:space="preserve">de minimis</w:t>
            </w:r>
            <w:r w:rsidR="00000000" w:rsidRPr="00000000" w:rsidDel="00000000">
              <w:rPr>
                <w:rtl w:val="0"/>
              </w:rPr>
              <w:t xml:space="preserve"> atbalstu nepārsniedz minētās regulas 3. panta 2. punktā noteikto </w:t>
            </w:r>
            <w:r w:rsidR="00000000" w:rsidRPr="00000000" w:rsidDel="00000000">
              <w:rPr>
                <w:i w:val="1"/>
                <w:rtl w:val="0"/>
              </w:rPr>
              <w:t xml:space="preserve">de minimis</w:t>
            </w:r>
            <w:r w:rsidR="00000000" w:rsidRPr="00000000" w:rsidDel="00000000">
              <w:rPr>
                <w:rtl w:val="0"/>
              </w:rPr>
              <w:t xml:space="preserve"> atbalsta ierobežojumu. Finansējuma limits vienam finansējuma saņēmējam un sadarbības partnerim tiek vērtēts viena vienota uzņēmuma līmenī atbilstoši Komisijas regulas Nr. 2023/2831 2. panta 2. punktam.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3</w:t>
            </w:r>
            <w:r w:rsidR="00000000" w:rsidRPr="00000000" w:rsidDel="00000000">
              <w:rPr>
                <w:rtl w:val="0"/>
              </w:rPr>
              <w:t xml:space="preserve"> Šo noteikumu ietvaros saņemto </w:t>
            </w:r>
            <w:r w:rsidR="00000000" w:rsidRPr="00000000" w:rsidDel="00000000">
              <w:rPr>
                <w:i w:val="1"/>
                <w:rtl w:val="0"/>
              </w:rPr>
              <w:t xml:space="preserve">de minimis</w:t>
            </w:r>
            <w:r w:rsidR="00000000" w:rsidRPr="00000000" w:rsidDel="00000000">
              <w:rPr>
                <w:rtl w:val="0"/>
              </w:rPr>
              <w:t xml:space="preserve"> atbalstu var apvienot ar citu </w:t>
            </w:r>
            <w:r w:rsidR="00000000" w:rsidRPr="00000000" w:rsidDel="00000000">
              <w:rPr>
                <w:i w:val="1"/>
                <w:rtl w:val="0"/>
              </w:rPr>
              <w:t xml:space="preserve">de minimis</w:t>
            </w:r>
            <w:r w:rsidR="00000000" w:rsidRPr="00000000" w:rsidDel="00000000">
              <w:rPr>
                <w:rtl w:val="0"/>
              </w:rPr>
              <w:t xml:space="preserve"> atbalstu saskaņā ar Komisijas regulas Nr. 2023/2831 5. pantu, tai skaitā par vienām un tām pašām attiecināmajām izmaksām, ja pēc atbalstu apvienošanas atbalsta vienībai vai izmaksu pozīcijai attiecīgā maksimālā atbalsta intensitāte nepārsniedz 100 procentus, kā arī netiek pārsniegts Komisijas regulas Nr. ​2023/2831 3. panta 2. punktā noteiktais maksimālais </w:t>
            </w:r>
            <w:r w:rsidR="00000000" w:rsidRPr="00000000" w:rsidDel="00000000">
              <w:rPr>
                <w:i w:val="1"/>
                <w:rtl w:val="0"/>
              </w:rPr>
              <w:t xml:space="preserve">de minimis</w:t>
            </w:r>
            <w:r w:rsidR="00000000" w:rsidRPr="00000000" w:rsidDel="00000000">
              <w:rPr>
                <w:rtl w:val="0"/>
              </w:rPr>
              <w:t xml:space="preserve"> atbalsta apmērs.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normu, ka, piesakoties de minimis atbalstam, finansējuma saņēmējam un sadarbības partnerim ir jāiesniedz atbalsta sniedzējam informāciju par plānoto un piešķirto atbalstu tā paša projekta ietvaros, tai skaitā par tām pašām attiecināmajām izmaksām, norādot atbalsta piešķiršanas datumu, atbalsta sniedzēju, atbalsta pasākumu un plānoto/piešķirto atbalsta summu un atbalsta intensitāti.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5</w:t>
            </w:r>
            <w:r w:rsidR="00000000" w:rsidRPr="00000000" w:rsidDel="00000000">
              <w:rPr>
                <w:rtl w:val="0"/>
              </w:rPr>
              <w:t xml:space="preserve"> Šo noteikumu ietvaros saņemto </w:t>
            </w:r>
            <w:r w:rsidR="00000000" w:rsidRPr="00000000" w:rsidDel="00000000">
              <w:rPr>
                <w:i w:val="1"/>
                <w:rtl w:val="0"/>
              </w:rPr>
              <w:t xml:space="preserve">de minimis</w:t>
            </w:r>
            <w:r w:rsidR="00000000" w:rsidRPr="00000000" w:rsidDel="00000000">
              <w:rPr>
                <w:rtl w:val="0"/>
              </w:rPr>
              <w:t xml:space="preserve"> atbalstu var apvienot ar citu </w:t>
            </w:r>
            <w:r w:rsidR="00000000" w:rsidRPr="00000000" w:rsidDel="00000000">
              <w:rPr>
                <w:i w:val="1"/>
                <w:rtl w:val="0"/>
              </w:rPr>
              <w:t xml:space="preserve">de minimis</w:t>
            </w:r>
            <w:r w:rsidR="00000000" w:rsidRPr="00000000" w:rsidDel="00000000">
              <w:rPr>
                <w:rtl w:val="0"/>
              </w:rPr>
              <w:t xml:space="preserve"> atbalstu saskaņā ar Komisijas regulas Nr. 2023/2831 5. pantu, tai skaitā par vienām un tām pašām attiecināmajām izmaksām, ja pēc atbalstu apvienošanas atbalsta vienībai vai izmaksu pozīcijai attiecīgā maksimālā atbalsta intensitāte nepārsniedz 100 procentus, kā arī netiek pārsniegts Komisijas regulas Nr. ​2023/2831 3. panta 2. punktā noteiktais maksimālais </w:t>
            </w:r>
            <w:r w:rsidR="00000000" w:rsidRPr="00000000" w:rsidDel="00000000">
              <w:rPr>
                <w:i w:val="1"/>
                <w:rtl w:val="0"/>
              </w:rPr>
              <w:t xml:space="preserve">de minimis</w:t>
            </w:r>
            <w:r w:rsidR="00000000" w:rsidRPr="00000000" w:rsidDel="00000000">
              <w:rPr>
                <w:rtl w:val="0"/>
              </w:rPr>
              <w:t xml:space="preserve"> atbalsta apmērs.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Sadarbības iestāde lēmumus par komercdarbības atbalsta piešķiršanu finansējuma saņēmējam un sadarbības partnerim var pieņemt līdz Komisijas regulas Nr. </w:t>
            </w:r>
            <w:r w:rsidR="00000000" w:rsidRPr="00000000" w:rsidDel="00000000">
              <w:rPr>
                <w:rtl w:val="0"/>
              </w:rPr>
              <w:t xml:space="preserve">651/2014</w:t>
            </w:r>
            <w:r w:rsidR="00000000" w:rsidRPr="00000000" w:rsidDel="00000000">
              <w:rPr>
                <w:rtl w:val="0"/>
              </w:rPr>
              <w:t xml:space="preserve"> 58. panta 4. punktā noteiktajam termiņam.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projektu papildināt ar normu, kas nosaka termiņu, līdz kuram var piešķirt de minimis atbalstu, ievērojot Komisijas regulas Nr. 2023/2831 8. pantu un 7. panta 3. punktu, kas nav garāks par 30.06.2031.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Par atbalstu, kas piešķirts saskaņā ar Komisijas regulu Nr. 651/2014, sadarbības iestāde lēmumus par komercdarbības atbalsta piešķiršanu finansējuma saņēmējam un sadarbības partnerim var pieņemt līdz Komisijas regulas Nr. </w:t>
            </w:r>
            <w:r w:rsidR="00000000" w:rsidRPr="00000000" w:rsidDel="00000000">
              <w:rPr>
                <w:rtl w:val="0"/>
              </w:rPr>
              <w:t xml:space="preserve">651/2014</w:t>
            </w:r>
            <w:r w:rsidR="00000000" w:rsidRPr="00000000" w:rsidDel="00000000">
              <w:rPr>
                <w:rtl w:val="0"/>
              </w:rPr>
              <w:t xml:space="preserve"> 58. panta 4. punktā noteiktajam termiņam.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25-TA-1276</w:t>
    </w:r>
    <w:r>
      <w:br/>
    </w:r>
    <w:r w:rsidR="00000000" w:rsidRPr="00000000" w:rsidDel="00000000">
      <w:rPr>
        <w:rtl w:val="0"/>
      </w:rPr>
      <w:t xml:space="preserve">03.10.2025. 16.22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25-TA-1276</w:t>
    </w:r>
    <w:r>
      <w:br/>
    </w:r>
    <w:r w:rsidR="00000000" w:rsidRPr="00000000" w:rsidDel="00000000">
      <w:rPr>
        <w:rtl w:val="0"/>
      </w:rPr>
      <w:t xml:space="preserve">03.10.2025. 16.22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Izziņa_25-TA-1276.docx</dc:title>
</cp:coreProperties>
</file>

<file path=docProps/custom.xml><?xml version="1.0" encoding="utf-8"?>
<Properties xmlns="http://schemas.openxmlformats.org/officeDocument/2006/custom-properties" xmlns:vt="http://schemas.openxmlformats.org/officeDocument/2006/docPropsVTypes"/>
</file>