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25-TA-2604: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Ieguldījumu brokeru sabiedrību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03.02.2026. 21:40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pants. “8. Šā likuma 1. panta pirmās daļas 18. punktu un otrās daļas jauno redakciju, 31. panta pirmās daļas 14. punkta "b" apakšpunkta jauno redakciju, 43. pantu 2.</w:t>
            </w:r>
            <w:r w:rsidR="00000000" w:rsidRPr="00000000" w:rsidDel="00000000">
              <w:rPr>
                <w:vertAlign w:val="superscript"/>
                <w:rtl w:val="0"/>
              </w:rPr>
              <w:t xml:space="preserve">1</w:t>
            </w:r>
            <w:r w:rsidR="00000000" w:rsidRPr="00000000" w:rsidDel="00000000">
              <w:rPr>
                <w:rtl w:val="0"/>
              </w:rPr>
              <w:t xml:space="preserve"> daļu, 45. panta pirmās daļas 14. punktu, 84. panta pirmās daļas 1. punkta jauno redakciju piemēro, sākot ar  2030. gada 25.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57. panta otrās daļas jauno redakciju un 86. pantu piemēro, sākot ar  2030. gada 10.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- 18.02.2026.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pārejas noteikumā nepieciešams </w:t>
            </w:r>
            <w:r w:rsidR="00000000" w:rsidRPr="00000000" w:rsidDel="00000000">
              <w:rPr>
                <w:u w:val="single"/>
                <w:rtl w:val="0"/>
              </w:rPr>
              <w:t xml:space="preserve">aizstāt gada skaitli "2030" ar gada skaitli "2026",</w:t>
            </w:r>
            <w:r w:rsidR="00000000" w:rsidRPr="00000000" w:rsidDel="00000000">
              <w:rPr>
                <w:rtl w:val="0"/>
              </w:rPr>
              <w:t xml:space="preserve"> ņemot vērā to, ka Direktīvas Nr. 2024/2994 4. pantā “Transponēšana” noteikts, ka dalībvalstis līdz </w:t>
            </w:r>
            <w:r w:rsidR="00000000" w:rsidRPr="00000000" w:rsidDel="00000000">
              <w:rPr>
                <w:b w:val="1"/>
                <w:rtl w:val="0"/>
              </w:rPr>
              <w:t xml:space="preserve">2026. gada</w:t>
            </w:r>
            <w:r w:rsidR="00000000" w:rsidRPr="00000000" w:rsidDel="00000000">
              <w:rPr>
                <w:rtl w:val="0"/>
              </w:rPr>
              <w:t xml:space="preserve"> 25. jūnijam pieņem un publicē normatīvos aktus, kas vajadzīgi, lai  izpildītu Direktīvas Nr. 2024/2994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likuma 1. panta pirmās daļas 18. punktu un otrās daļas jauno redakciju, 31. panta pirmās daļas 14. punkta "b" apakšpunkta jauno redakciju, 43. pantu 2.1 daļu, 45. panta pirmās daļas 14. punktu, 84. panta pirmās daļas 1. punkta jauno redakciju piemēro, sākot ar  </w:t>
            </w:r>
            <w:r w:rsidR="00000000" w:rsidRPr="00000000" w:rsidDel="00000000">
              <w:rPr>
                <w:b w:val="1"/>
                <w:rtl w:val="0"/>
              </w:rPr>
              <w:t xml:space="preserve">2026. gada</w:t>
            </w:r>
            <w:r w:rsidR="00000000" w:rsidRPr="00000000" w:rsidDel="00000000">
              <w:rPr>
                <w:rtl w:val="0"/>
              </w:rPr>
              <w:t xml:space="preserve"> 25. jūniju.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Šā likuma 1. panta pirmās daļas 18. punktu un otrās daļas jauno redakciju, 31. panta pirmās daļas 14. punkta "b" apakšpunkta jauno redakciju, 43. pantu 2.</w:t>
            </w:r>
            <w:r w:rsidR="00000000" w:rsidRPr="00000000" w:rsidDel="00000000">
              <w:rPr>
                <w:vertAlign w:val="superscript"/>
                <w:rtl w:val="0"/>
              </w:rPr>
              <w:t xml:space="preserve">1</w:t>
            </w:r>
            <w:r w:rsidR="00000000" w:rsidRPr="00000000" w:rsidDel="00000000">
              <w:rPr>
                <w:rtl w:val="0"/>
              </w:rPr>
              <w:t xml:space="preserve"> daļu, 45. panta pirmās daļas 14. punktu, 84. panta pirmās daļas 1. punkta jauno redakciju piemēro, sākot ar  2026. gada 25. 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likuma 57. panta otrās daļas jauno redakciju un 86. pantu piemēro, sākot ar  2030. gada 10. janvāri.”.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ka likuma 57.panta otrā daļa tiek izteikta jaunā redakcijā: "(2) Šā panta pirmajā daļā minētās ieguldījumu brokeru sabiedrības publisko šā panta pirmajā daļā minēto informāciju savā tīmekļvietnē vai arī izvēlas informācijas publiskošanai citu piemērotu informācijas nesēju un vietu, un vienlaikus iesniedz Latvijas Bankā.", kas ietver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(turpmāk - noteikumi Nr. 617) 15.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lūdzam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“b) ieguldījumu brokeru sabiedrības darbībai piemītošo un varbūtējo risku, kā arī risku, kuru tā rada vai var radīt saviem klientiem, tostarp koncentrācijas riska, kas izriet no riska darījumiem ar centrālajiem darījumu partneriem, ņemot vērā Regulas Nr. 648/2012 7.a panta prasības, identificēšanas, pārvaldīšanas, uzraudzības un ziņošanas sistēmu. Ieguldījumu brokeru sabiedrība izstrādā plānus un kvantificējamus mērķus saskaņā ar Regulas Nr. 648/2012 7.a panta prasībām, lai pārvaldītu un novērstu koncentrācijas risku, kas izriet no riska darījumiem ar centrālajiem darījumu partneriem, kuri piedāvā pakalpojumus, kuriem ir būtiska sistēmiska nozīme  Eiropas Savienībā vai vismaz vienā dalībvalstī.”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vērsts uzmanību, ka likumprojekta "Grozījumi Ieguldījumu brokeru sabiedrību likumā" anotācijā trūkst formulējuma "kvantificējamus mērķus" skaidrojuma. Šāds skaidrojums nepieciešams, lai nodrošinātu tiesisko noteiktību. Proti, ka visi likuma subjekti ar formulējumu "kvantificējami mērķi" saprot vienu un to pašu. It īpaši ņemot vērā, ka Direktīvā 2024/29994 ar ko groza Direktīvu (ES) 2019/2034, nav iekļauta šāda termina definīcija.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ieguldījumu brokeru sabiedrības darbībai piemītošo un varbūtējo risku, kā arī risku, kuru tā rada vai var radīt saviem klientiem, tostarp koncentrācijas riska, kas izriet no riska darījumiem ar centrālajiem darījumu partneriem, ņemot vērā Regulas Nr. 648/2012 7.a panta prasības, identificēšanas, pārvaldīšanas, uzraudzības un ziņošanas sistēmu. Ieguldījumu brokeru sabiedrība izstrādā plānus un kvantificējamus mērķus saskaņā ar Regulas Nr. 648/2012 7.a panta prasībām, lai pārvaldītu un novērstu koncentrācijas risku, kas izriet no riska darījumiem ar centrālajiem darījumu partneriem, kuri piedāvā pakalpojumus, kuriem ir būtiska sistēmiska nozīme  Eiropas Savienībā vai vismaz vienā dalībvalstī.”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(3) Šā likuma 57. panta pirmajā daļā minēto informāciju Latvijas Bankai iesniedz Regulas Nr. 2023/2859 2. panta 3. vai 4. punktā noteiktajā formātā. Informācija satur Regulas Nr. 2023/2859 7. panta 4. punkta “b”, “c” un “d” apakšpunktā minēto informāciju, tai skaitā  šā panta pirmajā daļā minētās sabiedrības nosaukumu un norādi, vai informācija satur fiziskas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aicinām likumprojekta anotācijā sniegt skaidrojumu par to, ko nozīmē formulējums “norāde, vai informācija satur fiziskas personas datus” un, vai 86. panta trešās un ceturtās daļas ietvaros ir paredzēts nodot arī pašus personas datus. Ja atbilde ir apstiprinoša, aicinām likumprojektā skaidri noteikt šo personas datu nodošanas tiesisko pamatu, nolūku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šie aspekti ir regulēti citā normatīvajā aktā un 86. panta kontekstā, sniedzot informāciju, netiek nodoti paši personas dati, bet tikai atzīmēts, vai attiecīgā informācija satur personas datus, aicinām to nepārprotami norādīt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Šā likuma 57. panta pirmajā daļā minēto informāciju Latvijas Bankai iesniedz Regulas Nr. 2023/2859 2. panta 3. vai 4. punktā noteiktajā formātā. Informācija satur Regulas Nr. 2023/2859 7. panta 4. punkta “b”, “c” un “d” apakšpunktā minēto informāciju, tai skaitā  šā panta pirmajā daļā minētās sabiedrības nosaukumu un norādi, vai informācija satur fiziskas personas datus.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mērķim ir jābūt saprotamam ikvienam iedzīvotājam, ne tikai šauram speciālistu lokam.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mērķa skaidrojumu atbilstoši Valsts kancelejas 2021.gadā izdotajām Vadlīnijām tiesību akta projekta sākotnējās ietekmes novērtēšanai un novērtējuma ziņojuma sagatavošanai vienotajā tiesību aktu izstrādes un saskaņošanas portālā. Vadlīnijas pieejamas: https://www.mk.gov.lv/lv/media/16905/download?attachment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25-TA-2604</w:t>
    </w:r>
    <w:r>
      <w:br/>
    </w:r>
    <w:r w:rsidR="00000000" w:rsidRPr="00000000" w:rsidDel="00000000">
      <w:rPr>
        <w:rtl w:val="0"/>
      </w:rPr>
      <w:t xml:space="preserve">02.06.2026. 13.41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25-TA-2604</w:t>
    </w:r>
    <w:r>
      <w:br/>
    </w:r>
    <w:r w:rsidR="00000000" w:rsidRPr="00000000" w:rsidDel="00000000">
      <w:rPr>
        <w:rtl w:val="0"/>
      </w:rPr>
      <w:t xml:space="preserve">02.06.2026. 13.41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Izziņa_25-TA-2604.docx</dc:title>
</cp:coreProperties>
</file>

<file path=docProps/custom.xml><?xml version="1.0" encoding="utf-8"?>
<Properties xmlns="http://schemas.openxmlformats.org/officeDocument/2006/custom-properties" xmlns:vt="http://schemas.openxmlformats.org/officeDocument/2006/docPropsVTypes"/>
</file>