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Modernizācijas fonda finansēto projektu atklāta konkursa "Energoefektivitātes paaugstināšana transporta sektorā – atbalsts elektromobiļu un to uzlādes infrastruktūras ieviešanai"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ietvertais regulējums dažviet dublē vai pat paredz atšķirīgu regulējumu kā Ministru kabineta 2023. gada 13. jūlija noteikumi Nr. 396 "Modernizācijas fonda darbības kārtības noteikumi un daudzgadu darbības programma" (turpmāk - noteikumi Nr. 396). Lūdzam pārskatīt projektu kopumā un svītrot tiesību normas, kas dublējas, kā arī precizēt normas, kurās ietvertais regulējums ir pretrunā ar minētajiem noteikumiem, vai arī sniegt pamatotu skaidrojumu par projektā ietvertajām tiesību normām un to saskanīgumu ar noteikumiem Nr. 396.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dažiem piemēriem un neatbilstībām (papildus lūdzam arī skatīt citus atzinuma punktus par atbilstību noteikumiem Nr. 396):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 punkts dublē noteikumu Nr. 396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19. punkts dublē un, iespējams, paredz pat atšķirīgu regulējumu kā noteikumu Nr. 396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57. punkts, šķiet, daļēji dublē noteikumu Nr. 396 15.1.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59. punkts, iespējams, pilnībā neatbilst noteikumu Nr. 396 15.1. apakšpunktam. Proti, no projekta 59. punkta kopsakarā ar 57. punktu (īpaši norādēm "izsludina konkursu, ievietojot sludinājumu" un "projektu iesniegumu iesniegšanas termiņš ir ne mazāks kā 30 darbadienas pēc konkursa izsludināšanas") nav pilnībā skaidrs, vai un kā ņemts vērā noteikumu Nr. 396 15.1. apakšpunktā paredzētais, ka ieviešanas iestāde </w:t>
            </w:r>
            <w:r w:rsidR="00000000" w:rsidRPr="00000000" w:rsidDel="00000000">
              <w:rPr>
                <w:u w:val="single"/>
                <w:rtl w:val="0"/>
              </w:rPr>
              <w:t xml:space="preserve">vismaz mēnesi pirms atlases uzsākšanas</w:t>
            </w:r>
            <w:r w:rsidR="00000000" w:rsidRPr="00000000" w:rsidDel="00000000">
              <w:rPr>
                <w:rtl w:val="0"/>
              </w:rPr>
              <w:t xml:space="preserve"> </w:t>
            </w:r>
            <w:r w:rsidR="00000000" w:rsidRPr="00000000" w:rsidDel="00000000">
              <w:rPr>
                <w:u w:val="single"/>
                <w:rtl w:val="0"/>
              </w:rPr>
              <w:t xml:space="preserve">par konkursu paziņo</w:t>
            </w:r>
            <w:r w:rsidR="00000000" w:rsidRPr="00000000" w:rsidDel="00000000">
              <w:rPr>
                <w:rtl w:val="0"/>
              </w:rPr>
              <w:t xml:space="preserve"> oficiālajā izdevumā "Latvijas Vēstnesis" un norāda tīmekļvietni, kurā publicēts projektu iesniegumu konkursa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vairāki projekta punkti, kas skar iesniegumu vērtēšanas komisiju, vismaz daļēji dublē noteikumos Nr. 396 jau ietverto regulējumu (sk., piemēram, projekta 65. punktu un noteikumu Nr. 396 16. punktu). Papildus lūdzam izvērtēt un skaidrot, kā projektā ietvertais regulējums attiecībā uz to, kas pieņem lēmumu par projekta iesnieguma apstiprināšanu vai noraidīšanu, atbilst noteikumu Nr. 396 regulējumam, kas noteic, ka lēmumu pieņem projektu iesniegumu vērtēšanas komisija (sk. noteikumu Nr. 396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78. punkts dublē (turklāt nekorekti) noteikumu Nr. 396 24.1.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vismaz daļēji regulējums par projekta līgumu un tā noslēgšanu dublē noteikumos Nr. 396 ietverto regulējumu (sk., piemēram, projekta 81. punkts un noteikumu Nr. 396 20. punkts, kā arī projekta 84. punkts un noteikumu Nr. 396 26.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pārskatīts un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 punkts svītrots, lai novērstu tā dublēšanos ar MK noteikumu Nr. 396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19. punkts svītrots, lai novērstu tā dublēšanos ar noteikumu Nr. 396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57. punkts precizēts, lai novērstu dublēšanos ar MK noteikumu Nr. 396 15.1.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59. punkts precizēts, lai novērstu nesakritības ar MK noteikumu Nr. 396 15.1.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65. un 66. punkts svītrots, lai novērstu tā dublēšanos ar MK noteikumu Nr. 396. 16. punktu. Precizēts noteikumu projekta 63. punkts (noteikumu projekta precizētās redakcijas numerācija), ietverot atsauci uz MK noteikumu Nr. 396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78. punkts svītrots, lai novērstu tā dublēšanos ar MK noteikumu Nr. 396 24.1.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81. punkts svītrots, lai novērstu tā dublēšanos ar MK noteikumu Nr. 396 20. punktu, vienlaikus ietverta atsauce uz MK noteikumu Nr. 396 20. punktu. Svītrots noteikumu projekta 84. punkts, lai novērstu tā daļēju dublēšanos ar MK noteikumu Nr. 396 26. punktu. Precizēts noteikumu projekta 76. punkts atbilstoši MK noteikumu Nr. 396 27. un 28. punktā ietvertajiem nosacījumiem attiecībā uz projekta līgumā ietveramo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precizēšanas laika mainījusies pantu un tajos ietverto nosacījumu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pašvaldības, pašvaldības izveidotas iestādes vai tiešās pārvaldes iestādes projekta iesniegums par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aktivitātēm kvalificējams kā komercdarbības atbalsta projekts, t.i., projekta ietvaros paredzēta saimniecisko darbību veikšana, Vides investīciju fonds piemēro projektam šo noteikumu nosacījumus, kas attiecas uz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“pašvaldības izveidotas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pašvaldības projekta iesniegumu par šo noteikumu 18. punktā minētajām aktivitātēm, kas kvalificējams kā komercdarbības atbalsta projekts, izsakām tālāk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87. panta pirmās daļas 2. punkts noteic, ka publiska persona privāto tiesību jomā darbojas, sniedzot pakalpojumus. Tajā pašā laikā sniegtajiem pakalpojumiem privāto tiesību jomā ir jābūt saistītiem ar publiskas personas publiski tiesiskajiem pienākumiem. Vēršam uzmanību, ka praksē var būt gadījumi, kad pašvaldība sniedz pakalpojumu privāto tiesību jomā, kas nav saistīts ar publiski tiesisku pienākumu, kā rezultātā pašvaldība nav tiesīga sniegt šādu pakalpojumu. Tādējādi lūdzam pārskatīt un precizēt šo tiesību normu, kā arī Ministru kabineta noteikumu projekta anotācijā sniegt skaidrojumu par tiesību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pašvaldības vai tiešās pārvaldes iestādes projekta iesniegums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aktivitātēm kvalificējams kā komercdarbības atbalsta projekts, t.i., projekta ietvaros paredzēta saimnieciskās darbības veikšana, Vides investīciju fonds piemēro projektam šo noteikumu nosacījumus, kas attiecas uz komersantiem.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Komersantiem atbalstu aktivitāšu īstenošanai sniedz kā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Ja komersantam nav pieejams </w:t>
            </w:r>
            <w:r w:rsidR="00000000" w:rsidRPr="00000000" w:rsidDel="00000000">
              <w:rPr>
                <w:i w:val="1"/>
                <w:rtl w:val="0"/>
              </w:rPr>
              <w:t xml:space="preserve">de minimis</w:t>
            </w:r>
            <w:r w:rsidR="00000000" w:rsidRPr="00000000" w:rsidDel="00000000">
              <w:rPr>
                <w:rtl w:val="0"/>
              </w:rPr>
              <w:t xml:space="preserve"> limits vismaz granta ekvivalenta apmērā, atbalstu sniedz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651/2014) 36.a vai 36.b. pantu un šo noteikumu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ietver informāciju, ka komercdarbības atbalstu saskaņā ar Regulu Nr. 651/2014 projekta iesniedzējam piešķir, ja ievēroti attiecīgie Regulas Nr. 651/2014 nosacījumi, kas neietver visus Regulas Nr. 651/2014 nosacījumus, kas ir jāievēro. Attiecīgi lūdzam dzēst noteikumu projekta 5.punktā atsauci uz šo noteikumu 49.punktu, jo noteikumu projekta 5.punktā jau ir pateikts, ka atbalstu sniedz saskaņā ar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(precizētajā redakcijā - 4. punktā) dzēsta atsauce uz noteikumu projekta 49.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Komersantiem atbalstu aktivitāšu īstenošanai sniedz kā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Ja komersantam nav pieejams </w:t>
            </w:r>
            <w:r w:rsidR="00000000" w:rsidRPr="00000000" w:rsidDel="00000000">
              <w:rPr>
                <w:i w:val="1"/>
                <w:rtl w:val="0"/>
              </w:rPr>
              <w:t xml:space="preserve">de minimis</w:t>
            </w:r>
            <w:r w:rsidR="00000000" w:rsidRPr="00000000" w:rsidDel="00000000">
              <w:rPr>
                <w:rtl w:val="0"/>
              </w:rPr>
              <w:t xml:space="preserve"> limits vismaz granta ekvivalenta apmērā, atbalstu sniedz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651/2014) 36.a vai 36.b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Komersantiem, kas nodrošina sabiedriskā transporta pakalpojumus, atbalstu sniedz saskaņā ar Eiropas Parlamenta un Padomes 2007. gada 23. oktobra Regulu (EK) Nr. </w:t>
            </w:r>
            <w:r w:rsidR="00000000" w:rsidRPr="00000000" w:rsidDel="00000000">
              <w:rPr>
                <w:rtl w:val="0"/>
              </w:rPr>
              <w:t xml:space="preserve">1370/2007</w:t>
            </w:r>
            <w:r w:rsidR="00000000" w:rsidRPr="00000000" w:rsidDel="00000000">
              <w:rPr>
                <w:rtl w:val="0"/>
              </w:rPr>
              <w:t xml:space="preserve"> par sabiedriskā pasažieru transporta pakalpojumiem, izmantojot dzelzceļu un autoceļus, un ar ko atceļ Padomes Regulu (EEK) Nr. 1191/69 un Padomes Regulu (EEK) Nr. 1107/70.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pasākumā plānots atbalstu sniegt saskaņā Regulu (EK) Nr. 1370/2007, lūdzam noteikumu projektu papildināt ar atbilstošajiem nosacījumiem, kas izriet no Regulas (EK) Nr. 1370/2007. Vienlaikus lūdzam papildināt arī anotācijas 5.4. 1. tabulu. "Tiesību akta projekta atbilstība ES tiesību aktiem" ar izvērtējumu atbilstoši Regulai (EK) Nr. 1370/2007.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Regulas Nr. 651/2014 36.b punkts paredz atbalsta piešķiršanu uzņēmumiem, kam pēc atklāta, pārredzama un nediskriminējoša publiskā iepirkuma konkursa ir piešķirts sabiedrisko pakalpojumu līgums par sabiedriskā pasažieru transporta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svītrots, ņemot vērā sniegtā iebilduma pēdējo teikumu, kā arī to, ka Eiropas Parlamenta un Padomes 2007. gada 23. oktobra Regula (EK) Nr. 1370/2007 par sabiedriskā pasažieru transporta pakalpojumiem, izmantojot dzelzceļu un autoceļus, un ar ko atceļ Padomes Regulu (EEK) Nr. 1191/69 un Padomes Regulu (EEK) Nr. 1107/70 definē nosacījumus, saskaņā ar kuriem kompetentās iestādes, kad tās uzliek saistības sniegt sabiedriskos pakalpojumus vai slēdz attiecīgus līgumus par šādiem pakalpojumiem, sabiedrisko pakalpojumu sniedzējiem kompensē radušās izmaksas un/vai kā atlīdzību par sabiedrisko pakalpojumu sniegšanas saistību izpildi piešķir ekskluzīvas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pašvaldības izveidota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“pašvaldības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kapitālsabiedrība (sk. projekta 10.3. apakšpunktu) arī ir komersants (sk. Komerclikuma 1. panta pirmo daļu). Pašvaldības kapitālsabiedrība ir viens no kapitālsabiedrības, kas ir komersants, veidiem. Proti, pašvaldības kapitālsabiedrība ir kapitālsabiedrība, kurā visas kapitāla daļas vai balsstiesīgās akcijas pieder vienai pašvaldībai (sk. Publiskas personas kapitāla daļu un kapitālsabiedrību pārvaldības likuma 1. panta pirmās daļas 13. punktu). Pēc sava juridiskā statusa arī pašvaldības kapitālsabiedrība ir privāto tiesību juridiskā persona. Attiecīgi lūdzam redakcionāli precizēt projekta 10. punktu, kā arī lūdzam izvērtēt projektu kopumā un, ja saistībā ar iepriekš minēto nepieciešams precizēt tajā ietverto regulējumu, veikt attiecīgus precizējumus. Piemēram, vēršam uzmanību uz projekta 27.2. apakšpunktu, kuru, kā izriet no anotācijas, nav paredzēts piemērot attiecībā uz pašvaldības kapitālsabiedrību ("</w:t>
            </w:r>
            <w:r w:rsidR="00000000" w:rsidRPr="00000000" w:rsidDel="00000000">
              <w:rPr>
                <w:i w:val="1"/>
                <w:rtl w:val="0"/>
              </w:rPr>
              <w:t xml:space="preserve">Noteikumu projektā paredzēts, ka, uz finansējumu pretendēt varēs tikai tāds komersants kura īpašumā un savā saimnieciskajā darbībā tiek izmantoti vismaz pieci transportlīdzekļi. Šis noteikums neattiecas uz projekta iesniedzēju, ja tas ir pašvaldība, pašvaldības iestāde, </w:t>
            </w:r>
            <w:r w:rsidR="00000000" w:rsidRPr="00000000" w:rsidDel="00000000">
              <w:rPr>
                <w:i w:val="1"/>
                <w:u w:val="single"/>
                <w:rtl w:val="0"/>
              </w:rPr>
              <w:t xml:space="preserve">pašvaldības kapitālsabiedrība</w:t>
            </w:r>
            <w:r w:rsidR="00000000" w:rsidRPr="00000000" w:rsidDel="00000000">
              <w:rPr>
                <w:i w:val="1"/>
                <w:rtl w:val="0"/>
              </w:rPr>
              <w:t xml:space="preserve"> un valsts tiešās pārvaldes iestāde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precizēts, ņemot vērā pašvaldību kapitālsabiedrības kā vienu no komersantu veidiem. Savukārt attiecībā uz noteikumu projekta 27.2. apakšpunktā (precizētajā redakcijā - 25.2. apakšpunkts) ietverto nosacījumu - to nav paredzēts attiecināt uz pašvaldību kapitālsabiedrībām, lai nodrošinātu attiecīgās aktivitātes atbilstību MK noteikumu Nr. 396 12.1. apakšpunktā ietvertajam prioritārajam atbalsta virzienam.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projekta iesniedzējs vai persona,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kādā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23.1.apakšpunktā minētajiem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13. punktā ietverto regulējumu un veikt attiecīgus precizējumus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noteikumu Nr. 396 23. punktā jau ir ietverts horizontāls regulējums attiecībā uz izslēgšanas kritērijiem visos Modernizācijas fonda ietvaros rīkotajiem konkursiem. Aicinām izvērtēt, vai, ja papildus izslēgšanas kritērijus, kas ietverti projekta 13. punktā un nav ietverti minētajos noteikumos, paredzēts noteikt arī visos nākamajos konkursu nolikumos, nebūtu sistēmiski labāk tos ietvert noteikumos Nr. 396, un sniegt skaidrojumu vai precizēt punktu, ja nepieciešams. Otrkārt, lūdzam arī nodrošināt projekta 13. punktā ietvertā regulējuma saskanīgumu ar noteikumu Nr. 396 23. punktu un normu nedublēšanos. Piemēram, projekta 13.1. apakšpunkts attiecībā uz projekta iesniedzēju faktiski dublē noteikumu Nr. 396 23.1. apakšpunktu. Attiecīgi lūdzam izvērtēt un sniegt skaidrojumus vai, ja nepieciešams, veikt precizējumus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nosacījums izvērtēts un precizēts noteikumu projekta 13.1. apakšpunkts. Kaut arī attiecīgajā punktā ir minēta atsauce uz MK noteikumu Nr. 396 23.1. apakšpunktu, ministrijas ieskatā ir būtiski šo atsauci saglabāt, lai vienkopus noteiktu visus nosacījumus, kādos konkursa ietvaros finansējums projekta īstenošanai netiek piešķirts. Papildus izslēgšanas kritēriji, ja būs nepieciešams, tiks noteikti individuāli, izstrādājot katru projekta konkursa nolikumu, vērtējot tos kontekstā ar konkursa ietvaros atbalstāmajām aktivitātēm un projektu iesniedzēju mērķgrupām. Papildus jāmin, ka ministrija veiks MK noteikumu Nr. 396 pārskatīšanu saistībā ar izstrādes stadijā esošo likumprojektu "Klimata likums", kas paredzēs, ka sešu mēnešu laikā pēc tā stāšanos spēkā tiks izdoti vairāki MK noteikti, tostarp, arī attiecībā uz Modernizācijas fonda darbības kārtību. Ņemot vērā iepriekš minēto, grozījumu veikšana MK noteikumu Nr. 396 spēkā esošajā redakcijā pirms Klimata likuma stāšanās spēkā būtu neefektīva.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projekta iesnieguma vērtēšanas procesa ietvaros tiek konstatēts, ka uz projekta iesniedzēju ir attiecināms kāds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 punktā minētajiem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Konkursa ietvaros finansējums projekta īstenošanai netiek piešķirts,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12. punktā ietverto regulējumu un veikt attiecīgus precizējumus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13. jūlija noteikumi Nr. 396 "Modernizācijas fonda darbības kārtības noteikumi un daudzgadu darbības programma" (turpmāk - noteikumi Nr.396) 23. punktā jau ir ietverts horizontāls regulējums attiecībā uz izslēgšanas kritērijiem visos Modernizācijas fonda ietvaros rīkotajiem konkursiem. Lūdzam nodrošināt projekta 12. punktā ietvertā regulējuma saskanīgumu ar noteikumu Nr. 396 23. punktu un normu nedublēšanos. Piemēram, projekta 12.4. apakšpunkts attiecībā uz prettiesiskiem centieniem ietekmēt vai ietekmi uz projektu iesniegumu vērtēšanu šķietami dublē noteikumu Nr. 396 23.1.2. apakšpunktu. Attiecīgi lūdzam atkārtoti izvērtēt, skaidrot un/vai, ja nepieciešams, veikt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pamatojoties uz to, ka izziņā tiek norādīts uz būtiskumu, nepieciešamību izslēgšanas kritērijus noteikt gan noteikumu projekta 12. punktā, gan noteikumos Nr. 396,  tajā skaitā paredzot atsauci uz noteikumu Nr. 396 23.1. apakšpunktu noteikumu projekta 12. punktā, lai vienkopus noteiktu visus nosacījumus, kādos konkursa ietvaros finansējums projekta īstenošanai netiek piešķirts, lūdzam to izvērstāk skaidrot, pamatot anotācijā, tajā skaitā izvērtējot arī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attiecīgā punkta apakšpunkts svītrots. Vienlaikus, neatkarīgi no tā, ka MK noteikumi Nr. 396 paredz izslēgšanas kritērijus visos Modernizācijas fonda ietvaros rīkotajos konkursos, tiek noteikti papildus izslēgšanas kritēriji, lai pielāgotu tos konkursa nolikumam. Pārskatot precizēto redakciju un MK noteikumu Nr. 396 23. punktā ietvertos izslēgšanas kritērijus, ministrijas ieskatā normas nedublējas.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Konkursa ietvaros finansējums projekta īstenošanai netiek piešķirts,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 apakšpunktā noteikts, ka pašvaldībām, pašvaldību izveidotām iestādēm un tiešās pārvaldes iestādēm pieejamais Modernizācijas fonda finansējums ir 1 000 000 euro, nenosakot atbalsta intensitāti (%) no projekta kopējām izmaksām. Savukārt noteikumu projekta 92.punkts nosaka, ka, ja finansējuma saņēmējs ir valsts budžeta iestāde, līdzfinansējumu nodrošina no valsts budžeta un maksājumus veic no līdzekļiem, kas projekta īstenošanai paredzēti tās ministrijas budžetā, kuras padotībā ir attiecīgā valsts budžeta iestāde, bet šis punkts skaidri nenosaka, vai līdzfinansējums jānodrošina no valsts budžeta iestādes esošajiem budžeta līdzekļiem vai arī valsts budžeta iestāde to var pieprasīt papildus, kā arī kāds ir sagaidāmais līdzfinansējuma apmērs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Ministru kabineta 2018. gada 17. jūlija noteikumi Nr. 421 “Kārtība, kādā veic gadskārtējā valsts budžeta likumā noteiktās apropriācijas izmaiņas” 24.1.apakšpunktu emisijas kvotu izsoļu instrumenta ietvaros līdzfinansēto projektu un pasākumu īstenošanai var pieprasīt valsts budžeta līdzfinansējumu no 80.00.00 programmas atbilstoši normatīvajiem aktiem par attiecīgajiem finanšu instrumentiem, tomēr šajā noteikumu projektā (normatīvajā aktā) par pasākuma īstenošanu attiecīgā instrumenta ietvaros nav noteikts regulējums par valsts budžeta līdzfinansējuma apmēru, attiecīgi nav nodrošināti skaidri nosacījumi projekta īstenošanai un finansējuma nodrošināšanai situācijā, ja projekta iesniedzējs ir valsts tiešās pārvaldes iestāde (valsts budžeta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atkāroti lūdzam pārskatīt un precizēt noteikumu projekta III sadaļu vai noteikumu projekta 92.punktu.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anotācijas 3.sadaļas punktā “Cita informācija” norādīto informāciju par pieņēmumiem līdzfinansējuma nodrošināšanai, ja finansējuma saņēmējs ir valsts tiešās pārvaldes iestāde (valsts budžeta iestāde), pašvaldība vai tās izveidota iestāde, secināms, ka indikatīvi tiek prognozēts, ka Modernizācijas fonda finansējums būs 10 % apmērā no projekta izmaksām un līdzfinansējums attiecīgi būtu nodrošināms 90% apmērā no projekta izmaksām (anotācijas 3.sadaļā pieņēmums, ka MF finansējumam 1 000 000 euro, līdzfinansējums 4 500 000 euro + 4 500 000 euro), kas ir ļoti augsts līdzfinansējuma apmērs, tāpēc lūdzam arī sniegt skaidrojumu par potenciālo interesi projektu īstenošanai, ja tiek noteikts, ka valsts tiešās pārvaldes iestādei (valsts budžeta iestādei), pašvaldība vai tās izveidotai iestādei līdzfinansējums jānodrošina tās budžetā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skaidrots anotācijā, līdzfinansējuma apmēru šī konkursa ietvaros atbilstoši tajā ietvertajiem nosacījumiem ir grūti prognozēt, jo konkursa ietvaros ir noteikts konkrēts atbalsta apmērs katras atbalstāmās aktivitātes ietvaros, savukārt projekta iesniedzējs var izvēlēties konkursa ietvaros īstenojamās aktivitātes dažādās izmaksu kategorijās un to kombinācijas atbilstoši savām vajadzībām un finansiālajām iespējām. Vienlaikus, paredzams, ka atbalsta intensitāte elektromobiļa iegādei ir ievērojami zemāka kā, piemēram, elektromobiļu uzlādes infrastruktūras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atkārtoti saņemto iebildumu par nepieciešamību noteikt atbalsta intensitāti, noteikumu projekts ir papildināts ar punktiem, kas paredz atbalsta intensitāti katrai no konkursa ietvaros atbalstāmajām aktivitātēm individuāli. Papildus, ņemot vērā gan iepriekš, gan anotācijā minēto attiecībā uz elektromobiļu iegādes cenu amplitūdu, konkursa ietvaros projekta iesniedzējam, ja tā ir valsts budžeta iestāde, līdzfinansējumu nodrošina no valsts budžeta un maksājumus veic no līdzekļiem, kas projekta īstenošanai paredzēti tās ministrijas budžetā, kuras padotībā ir attiecīgā valsts budžeta iestāde, nepieprasot papildus finanšu līdzekļus no valsts budžeta. Attiecīgi precizēts noteikumu projekta 91.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potenciālo interesi, tā ir tiešā mērā saistīta ar anotācijas 3. sadaļā jau norādīto par nepieciešamību katrai iestādei dalību konkursā vērtēt atbilstoši pieejamajiem resursiem. Vienlaikus jāņem vērā, ka tiešās pārvaldes iestādēm transportlīdzekļu iegāde savas darbības nodrošināšanai var nebūt aktuāla, kā rezultātā interese par šādu konkursu iestādēm nebūtu neatkarīgi no zemās līdzfinansējuma intensitātes. Tomēr, ja pēc projektu iesniegumu iesniegšanas termiņa beigām tiks konstatēts, ka pašvaldībām un tiešās pārvaldes iestādēm nav interese par šo projektu iesniegumu konkursu, gadījumos, ja projektu iesniegumos pieprasīts mazāks finansējuma apjoms, nekā noteikts šo noteikumu 12.1. apakšpunktā, finansējuma atlikumu, ja nepieciešams, var piešķirt šo noteikumu 12.2. apakšpunktā minētajai projektu iesniedzēju grupai, attiecīgi novirzot to komersantiem. Tomēr, ņemot vērā prasības, kas izrietēs no Transporta enerģijas likuma un būs saistošas arī pašvaldībām, paredzams, ka pašvaldībām būs interese par atbalsta programmu neatkarīgi no noteiktās atbalsta intensitātes.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III sadaļu “Pieejamais finansējums” ar punktu, kurā tiek noteikta Modernizācijas fonda finansējuma atbalsta intensitāte (%) un finansējuma saņēmēja līdzfinansējuma apmērs (%) projekta ietvaros no kopējām attiecināmām izmaksām vismaz attiecībā uz valsts tiešās pārvaldes iestādēm. Vēršam uzmanību, ka noteikumu projekta 10.4.apakšpunktā paredzēts, ka projekta iesniedzēji var būt arī valsts tiešās pārvaldes iestādes, noteikumu projekta 18.1.apakšpunktā paredzēts, ka tiešās pārvaldes iestādei maksimālais Modernizācijas fonda finansējums ir 100 000 euro, 19.punktā paredzēts, ka projektu finansē arī no finansējuma saņēmēja līdzekļiem, un 94.punktā noteikts, ka valsts budžeta iestādēm līdzfinansējumu nodrošina no valsts budžeta, bet šobrīd no noteikumu projekta nav saprotams, kāds ir prognozētais līdzfinansējuma apmērs, kas būs jānodrošina valsts tiešās pārvaldes iestādei projekta īstenošanai. Uzskatām, ka attiecībā uz valsts tiešās pārvaldes iestādēm ir jābūt skaidri noteiktam finansējuma apmēra regulējumam arī attiecībā uz līdzfinansējuma nodrošināšanu, ņemot vērā, ka valsts tiešās pārvaldes iestādes pamatā tiek finansētas no valsts budžeta līdzekļiem. Lūdzam izvērtēt, vai atbalsta intensitātes nosacījums nebūtu nosakāms noteikumu projekta 19.punktā, paredzot nosacījumu attiecībā uz valsts tiešās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skaidrojumu par provizorisko līdzfinansējuma apmēru valsts tiešās pārvaldes iestādes. Ņemot vērā, ka noteikumu projekts joprojām paredz sniegt atbalstu noteiktā apmērā konkrētas aktivitātes īstenošanai, kā arī to, ka minēto aktivitāšu ietvaros cenu amplitūda ir ļoti plaša un projekta iesniedzējs gan elektroautomobiļus, gan uzlādes infrastruktūru un atjaunīgo energoresursu tehnoloģijas var izvēlēties pēc saviem ieskatiem, atbalsta intensitāte netiek noteikta. Papildus, ņemot vērā to, ka, piemēram, konkursa ietvaros vienam M1 kategorijas elektromobilim pieejamais finansējums ir līdz 5000 euro no elektromobiļa attiecināmajām izmaksām, savukārt elektromobiļu iegādes izmaksas ir ļoti dažādas, nepieciešamo līdzfinansējuma apmēru ir grūti novērtēt, jo ir grūti paredzēt projektu kopējās izmaksas jeb to, kādi elektromobiļu modeļi tiks izvēlēti, vai tiks uzstādīta uzlādes infrastruktūra u.c. Pēc būtības, katram projekta iesniedzējam nepieciešams izvērtēt, kāda mēroga projektu tas ir spējīgs realizēt, izejot no pieejamajiem resursiem, vienlaikus iekļaujoties kopējā vienam projekta iesniedzējam pieejamajā finansējuma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pašvaldībām, pašvaldību izveidotām iestādēm un tiešās pārvaldes iestādēm pieejamais Modernizācijas fonda finansējums ir 1 000 000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“pašvaldību izveidotām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apakšpunkts, svītrojot no tā vārdus "pašvaldību izveidotām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pašvaldībām un tiešās pārvaldes iestādēm pieejamais Modernizācijas fonda finansējums ir 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iesniedzējam, kas ir pašvaldība, pašvaldības izveidota iestāde vai tiešās pārvaldes iestāde, –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“pašvaldības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apakšpunkts, svītrojot no tā vārdus "pašvaldības izveidota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iesniedzējam, kas ir pašvaldība vai tiešās pārvaldes iestāde, – 100 000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finansē no Modernizācijas fonda līdzekļiem un līdzfinansē no finansējuma saņēmēja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nosaka, ka projektu finansē no Modernizācijas fonda līdzekļiem un līdzfinansē no finansējuma saņēmēja līdzekļiem, savukārt, noteikumu projekta 18.1. apakšpunkts nosaka, ka projekta iesniedzējam, kas ir pašvaldība, pašvaldības izveidota iestāde, pašvaldības kapitālsabiedrība vai tiešās pārvaldes iestāde, maksimālais pieejamais Modernizācijas fonda finansējums ir 100 000 </w:t>
            </w:r>
            <w:r w:rsidR="00000000" w:rsidRPr="00000000" w:rsidDel="00000000">
              <w:rPr>
                <w:i w:val="1"/>
                <w:rtl w:val="0"/>
              </w:rPr>
              <w:t xml:space="preserve">euro</w:t>
            </w:r>
            <w:r w:rsidR="00000000" w:rsidRPr="00000000" w:rsidDel="00000000">
              <w:rPr>
                <w:rtl w:val="0"/>
              </w:rPr>
              <w:t xml:space="preserve">. Ņemot vērā minēto, nav skaidri saprotams, kāds līdzfinansējuma apmērs būs jānodrošina gadījumā, ja projekta īstenošanai nepieciešamais finansējums nepārsniegs minētos 100 000 </w:t>
            </w:r>
            <w:r w:rsidR="00000000" w:rsidRPr="00000000" w:rsidDel="00000000">
              <w:rPr>
                <w:i w:val="1"/>
                <w:rtl w:val="0"/>
              </w:rPr>
              <w:t xml:space="preserve">euro</w:t>
            </w:r>
            <w:r w:rsidR="00000000" w:rsidRPr="00000000" w:rsidDel="00000000">
              <w:rPr>
                <w:rtl w:val="0"/>
              </w:rPr>
              <w:t xml:space="preserve">, līdz ar to lūdzam precizēt noteikumu projekta 19.punkta redakciju. Papildus lūdzam aizpildīt anotācijas 3.sadaļu, norādot ietekmi uz pašvaldību budžetiem, jo gadījumos, kad finansējuma saņēmējs būs pašvaldība, tai būs jānodrošina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skaidrojumu par provizorisko līdzfinansējuma apmēru pašvaldībām un to iestādēm. Ņemot vērā, ka noteikumu projekts paredz sniegt atbalstu noteiktā apmērā konkrētas aktivitātes īstenošanai, kā arī to, ka minēto aktivitāšu ietvaros cenu amplitūda ir ļoti plaša un projekta iesniedzējs gan elektroautomobiļus, gan uzlādes infrastruktūru un atjaunīgo energoresursu tehnoloģijas var izvēlēties pēc saviem ieskatiem, atbalsta intensitāte netiek noteikta. Papildus, ņemot vērā to, ka, piemēram, konkursa ietvaros vienam M1 kategorijas elektromobilim pieejamais finansējums ir līdz 5000 euro no elektromobiļa attiecināmajām izmaksām, savukārt elektromobiļu iegādes izmaksas ir ļoti dažādas, nepieciešamo līdzfinansējuma apmēru ir grūti novērtēt, jo ir grūti paredzēt projektu kopējās izmaksas jeb to, kādi elektromobiļu modeļi tiks izvēlēti, vai tiks uzstādīta uzlādes infrastruktūra u.c. Pēc būtības, katram projekta iesniedzējam nepieciešams izvērtēt, kāda mēroga projektu tas ir spējīgs realizēt, izejot no pieejamajiem resursiem, vienlaikus iekļaujoties kopējā vienam projekta iesniedzējam pieejamajā finansējuma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Modernizācijas fonda atbalstu būs iespējams attiecināt, ja pirms Ministru kabineta noteikumu spēkā stāšanās dienas pašvaldība ar piegādātāju būs noslēgusi elektromobiļu piegādes līgumu, bet nebūs veikusi maksājumus par elektromobiļu piegādi (maksājumi tiks veikti pēc Ministru kabineta noteikumu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visās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2. augustā stājas spēkā Direktīva 2019/1161[1] par “tīro” un energoefektīvo autotransporta līdzekļu izmantošanas veicināšanu, kuras prasības (noteikts “tīro” transportlīdzekļu īpatsvars ar noteiktu oglekļa oksīda emisiju apjomu) pārņemtas Publisko iepirkumu likumā un Sabiedrisko pakalpojumu sniedzēju iepirkumu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Transporta enerģijas likuma projekta (23-TA-1451), kas 2024. gada 22. aprīlī iesniegts Valsts kancelejā, 6. panta 1. 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par administratīvajām teritorijām un apdzīvotajām vietām minēto valstspilsētu pašvaldību teritorijās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1)valstspilsētu sabiedriskajos transportlīdzekļos izmantotās transporta enerģijas apjomā vismaz 50 procenti ir atjaunīgā enerģija vai elektroenerģija, vai atjaunīgā enerģija un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pašvaldību transportlīdzekļos izmantotā transporta enerģijas apjomā vismaz 30 procenti ir atjaunīgā enerģija vai elektroenerģija vai atjaunīgā enerģija un elektroenerģija, šajā apjomā neieskaitot pirmās daļas 1) punktā minētajos transportlīdzekļos izmantoto transporta enerģiju, bet transporta enerģiju, kas ir izmantota transportlīdzekļos, ko izmanto operatīvo darbību veikšanai un meklēšanas, glābšanas un neatliekamās medicīniskās palīdzības sniegšanas procesā, ieskaitot pēc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lai nodrošinātu nepieciešamā autotransporta iegādi un vienlaikus atbilstību Publiskā iepirkuma likuma normām, plāno savus finanšu resursus apstiprinātā budžeta un plānotā iepirkuma laika grafika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 2023. gada 4. decembra līdz 18. decembrim tika nodots publiskajai apspriešanai, tādējādi pašvaldības varēja indikatīvi plānot, ka 2024. gadā būs pieejams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Modernizācijas fonda atbalsta iespējas elektromobiļu iegādei, bet vienlaikus aicinām paplašināt attiecināmo izmaksu atbalsta iespējas, nosakot termiņu sākot no 2024. gada 1. janvāra, kas ļautu pašvaldībām ekonomēt finanšu resursus gadījumā, ja pašvaldības jau ir veikušas iepirkumu elektromobiļu iegādei un, iespējams,  veikušas izmaksas 2024. gada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pret Noteikuma projekta 21.3. apakšpunkta redakciju un rosinām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īstenojot ar saimniecisko darbību nesaistītas aktivitātes, ir radušās pēc 2024. gada 1. janvāra, bet ne vēlāk kā līdz projekta īstenošanas termiņa beigām, ja finansējuma saņēmējs ir pašvaldība, pašvaldības izveidota iestāde, pašvaldības kapitālsabiedrība vai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Atkārtota atzinuma sniegšanas laikā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izprot iebildumā aprakstīto situāciju, tomēr nevar atbalstīt redakciju, kas paredz izmaksas, kas radušās par konkursa ietvaros atbalstīto aktivitāšu īstenošanu, attiecināt no 2024. gada 1. janvāra. Kaut arī noteikumu projekts tika nodots sabiedriskajai apspriešanai 2023. gada decembrī, turpmākajā noteikumu projekta izstrādes gaitā, tostarp, starpinstitūciju saskaņošanas procesa ietvaros atsevišķas noteikumu projektā ietvertā regulējuma redakcijas var tikt būtiski mainītas, kā rezultātā nedz pašvaldībām un to iestādēm, nedz tiešās pārvaldes iestādēm un komersantiem nosacījumi, kas noteikti atbalsta saņēmējiem, nav skaidri zināmi līdz noteikumu projekta apstiprināšanai Ministru kabinetā. Tādējādi minētā situācija var izraisīt negodīgus apstākļus pret atsevišķām pašvaldībām un to izveidotām iestādēm, ja to iepriekš iegādātie elektromobiļi neatbilst noteikumu projektā noteiktajiem nosacījumiem. Nosacījums, kas paredz izmaksas attiecināt no noteikumu projekta spēkā stāšanās dienas, rada vienlīdzīgus apstākļus visiem projektu iesniedzējiem, attiecīgi ieplānotās aktivitātes pielāgojot konkursa ietvaros izvirzītajiem nosacījumiem, ja to īstenošanai ir paredzēts piesaistīt Modernizācijas fonda finansējumu. Kaut arī Transporta enerģijas likums paredz nosacījumus attiecībā uz atjaunīgās enerģijas īpatsvaru transporta sektorā, minētās aktivitātes nebūtu ieviešamas, balstoties uz izstrādes stadijā esošām atbalsta programmām, kurās ietvertie atbalsta saņemšanas nosacījumi vēl var tikt mainīti, bet gan esošā budžeta, kā arī īstenošanā esošu atbalsta programmu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īstenojot ar saimniecisko darbību nesaistītas aktivitātes, ir radušās pēc šo noteikumu spēkā stāšanās dienas, bet ne vēlāk kā līdz projekta īstenošanas termiņa beigām, ja finansējuma saņēmējs ir pašvaldība, pašvaldības izveidota iestāde vai tiešās pārvaldes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“pašvaldības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apakšpunkts, svītrojot no tā vārdus "pašvaldības izveidota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īstenojot ar saimniecisko darbību nesaistītas aktivitātes, ir radušās pēc šo noteikumu spēkā stāšanās dienas, bet ne vēlāk kā līdz projekta īstenošanas termiņa beigām, ja finansējuma saņēmējs ir pašvaldība vai tiešās pārvaldes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ir radušās pēc projekta iesnieguma iesniegšanas Vides investīciju fondā, bet ne vēlāk kā līdz projekta īstenošanas termiņa beigām, ja finansējuma saņēmējs ir mikro, mazais vai vidējais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prasībām, kas izriet no Regulas Nr. 651/2014 6.panta prasībām, vienlaikus nosakot, ka gadījumā, ja darbi ir uzsākti pirms projekta iesnieguma iesniegšanas, viss projekts ir noraidāms. Nepieciešamības gadījumā lūdzam attiecīgi precizēt noteikumu projekta 21.4. un 21.5.apakšpunktu.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noteikumos iekļaut "darbu sākums" definīciju un lūdzam anotāciju papildināt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21.4. un 21.5. apakšpunkts (precizētajā redakcijā - 19.4. un 19.5. apakšpunkts), ietverot Regulas Nr. 651/2014 6. panta prasības. Papildināta anotācija ar skaidrojumu darbu sākuma definīcijai, kas ietverta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atbilstoši Regulas Nr. </w:t>
            </w:r>
            <w:r w:rsidR="00000000" w:rsidRPr="00000000" w:rsidDel="00000000">
              <w:rPr>
                <w:rtl w:val="0"/>
              </w:rPr>
              <w:t xml:space="preserve">651/2014</w:t>
            </w:r>
            <w:r w:rsidR="00000000" w:rsidRPr="00000000" w:rsidDel="00000000">
              <w:rPr>
                <w:rtl w:val="0"/>
              </w:rPr>
              <w:t xml:space="preserve"> 6. panta 2. punktā minētajam stimulējošas ietekmes nosacījumam ir radušās pēc projekta iesnieguma iesniegšanas Vides investīciju fondā, bet ne vēlāk kā līdz projekta īstenošanas termiņa beigām, ja finansējuma saņēmējs ir mikro, mazais vai vidējais komersants. Ja nosacījums nav ievērots un projekta īstenošana, atbilstoši Regulas Nr. </w:t>
            </w:r>
            <w:r w:rsidR="00000000" w:rsidRPr="00000000" w:rsidDel="00000000">
              <w:rPr>
                <w:rtl w:val="0"/>
              </w:rPr>
              <w:t xml:space="preserve">651/2014</w:t>
            </w:r>
            <w:r w:rsidR="00000000" w:rsidRPr="00000000" w:rsidDel="00000000">
              <w:rPr>
                <w:rtl w:val="0"/>
              </w:rPr>
              <w:t xml:space="preserve"> 2. panta 23. punktā noteiktajai definīcijai par darbu sākumu, ir uzsākta pirms projekta iesnieguma iesniegšanas Vides investīciju fondā, tad visas projekta izmaksas tiek uzskatītas par neattiecināmajām izmaksām un projektu iesniegumu vērtēšanas komisija (turpmāk - vērtēšanas komisija) projekta iesniegumu noraida;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elektromobiļu iegādei speciālie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V sadaļas ietvaros piešķiramā atbalsta atbilstību Komisijas regulas Nr.651/2014 36.b panta nosacījumiem, lūdzam šo sadaļu papildināt ar visiem no Komisijas regulas Nr.651/2014 36.b panta izrietošajiem attiecināmajiem nosacījumiem, proti, lūdzam papildināt ar Komisijas regulas Nr.651/2014 36.b panta 6. un 7. punkta (ja attiecināms)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sadaļa papildināta ar Komisijas regulas Nr.651/2014 36.b panta 6. un 7.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elektromobiļu iegādei speciālie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ja tiek izmantots līzinga pakalpojums, līzinga devējs, nodrošina, ka šo noteikumu </w:t>
            </w:r>
            <w:r w:rsidR="00000000" w:rsidRPr="00000000" w:rsidDel="00000000">
              <w:rPr>
                <w:rtl w:val="0"/>
              </w:rPr>
              <w:t xml:space="preserve">20.1. </w:t>
            </w:r>
            <w:r w:rsidR="00000000" w:rsidRPr="00000000" w:rsidDel="00000000">
              <w:rPr>
                <w:rtl w:val="0"/>
              </w:rPr>
              <w:t xml:space="preserve">apakšpunkta</w:t>
            </w:r>
            <w:r w:rsidR="00000000" w:rsidRPr="00000000" w:rsidDel="00000000">
              <w:rPr>
                <w:rtl w:val="0"/>
              </w:rPr>
              <w:t xml:space="preserve"> ietvaros iegādātais elektromobilis netiek atsavināts vismaz četrus gadus kopš tā iegādes brīža vai kamēr ar to veikts vismaz 80 000 km nobraukums (no tā reģistrācijas finansējuma saņēmēja īpašumā vai turējumā brīža), ja tas tiek sasniegts mazāk kā četros gados, izņemot gadījumu, kad iegādātais transportlīdzeklis ir nozagts vai atzīts par bojā gājušu tādu apstākļu dēļ, kur nav konstatēta atbalsta saņēmēja vaina, un īpašuma tiesības uz transportlīdzekli iegūst apdrošināšanas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projekta 31. punktā, 111.2. apakšpunktā un citviet projektā paredzētos īpašumtiesību ierobežojumus un aizliegumus, skaidrojot to nepieciešamību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attiecībā uz īpašumtiesībām saistāmi ar projekta monitoringa periodu, kas paredz, ka finansējuma saņēmējs četrus gadus pēc elektromobiļa iegādes datuma katru gadu veic monitoringu par sasniegto elektromobiļa nobraukumu gadā, saražoto elektroenerģijas apjomu ar projekta ietvaros iegādāto un uzstādīto atjaunojamo energoresursu ražošanas iekārtu un projekta ietvaros uzstādītās elektromobiļu uzlādes infrastruktūras patērētās elektroenerģijas apjomu (noteikumu projekta 104.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ja tiek izmantots līzinga pakalpojums, līzinga devējs, nodrošina, ka šo noteikumu </w:t>
            </w:r>
            <w:r w:rsidR="00000000" w:rsidRPr="00000000" w:rsidDel="00000000">
              <w:rPr>
                <w:rtl w:val="0"/>
              </w:rPr>
              <w:t xml:space="preserve">17.1. </w:t>
            </w:r>
            <w:r w:rsidR="00000000" w:rsidRPr="00000000" w:rsidDel="00000000">
              <w:rPr>
                <w:rtl w:val="0"/>
              </w:rPr>
              <w:t xml:space="preserve">apakšpunkta</w:t>
            </w:r>
            <w:r w:rsidR="00000000" w:rsidRPr="00000000" w:rsidDel="00000000">
              <w:rPr>
                <w:rtl w:val="0"/>
              </w:rPr>
              <w:t xml:space="preserve"> ietvaros iegādātais elektromobilis netiek atsavināts līzinga pakalpojuma laikā vai vismaz četrus gadus pēc projekta īstenošanas termiņa beigām vai kamēr ar to veikts vismaz 80 000 km nobraukums (no elektromobiļa reģistrācijas finansējuma saņēmēja īpašumā vai turējumā brīža), ja tas tiek sasniegts mazāk kā četros gados, izņemot gadījumu, kad iegādātais elektromobilis ir nozagts vai atzīts par bojā gājušu tādu apstākļu dēļ, kur nav konstatēta finansējuma saņēmēja vaina, un īpašuma tiesības uz elektromobili iegūst apdrošināšanas 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pašvaldībām, pašvaldību izveidotām iestādēm un tiešās pārvaldes iestādēm, kā arī komersantiem, kas plāno saņemt atbalstu saskaņā ar Regulu Nr. </w:t>
            </w:r>
            <w:r w:rsidR="00000000" w:rsidRPr="00000000" w:rsidDel="00000000">
              <w:rPr>
                <w:rtl w:val="0"/>
              </w:rPr>
              <w:t xml:space="preserve">2023/2831</w:t>
            </w:r>
            <w:r w:rsidR="00000000" w:rsidRPr="00000000" w:rsidDel="00000000">
              <w:rPr>
                <w:rtl w:val="0"/>
              </w:rPr>
              <w:t xml:space="preserve">, – elektromobiļa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“pašvaldību izveidotām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apakšpunkts, svītrojot no tā vārdus "pašvaldību izveidotām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pašvaldībām un tiešās pārvaldes iestādēm, kā arī komersantiem, kas plāno saņemt atbalstu saskaņā ar Regulu Nr. </w:t>
            </w:r>
            <w:r w:rsidR="00000000" w:rsidRPr="00000000" w:rsidDel="00000000">
              <w:rPr>
                <w:rtl w:val="0"/>
              </w:rPr>
              <w:t xml:space="preserve">2023/2831</w:t>
            </w:r>
            <w:r w:rsidR="00000000" w:rsidRPr="00000000" w:rsidDel="00000000">
              <w:rPr>
                <w:rtl w:val="0"/>
              </w:rPr>
              <w:t xml:space="preserve">, – elektromobiļa iegādes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komersantiem, kas plāno saņemt atbalstu saskaņā ar Regulu Nr. </w:t>
            </w:r>
            <w:r w:rsidR="00000000" w:rsidRPr="00000000" w:rsidDel="00000000">
              <w:rPr>
                <w:rtl w:val="0"/>
              </w:rPr>
              <w:t xml:space="preserve">651/2014</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skaidrībai precizēt, saskaņā ar kādu Regulas Nr.651/2014 pantu plānots piešķirt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33.2. apakšpunkts (precizētajā redakcijā - 31.2. apakšpunkts) papildināts ar atsauci uz Regulas Nr. 651/2014 36.b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komersantiem, kas plāno saņemt atbalstu saskaņā ar Regulas Nr. </w:t>
            </w:r>
            <w:r w:rsidR="00000000" w:rsidRPr="00000000" w:rsidDel="00000000">
              <w:rPr>
                <w:rtl w:val="0"/>
              </w:rPr>
              <w:t xml:space="preserve">651/2014</w:t>
            </w:r>
            <w:r w:rsidR="00000000" w:rsidRPr="00000000" w:rsidDel="00000000">
              <w:rPr>
                <w:rtl w:val="0"/>
              </w:rPr>
              <w:t xml:space="preserve"> 36.b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komersantiem, kas plāno saņemt atbalstu saskaņā ar Regulu Nr. </w:t>
            </w:r>
            <w:r w:rsidR="00000000" w:rsidRPr="00000000" w:rsidDel="00000000">
              <w:rPr>
                <w:rtl w:val="0"/>
              </w:rPr>
              <w:t xml:space="preserve">651/2014</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noteikumos ir ietvertas skaidras atsauces uz Regulas Nr. 651/2014 normām, lūdzam 33.2.apakšpunktu papildināt ar atsauci uz Regulas Nr. 651/2014 36.b pantu, vienlaikus noteikumu projekta V.nodaļā iekļaujot visus šī panta attiecināmos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33.2. apakšpunkts (precizētajā redakcijā - 31.2. apakšpunkts) papildināts ar atsauci uz Regulas Nr. 651/2014 36.b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komersantiem, kas plāno saņemt atbalstu saskaņā ar Regulas Nr. </w:t>
            </w:r>
            <w:r w:rsidR="00000000" w:rsidRPr="00000000" w:rsidDel="00000000">
              <w:rPr>
                <w:rtl w:val="0"/>
              </w:rPr>
              <w:t xml:space="preserve">651/2014</w:t>
            </w:r>
            <w:r w:rsidR="00000000" w:rsidRPr="00000000" w:rsidDel="00000000">
              <w:rPr>
                <w:rtl w:val="0"/>
              </w:rPr>
              <w:t xml:space="preserve"> 36.b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elektromobiļu infrastruktūras izveidei speciālie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noteikumos ir ietverti skaidri nosacījumi, t.sk. atsauces uz Regulas Nr. 651/2014 normām, lūdzam noteikumu projekta VI. nodaļu papildināt ar atsauci uz Regulas Nr. 651/2014 36.a pantu, vienlaikus iekļaujot visus tā attiecināmos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nodaļa papildināta ar atsauci uz Regulas Nr. 651/2014 36.a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elektromobiļu infrastruktūras izveidei speciālie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Komersantiem, kas plāno saņemt atbalstu saskaņā ar Regulas Nr. </w:t>
            </w:r>
            <w:r w:rsidR="00000000" w:rsidRPr="00000000" w:rsidDel="00000000">
              <w:rPr>
                <w:rtl w:val="0"/>
              </w:rPr>
              <w:t xml:space="preserve">651/2014</w:t>
            </w:r>
            <w:r w:rsidR="00000000" w:rsidRPr="00000000" w:rsidDel="00000000">
              <w:rPr>
                <w:rtl w:val="0"/>
              </w:rPr>
              <w:t xml:space="preserve"> 36.a pantu, attiecināmās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minētajām aktivitātēm saskaņā ar Regulas Nr. </w:t>
            </w:r>
            <w:r w:rsidR="00000000" w:rsidRPr="00000000" w:rsidDel="00000000">
              <w:rPr>
                <w:rtl w:val="0"/>
              </w:rPr>
              <w:t xml:space="preserve">651/2014</w:t>
            </w:r>
            <w:r w:rsidR="00000000" w:rsidRPr="00000000" w:rsidDel="00000000">
              <w:rPr>
                <w:rtl w:val="0"/>
              </w:rPr>
              <w:t xml:space="preserve"> 36.a panta 7. punkta nosacījumiem nepārsniedz 40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Regulas Nr. 651/2014 36.a panta 7.punktā noteikto, ka vienam uzņēmumam piešķirtais atbalsts nepārsniedz 40 % no attiecīgās shēmas kopējā budžeta, lūdzam precizēt noteikumu 38.punktu.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Regulas Nr. 651/2014 36.a panta 5.punktā ir noteikts, ka, gadījumā, ja atbalstu piešķir konkurenci veicinošā konkursa procedūrā, ievērojot Regulas Nr. 651/2014 36.a panta 4. punkta nosacījumus, atbalsta intensitāte var sasniegt 100 % no attiecināmajām izmaksām, lūdzam noteikumos noteikt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36.a panta 7. punktā noteiktais nosacījums ietverts noteikumu projekta 36. punktā (noteikumu projekta precizēšanas rezultātā mainījusies pantu numerācija). Noteikumu projekta 36. punkts papildināts ar nosacījumu par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Konkursa ietvaros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minētajām aktivitātēm ir attiecināmas šādas projekta izmaksas, kas nepārsniedz 40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43.punktu atbilstoši Regulas Nr. 651/2014 36.a panta 7. punktā noteiktajam, ka vienam uzņēmumam piešķirtais atbalsts nepārsniedz 40 % no attiecīgās shēmas kopējā budžeta. Pretējā gadījumā noteikumu projekta 43.punkts ir pretrunā ar noteikumu projekta 41.punktā noteiktajām atbalsta intensitātēm.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 vienlaikus precizējot noteikumu projekta 41.2.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Konkursa ietvaros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minētajām aktivitātēm ir attiecināmas šādas projekta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nepiešķir Regulas Nr. 2023/2831 1. pantā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44.1. apakšpunktu. Vēršam uzmanību, ka tajā iztrūkst kāds vārds, līdz ar ko nav viennozīmīgi saprotams, kāds ir apakšpunktā paredzētais pienākums, turklāt 44. punkts regulē projekta iesniedzēja pienākumus, nevis atbalsta piešķīrēja pienākumus.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w:t>
            </w:r>
            <w:r w:rsidR="00000000" w:rsidRPr="00000000" w:rsidDel="00000000">
              <w:rPr>
                <w:i w:val="1"/>
                <w:rtl w:val="0"/>
              </w:rPr>
              <w:t xml:space="preserve">de minimis </w:t>
            </w:r>
            <w:r w:rsidR="00000000" w:rsidRPr="00000000" w:rsidDel="00000000">
              <w:rPr>
                <w:rtl w:val="0"/>
              </w:rPr>
              <w:t xml:space="preserve">atbalstu nepiešķir Regulas Nr. </w:t>
            </w:r>
            <w:r w:rsidR="00000000" w:rsidRPr="00000000" w:rsidDel="00000000">
              <w:rPr>
                <w:rtl w:val="0"/>
              </w:rPr>
              <w:t xml:space="preserve">2023/2831</w:t>
            </w:r>
            <w:r w:rsidR="00000000" w:rsidRPr="00000000" w:rsidDel="00000000">
              <w:rPr>
                <w:rtl w:val="0"/>
              </w:rPr>
              <w:t xml:space="preserve"> 1. panta 1. punktā noteiktajām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nepiešķir Regulas Nr. 2023/2831 1. pantā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Neatbalstāmās nozares un darbības ir minētas tikai Regulas Nr. 2023/2831 1. panta 1.punktā. Līdz ar to lūdzam precizēt noteikumu projekta 44.1.apakšpunktu.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w:t>
            </w:r>
            <w:r w:rsidR="00000000" w:rsidRPr="00000000" w:rsidDel="00000000">
              <w:rPr>
                <w:i w:val="1"/>
                <w:rtl w:val="0"/>
              </w:rPr>
              <w:t xml:space="preserve">de minimis </w:t>
            </w:r>
            <w:r w:rsidR="00000000" w:rsidRPr="00000000" w:rsidDel="00000000">
              <w:rPr>
                <w:rtl w:val="0"/>
              </w:rPr>
              <w:t xml:space="preserve">atbalstu nepiešķir Regulas Nr. </w:t>
            </w:r>
            <w:r w:rsidR="00000000" w:rsidRPr="00000000" w:rsidDel="00000000">
              <w:rPr>
                <w:rtl w:val="0"/>
              </w:rPr>
              <w:t xml:space="preserve">2023/2831</w:t>
            </w:r>
            <w:r w:rsidR="00000000" w:rsidRPr="00000000" w:rsidDel="00000000">
              <w:rPr>
                <w:rtl w:val="0"/>
              </w:rPr>
              <w:t xml:space="preserve"> 1. panta 1. punktā noteiktajām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nodrošina darbības vai izmaksu nošķiršanu saskaņā ar Regulas Nr. 2023/2831 1. panta 2. punktu, ja komersants vienlaikus darbojas saskaņā ar šiem noteikumiem atbalstāmajās un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Nr.2023/2831 nosacījumu korektu ievērošanu, aicinām noteikumu projekta 44.2.apakšpunktu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44.2. apakšpunkts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nodrošina šo nozaru darbību vai uzskaites nodalīšanu, lai saskaņā ar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iepriekšējos trīs gados, skaitot no atbalsta piešķiršanas dienas, nepārsniedz 300 000 </w:t>
            </w:r>
            <w:r w:rsidR="00000000" w:rsidRPr="00000000" w:rsidDel="00000000">
              <w:rPr>
                <w:i w:val="1"/>
                <w:rtl w:val="0"/>
              </w:rPr>
              <w:t xml:space="preserve">euro</w:t>
            </w:r>
            <w:r w:rsidR="00000000" w:rsidRPr="00000000" w:rsidDel="00000000">
              <w:rPr>
                <w:rtl w:val="0"/>
              </w:rPr>
              <w:t xml:space="preserve">, atbilstoši Regulas Nr. 2023/2831 3. panta 2. punktam, kā arī ievērojot Regulas Nr. 2023/2831 ​​​3. panta 8. punkta nosacījumus uzņēmumu apvienošanās vai iegādes gadījumā un Regulas Nr. 2023/2831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projektā netiek dublētas regulu normas (sk., piemēram, projekta 44.4. apakšpunktu (it īpaši frāzi "ko viena dalībvalsts piešķīrusi") un Regulas Nr. 2023/2831 3. panta 2. punktu) un sniegt skaidrojumu vai,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nosacījums faktiski ir ietverts arī 44.5. apakšpunktā (precizētajā redakcijā - 45. punktā), 44.4.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2023.gada 13.decembra regulas Nr.2023/2831 par Līguma par Eiropas Savienības darbību 107. un 108.panta piemērošanu de minimis atbalstam, 3.panta 2.punktā noteiktajam atbalsta sniedzējam ir pienākums pārbaudīt piešķirtā, nevis faktiski saņemtā atbalsta apjomu. Lai nodrošinātu atbilstību Komisijas regulas Nr.2023/2831 3.panta 2.punktam, aicinām noteikumu projekta 44.5.apakšpunktā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44.5. apakšpunkts (precizētajā redakcijā - 45.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Vides investīciju fonds lēmumu par atbalsta piešķiršanu saskaņā ar Regulu Nr. </w:t>
            </w:r>
            <w:r w:rsidR="00000000" w:rsidRPr="00000000" w:rsidDel="00000000">
              <w:rPr>
                <w:rtl w:val="0"/>
              </w:rPr>
              <w:t xml:space="preserve">2023/2831</w:t>
            </w:r>
            <w:r w:rsidR="00000000" w:rsidRPr="00000000" w:rsidDel="00000000">
              <w:rPr>
                <w:rtl w:val="0"/>
              </w:rPr>
              <w:t xml:space="preserve"> pieņem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projektu un izvērtēt, skaidrot, kā projektā ietvertais regulējums attiecībā uz to, kas pieņem lēmumu par projekta iesnieguma apstiprināšanu vai noraidīšanu, atbilst noteikumu Nr. 396 regulējumam, kas noteic, ka </w:t>
            </w:r>
            <w:r w:rsidR="00000000" w:rsidRPr="00000000" w:rsidDel="00000000">
              <w:rPr>
                <w:u w:val="single"/>
                <w:rtl w:val="0"/>
              </w:rPr>
              <w:t xml:space="preserve">lēmumu pieņem projektu iesniegumu vērtēšanas komisija </w:t>
            </w:r>
            <w:r w:rsidR="00000000" w:rsidRPr="00000000" w:rsidDel="00000000">
              <w:rPr>
                <w:rtl w:val="0"/>
              </w:rPr>
              <w:t xml:space="preserve">(sk. noteikumu Nr. 396 16. punktu). Vēršam uzmanību, ka, piemēram, noteikumu projekta 48. punktā norādīts, ka: "</w:t>
            </w:r>
            <w:r w:rsidR="00000000" w:rsidRPr="00000000" w:rsidDel="00000000">
              <w:rPr>
                <w:i w:val="1"/>
                <w:rtl w:val="0"/>
              </w:rPr>
              <w:t xml:space="preserve">Vides investīciju fonds ir pieņēmis lēmumu par līdzfinansējuma piešķiršanu</w:t>
            </w:r>
            <w:r w:rsidR="00000000" w:rsidRPr="00000000" w:rsidDel="00000000">
              <w:rPr>
                <w:rtl w:val="0"/>
              </w:rPr>
              <w:t xml:space="preserve">" vai 55. punktā "</w:t>
            </w:r>
            <w:r w:rsidR="00000000" w:rsidRPr="00000000" w:rsidDel="00000000">
              <w:rPr>
                <w:i w:val="1"/>
                <w:rtl w:val="0"/>
              </w:rPr>
              <w:t xml:space="preserve">Vides investīciju fonda lēmums par projekta iesnieguma apstiprināšanu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396 jau ietverts regulējums attiecībā uz to, kas pieņem lēmumu par projekta iesnieguma apstiprināšanu vai noraidīšanu, precizēts noteikumu projekta 46. un 47.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Lēmumu par atbalsta piešķiršanu saskaņā ar Regulu Nr. </w:t>
            </w:r>
            <w:r w:rsidR="00000000" w:rsidRPr="00000000" w:rsidDel="00000000">
              <w:rPr>
                <w:rtl w:val="0"/>
              </w:rPr>
              <w:t xml:space="preserve">2023/2831</w:t>
            </w:r>
            <w:r w:rsidR="00000000" w:rsidRPr="00000000" w:rsidDel="00000000">
              <w:rPr>
                <w:rtl w:val="0"/>
              </w:rPr>
              <w:t xml:space="preserve"> pieņem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aktivitātēm atbilstoši Regulai Nr. </w:t>
            </w:r>
            <w:r w:rsidR="00000000" w:rsidRPr="00000000" w:rsidDel="00000000">
              <w:rPr>
                <w:rtl w:val="0"/>
              </w:rPr>
              <w:t xml:space="preserve">651/2014</w:t>
            </w:r>
            <w:r w:rsidR="00000000" w:rsidRPr="00000000" w:rsidDel="00000000">
              <w:rPr>
                <w:rtl w:val="0"/>
              </w:rPr>
              <w:t xml:space="preserve"> piešķirto finansējumu komersantiem attiecībā uz vienām un tām pašām attiecināmajām izmaksām nevar apvienot ar </w:t>
            </w:r>
            <w:r w:rsidR="00000000" w:rsidRPr="00000000" w:rsidDel="00000000">
              <w:rPr>
                <w:i w:val="1"/>
                <w:rtl w:val="0"/>
              </w:rPr>
              <w:t xml:space="preserve">de minimis</w:t>
            </w:r>
            <w:r w:rsidR="00000000" w:rsidRPr="00000000" w:rsidDel="00000000">
              <w:rPr>
                <w:rtl w:val="0"/>
              </w:rPr>
              <w:t xml:space="preserve"> 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48.punkts ir pretrunā šo noteikumu 13.3.apakšpunktā noteiktajam, ka aizliegta ir jebkāda kumulācija, līdz ar to lūdzam attiecīgi precizēt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13.3. apakšpunkts (precizētajā redakcijā - 12.3. apakšpunkts) attiecināms uz finansējuma avotu - attiecīgi par projekta iesniegumā plānotajām aktivitātēm nav saņemts un nav plānots saņemt finansējumu citu atbalsta programmu vai finanšu instrumentu ietvaros, savukārt noteikumu projekta 48. punkts (precizētajā redakcijā - 50. punkts) attiecas uz atbalsta saņemšanas nosacījumiem, proti, nav iespējams vienlaicīgi saņemt atbalstu gan saskaņā ar Regulu Nr. 651/2014, gan Regulu Nr. 2023/2831. Atbilstoši noteikumu projekta 4. punktam komersantiem atbalstu aktivitāšu īstenošanai konkursa ietvaros primāri sniedz saskaņā ar  Regulu Nr. 2023/2831, savukārt, ja komersantam nav pieejams de minimis limits granta ekvivalenta apmērā, piemēro Regulas Nr. 651/2014 nosacījumus. Ņemot vērā iepriekš minēto, noteikumu projekta 50. punkts nav pretrunā šo noteikumu 12.3.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aktivitātēm atbilstoši Regulai Nr. </w:t>
            </w:r>
            <w:r w:rsidR="00000000" w:rsidRPr="00000000" w:rsidDel="00000000">
              <w:rPr>
                <w:rtl w:val="0"/>
              </w:rPr>
              <w:t xml:space="preserve">651/2014</w:t>
            </w:r>
            <w:r w:rsidR="00000000" w:rsidRPr="00000000" w:rsidDel="00000000">
              <w:rPr>
                <w:rtl w:val="0"/>
              </w:rPr>
              <w:t xml:space="preserve"> piešķirto finansējumu komersantiem attiecībā uz vienām un tām pašām attiecināmajām izmaksām nevar apvienot ar </w:t>
            </w:r>
            <w:r w:rsidR="00000000" w:rsidRPr="00000000" w:rsidDel="00000000">
              <w:rPr>
                <w:i w:val="1"/>
                <w:rtl w:val="0"/>
              </w:rPr>
              <w:t xml:space="preserve">de minimis</w:t>
            </w:r>
            <w:r w:rsidR="00000000" w:rsidRPr="00000000" w:rsidDel="00000000">
              <w:rPr>
                <w:rtl w:val="0"/>
              </w:rPr>
              <w:t xml:space="preserve">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1. panta 4. punkta "a" apakšpunkta nosacījumi, ka atbalsts netiek sniegts saņēmējam, uz kuru attiecas līdzekļu atgūšanas rīkojums saskaņā ar iepriekšēju Eiropas Komisijas lēmumu, ar ko atbalsts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noteikumu 49.3. un 49.4. apakšpunktus precizēt, lai nodrošinātu, ka ar terminu "saņēmējs" tiek saprasts, ka saņēmējs tiek vērtēts grupas līmenī. Vienlaikus ar skaidrojumu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attiecīgo punktu redakcijas un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1. panta 4. punkta "a" apakšpunkta nosacījumi, ka atbalsts netiek sniegts komersantiem (grupas līmenī), uz kuru attiecas līdzekļu atgūšanas rīkojums saskaņā ar iepriekšēju Eiropas Komisijas lēmumu, ar ko atbalsts tiek atzīts par nelikumīgu un nesaderīgu ar kopējo tirgu;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atbalsts netiek piešķirts grūtībās nonākušiem uzņēmumiem, tai skaitā grūtībās nonākušai pašvaldības kapitālsabiedrībai,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nosacījumu ievērošanu, aicinām precizēt noteikumu projekta 49.4.apakšpunktā ietverto nosacījumu norādot, ka atbilstība Komisijas regulas Nr.651/2014 2.panta 18.punkta c) apakšpunktam tiek pārbaudīta, balstoties uz atbalsta pretendenta iesniegtu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49.4. apakšpunkts (precizētajā redakcijā - 51.4. apakšpunkts), kā arī papildināta projekta iesniedzēja apliecinājuma sadaļa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 atbalsts netiek piešķirts grūtībās nonākušiem komersantiem (grupas līmenī), tai skaitā grūtībās nonākušai pašvaldības kapitālsabiedrībai,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 Atbilstība Regulas Nr. 651/2014 2. panta 18. punkta c) apakšpunktam tiek pārbaudīta, balstoties uz projekta iesniedzēja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1. panta 5. punkta nosacījumi, ka atbalsta pasākums neietver Eiropas Savienības tiesību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projekta 49.5. apakšpunktā ietvertās atsauces uz Regulas Nr. 651/2014 1. panta 5. punkta nepieciešamību, kā arī normas tvērumu. Proti, apakšpunktā minētais regulas punkts, šķiet, paredz, ka atbalsta pasākumam (nevis, šķiet, konkrētam projekta iesniegumiem) jāatbilst punktā minētajiem nosacījumiem. Attiecīgi lūdzam skaidrot, kādēļ šādu norādi vispār nepieciešams paredzēt un kam un kāds tieši pienākums projektā ir paredzēts saistībā minēto regulas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attiecīgais apakšpunkts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1. panta 5. punkta nosacījumi, ka atbalsta pasākums neietver Eiropas Savienības tiesību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apakšpunktu dzēst, jo tas uzliek nosacījumu attiecībā uz pašiem noteikumu projekta nosacījumiem, ka tie nedrīkst radīt ES tiesību pārkāpumu, nevis to, ka šis nosacījums būtu pārbaudāms uz atbalsta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49.5.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Lielais komersants, kas plāno īstenot kādu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aktivitātēm saskaņā ar Regulu </w:t>
            </w:r>
            <w:r w:rsidR="00000000" w:rsidRPr="00000000" w:rsidDel="00000000">
              <w:rPr>
                <w:rtl w:val="0"/>
              </w:rPr>
              <w:t xml:space="preserve">Nr. 651/2014</w:t>
            </w:r>
            <w:r w:rsidR="00000000" w:rsidRPr="00000000" w:rsidDel="00000000">
              <w:rPr>
                <w:rtl w:val="0"/>
              </w:rPr>
              <w:t xml:space="preserve">, pirms projekta īstenošanas uzsākšanas un projekta īstenošanas laikā izpilda minētās regulas 8. panta 3. punktā noteiktās prasības, kā arī aizpilda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ņemot vērā, ka nav skaidrs, kādas prasības ir jāizpilda, kas izriet no regulas 8. panta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 punkts (precizētajā redakcijā - 54. punkts). Atsauce paredzēta uz Regulas Nr. 651/2014 6. panta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4. panta 1. punkta "s" un "sa" apakšpunkta nosacījumi, ka individuālais atbalsts nepārsniedz šajos apakšpunktos noteiktās paziņošanas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 noteikumu ietvaros atbalstu plānots sniegt ar Komisijas regulas Nr.651/2014 36.a mērķi, lūdzam aizstāt 55.5.apakšpunktā Komisijas regulas Nr.651/2014 4.panta 1.punkta 'sa' nosacījumu atsauci uz Komisijas regulas Nr.651/2014 4.panta 1.punkta 'sb'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Komisijas Regulas Nr. 651/2014 4. panta 1. punkta 'sb'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 4. panta 1. punkta "s" un "sb" apakšpunkta nosacījumi, ka individuālais atbalsts nepārsniedz šajos apakšpunktos noteiktās paziņošanas robežvērtības.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tiek pārkāptas šajos noteikumos minētās komercdarbības atbalsta kontroles normas, tostarp nosacījumi, kas izriet no Regulas Nr. </w:t>
            </w:r>
            <w:r w:rsidR="00000000" w:rsidRPr="00000000" w:rsidDel="00000000">
              <w:rPr>
                <w:rtl w:val="0"/>
              </w:rPr>
              <w:t xml:space="preserve">651/2014</w:t>
            </w:r>
            <w:r w:rsidR="00000000" w:rsidRPr="00000000" w:rsidDel="00000000">
              <w:rPr>
                <w:rtl w:val="0"/>
              </w:rPr>
              <w:t xml:space="preserve">, Vides investīciju fonds finansējuma saņēmējam uzliek par pienākumu atmaksāt projekta ietvaros saņemto nelikumīgo komercdarbības atbalstu, savukārt, ja tiek pārkāptas šajos noteikumos minētās komercdarbības atbalsta kontroles normas, tostarp nosacījumi, kas izriet no Regulas Nr. 2023/2831, Vides investīciju fonds finansējuma saņēmējam uzliek par pienākumu atmaksāt visu projekta ietvaros saņemto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Nelikumīgs komercdarbības atbalsts ir tikai tāds atbalsts, kas piešķirts pārkāpjot attiecīgās regulās noteiktos nosacījumus. Attiecīgi lūdzam noteikumu projekta 55.punktu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tiek pārkāpti Regulas Nr. 651/2014 nosacījumi, Vides investīciju fonds finansējuma saņēmējam uzliek par pienākumu atmaksāt projekta ietvaros saņemto nelikumīgo komercdarbības atbalstu, savukārt, ja tiek pārkāpti Regulas Nr. 2023/2831 nosacījumi, Vides investīciju fonds finansējuma saņēmējam uzliek par pienākumu atmaksāt projekta ietvaros saņemto de minimis 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55. punkts (precizētajā redakcijā - 58.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tiek pārkāpti Regulas Nr. </w:t>
            </w:r>
            <w:r w:rsidR="00000000" w:rsidRPr="00000000" w:rsidDel="00000000">
              <w:rPr>
                <w:rtl w:val="0"/>
              </w:rPr>
              <w:t xml:space="preserve">651/2014</w:t>
            </w:r>
            <w:r w:rsidR="00000000" w:rsidRPr="00000000" w:rsidDel="00000000">
              <w:rPr>
                <w:rtl w:val="0"/>
              </w:rPr>
              <w:t xml:space="preserve"> nosacījumi, Vides investīciju fonds finansējuma saņēmējam uzliek par pienākumu atmaksāt projekta ietvaros saņemto nelikumīgo komercdarbības atbalstu, savukārt, ja tiek pārkāpti Regulas Nr. </w:t>
            </w:r>
            <w:r w:rsidR="00000000" w:rsidRPr="00000000" w:rsidDel="00000000">
              <w:rPr>
                <w:rtl w:val="0"/>
              </w:rPr>
              <w:t xml:space="preserve">2023/2831</w:t>
            </w:r>
            <w:r w:rsidR="00000000" w:rsidRPr="00000000" w:rsidDel="00000000">
              <w:rPr>
                <w:rtl w:val="0"/>
              </w:rPr>
              <w:t xml:space="preserve"> nosacījumi, Vides investīciju fonds finansējuma saņēmējam uzliek par pienākumu atmaksāt projekta ietvaros saņemto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transportlīdzekļa, kas aprīkots ar fosilās degvielas darbināmu iekšdedzes dzinēju, likvidācijas sertifikāta kas izdots ne agrāk kā pirms šo noteikumu spēkā stāšanās dienas izraksta kopija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60.3. apakšpunktu, jo norma ir neskaidra. Proti, nav konkrēti noteikts, kādā termiņā (laikposmā) likvidācijas sertifikātam ir jābūt izdotam. Proti, aicinām svītrot vārdu "pirms" un vārdu "dienas" aizstāt ar "dienā" vai konkrēti noteikt laikposmu, kādā pirms noteikumu spēkā stāšanās dienas sertifikāts var būt izdots. Alternatīvi lūdzam sniegt skaidrojumu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projekta 60.3. apakšpunktā (precizētajā redakcijā - 63.3. apakšpunktā). Likvidācijas sertifikātam jābūt izdotam ne agrāk kā šo noteikumu spēkā stāšanās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transportlīdzekļa, kas aprīkots ar fosilās degvielas darbināmu iekšdedzes dzinēju, likvidācijas sertifikāta, kas izdots ne agrāk kā šo noteikumu spēkā stāšanās dienā, izraksta kopija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Vērtēšanas komisija, ko izveido saskaņā ar </w:t>
            </w:r>
            <w:r w:rsidR="00000000" w:rsidRPr="00000000" w:rsidDel="00000000">
              <w:rPr>
                <w:rtl w:val="0"/>
              </w:rPr>
              <w:t xml:space="preserve">Ministru kabineta 2023. gada 13. jūlija noteikumu Nr. 396 "Modernizācijas fonda darbības kārtības noteikumi un daudzgadu darbības programma"</w:t>
            </w:r>
            <w:r w:rsidR="00000000" w:rsidRPr="00000000" w:rsidDel="00000000">
              <w:rPr>
                <w:rtl w:val="0"/>
              </w:rPr>
              <w:t xml:space="preserve"> 16. punktu, ietilpst divi Vides investīciju fonda pārstāvji, kā arī pa vienam pārstāvim no Klimata un enerģētikas ministrijas (turpmāk - ministrija), Satiksmes ministrijas un Vides aizsardzības un reģionālās attīstības ministrijas. Projektu iesniegumu vērtēšanas procesa administrēšanu nodrošina Vides investīciju fonds. Vērtēšanas komisiju vada Vides investīciju fonda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Vides aizsardzības un reģionālās attīstības ministriju no vērtēšanas komisijas sastāva, ņemot vērā Ministru kabineta 2024. gada 7. jūnija rīkojumā Nr. 446 “Par Vides aizsardzības un reģionālās attīstības ministrijas un Klimata un enerģētikas ministrijas reorganizāciju” noteikto, ka ar 2024. gada 1. jūliju Klimata un enerģētikas ministrija no Vides aizsardzības un reģionālās attīstības ministrijas pārņem vides aizsardzības politikas jomu. Ievērojot  konkursa rezultātā plānotos sasniedzamos rādītājus, tai skaitā SEG emisiju samazinājumu, VARAM nesaredz savu iesaisti projektu vērtēšanas komisijā. Attiecīgus precizējumus lūdzam veikt arī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svītrota no vērtēšanas komisijas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Vērtēšanas komisija, ko izveido saskaņā ar </w:t>
            </w:r>
            <w:r w:rsidR="00000000" w:rsidRPr="00000000" w:rsidDel="00000000">
              <w:rPr>
                <w:rtl w:val="0"/>
              </w:rPr>
              <w:t xml:space="preserve">Ministru kabineta 2023. gada 13. jūlija noteikumu Nr. 396 "Modernizācijas fonda darbības kārtības noteikumi un daudzgadu darbības programma"</w:t>
            </w:r>
            <w:r w:rsidR="00000000" w:rsidRPr="00000000" w:rsidDel="00000000">
              <w:rPr>
                <w:rtl w:val="0"/>
              </w:rPr>
              <w:t xml:space="preserve"> 16. punktu, ietilpst divi Vides investīciju fonda pārstāvji, kā arī pa vienam pārstāvim no Klimata un enerģētikas ministrijas (turpmāk - ministrija) un Satiksmes ministrijas. Projektu iesniegumu vērtēšanas procesa administrēšanu nodrošina Vides investīciju fonds. Vērtēšanas komisiju vada Vides investīciju fonda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tiek konstatēta neatbilstība vienam vai vairākiem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minētajiem precizējamiem administratīvajiem vērtēšanas kritērijiem, tai skaitā arī aritmētiskas kļūdas, Vides investīciju fonds pamatojoties uz vērtēšanas komisijas vērtējumu pieņem lēmumu par projekta iesnieguma apstiprināšanu ar nosacījumu un aicina projekta iesniegumu precizēt atbilstoši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69. punktu u.c. saistītās normas saistībā ar lēmuma par projekta iesnieguma apstiprināšanu ar nosacījumu paredzēšanu attiecīgajā situācijā. Vēršam uzmanību, ka lēmums par projekta iesnieguma apstiprināšanu ar nosacījumu nebūtu attiecināms uz iesnieguma precizēšanu. Proti, iesniegumu būtu vispirms jāprasa precizēt un tikai tad jālemj par to pēc būtības. Arī anotācijā ietvertā informācija norāda par tādu izpratni ("</w:t>
            </w:r>
            <w:r w:rsidR="00000000" w:rsidRPr="00000000" w:rsidDel="00000000">
              <w:rPr>
                <w:i w:val="1"/>
                <w:rtl w:val="0"/>
              </w:rPr>
              <w:t xml:space="preserve">Saskaņā ar šo noteikumu projekta X. sadaļā "Projekta iesnieguma vērtēšana un lēmuma pieņemšana" noteikto, </w:t>
            </w:r>
            <w:r w:rsidR="00000000" w:rsidRPr="00000000" w:rsidDel="00000000">
              <w:rPr>
                <w:i w:val="1"/>
                <w:u w:val="single"/>
                <w:rtl w:val="0"/>
              </w:rPr>
              <w:t xml:space="preserve">tikai administratīvās vērtēšanas kritērijiem atbilstošie projekti tiek virzīti kvalitātes vērtēšanai</w:t>
            </w:r>
            <w:r w:rsidR="00000000" w:rsidRPr="00000000" w:rsidDel="00000000">
              <w:rPr>
                <w:i w:val="1"/>
                <w:rtl w:val="0"/>
              </w:rPr>
              <w:t xml:space="preserve"> un sarindoti pēc augstākā kvalitātes kritērijos iegūtā kopējā punktu skaita un priekšroku dod projektam ar lielāko kopējo punktu skaitu.</w:t>
            </w:r>
            <w:r w:rsidR="00000000" w:rsidRPr="00000000" w:rsidDel="00000000">
              <w:rPr>
                <w:rtl w:val="0"/>
              </w:rPr>
              <w:t xml:space="preserve">"), kaut tāda neizriet no projekta 69. punkta. Attiecīgi lūdzam izvērtēt un precizēt projektu vai sniegt pamatotu skaidrojumu par izvēlēto risinājumu. Salīdzinājumam lūdzam sk. Ministru kabineta 2021. gada 21. decembra noteikumu Nr. 896 "Emisijas kvotu izsolīšanas instrumenta finansēto projektu atklāta konkursa "Siltumnīcefekta gāzu emisijas samazināšana transporta sektorā – atbalsts bezemisiju un mazemisiju transportlīdzekļu iegādei" nolikums" 41.1.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 punkts (precizētajā redakcijā - 70.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tiek konstatēta neatbilstība vienam vai vairākiem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minētajiem precizējamiem administratīvajiem vērtēšanas kritērijiem, tai skaitā arī aritmētiskas kļūdas, Vides investīciju fonds, rakstiski informē projekta iesniedzēju par konstatētajām neatbilstībām un aicina projekta iesniegumu precizēt atbilstoši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projekta iesnieguma iesniedzējs nenoslēdz projekta līgumu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minētajā termiņā, tas zaudē tiesības slēgt projekta līgumu, un tiesības slēgt projekta līgumu pāriet nākamajiem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82. punktu, ņemot vērā, ka, kamēr lēmums par projekta iesnieguma apstiprināšanu ir spēkā, personai ir tiesības prasīt tā izpildi. Proti, automātiski tiesības neviens nezaudē, kamēr lēmums ir spēkā. Attiecīgi priekšnosacījums tiesību zaudēšanai ir lēmuma spēka zaudēšana. Papildus aicinām izvērtēt, vai projektā vispār nepieciešams ietvert 82. punktu, ņemot vērā, ka noteikumu Nr. 396 21. punkts arī pēc būtības regulē to pašu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noteikumu projekta 82. punkts (precizētajā redakcijā - 80. punkts) saglabāts, vienlaikus to precizējot, attiecīgi ietverot atsauci uz MK noteikumu Nr. 396 20. punktā minēto termiņu, kā arī nosacījumu par Vides investīciju fonda izdotā administratīvā akta vai pārvaldes lēmuma spēka zaudēšanu, ja noteiktajā termiņā starp projekta iesniedzēju un Vides investīciju fondu netiek parakstīts projekta līgums.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Vides investīciju fonds un projekta iesniedzējs projekta līgumu noslēdz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20. punktā minētajā termiņā. Ja projekta iesniedzējs nenoslēdz projekta līgumu attiecīgajā termiņā, tas zaudē tiesības slēgt projekta līgumu, un tiesības slēgt projekta līgumu pāriet nākamajiem projekta iesniedzējiem.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Īpašuma tiesības attiecībā uz projekta ietvaros atbalstītajiem infrastruktūras objektiem nemaina, un ieguldījums paliek Latvijas Republikas teritorijā vismaz četrus gadus pēc projekta noslēguma maksājuma veikšanas finansējuma saņēmējam. Īpašuma tiesības nostiprina zemesgrāmatā, izņemot gadījumu, ja pašvaldības īpašums uz normatīvā akta, līguma vai pašvaldības lēmuma pamata ir nodots pašvaldības iestādes – projekta iesniedzēja – pārvaldīšanā vai ja īpašumtiesības uz īpašuma objektu ir spēkā bez to nostiprināšanas zemesgrāmatā, vai īpašumtiesības ir nostiprinātas uz valsts vārda ministrijas personā vai uz valsts kapitālsabiedrības vārda un ēku izmanto valsts iestāde vai kapitālsabiedrība valsts pārvaldes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precizēt tiesību normas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Īpašuma tiesības attiecībā uz projekta ietvaros atbalstītajiem infrastruktūras objektiem nemaina, un ieguldījums paliek Latvijas Republikas teritorijā vismaz četrus gadus pēc projekta noslēguma maksājuma veikšanas finansējuma saņēmējam. Īpašuma tiesības nostiprina zemesgrāmatā, izņemot gadījumu, ja īpašumtiesības uz īpašuma objektu ir spēkā bez to nostiprināšanas zemesgrāmatā, vai īpašumtiesības ir nostiprinātas uz valsts vārda ministrijas personā vai uz valsts kapitālsabiedrības vārda un infrastruktūru izmanto valsts iestāde vai kapitālsabiedrība valsts pārvaldes funkciju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Finansējuma saņēmējs nodrošina, ka projektā tiek paredzēts zaļais publiskais iepirkums būvdarbu vai preču vai pakalpojumu grupās, kurās ir izstrādāts regulējums nacionālajos normatīvajos aktos par prasībām zaļajam publiskajam iepirkumam un to piemērošanas kārtību. Atbalstāma ir vides piekļūstamības un izmantojamības nodrošināšana, veicot sociāli atbildīgu publisko iepirkumu, kur tas ir attiecināms un atbilstošs ieguldījumu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2017. gada 20. jūnija noteikumos Nr. 353 “Prasības zaļajam publiskajam iepirkumam un to piemērošanas kārtība” nav noteiktas prasības elektrotransportam (noteikumos ietvertās prasības attiecas tikai uz transportlīdzekļiem ar iekšdedzes dzinēju). Tāpat minētie noteikumi neparedz prasības attiecībā uz uzlādes punktu infrastruktūru (izņemot trešās grupas ēku projektēšanā, kur jāparedz tikai optimālais to skaits). Savukārt Publisko iepirkumu likums, ņemot vērā, ka elektrotransports ir “tīrais” autotransports, pieļauj piedāvājumu salīdzināšanai vērtēt tikai cenu (transportlīdzekļu ekspluatācijas ietekme uz enerģētiku un vidi ir jāizvērtē tikai uz transportlīdzekļiem ar iekšdedzes dzinēju).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90.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pielikumos neietver pastāvīgas tiesību normas un normas, kas neizriet no noteikumu pamatteksta. Ņemot vērā minēto, lūdzam izvērtēt projekta 1. pielikuma 2.3. un 2.4. sadaļas piezīmi attiecībā uz zemes īpašumtiesībām vai ilgtermiņa nomas tiesībām, un vai nu sniegt skaidrojumu, no kādas projekta pamatteksta normas izriet attiecīgā prasība, vai precizēt projekta pamattekstu.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pamatteksts, papildinot ar jaunu punktu, kā arī precizēta piezīme pie noteikumu projekta 1. pielikuma 2.3. un 2.4. sadaļas.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punkts  2.2. Elektromobiļu raksturojums , kur katram elektromobilim ar atšķirīgiem parametriem aizpilda atsevišķu tabulu.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vienotai izpratnei sniegt skaidrojumu terminam “noslēdzies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2.2. punkts papildināts ar atsauci, lai nodrošinātu vienotu izpratni par noslēgušos iepirkumu.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iepriekšējā atzinuma 4.punktā izteikto iebildumu, lūgums izvērtēt, vai uz Noteikumu projekta 9.3.apakšpunktā noteikto finansējuma saņēmēju, proti, komersantu, veiktajiem iepirkumiem nav attiecināmi Ministru kabineta noteikumi Nr.104 "Noteikumi par iepirkuma procedūru un tās piemērošanas kārtību pasūtītāja finansētiem projektiem", un attiecīgi papildināt anotāciju, ņemot vērā Noteikumu projekta 91.punktā noteikto, ka </w:t>
            </w:r>
            <w:r w:rsidR="00000000" w:rsidRPr="00000000" w:rsidDel="00000000">
              <w:rPr>
                <w:i w:val="1"/>
                <w:rtl w:val="0"/>
              </w:rPr>
              <w:t xml:space="preserve">finansējuma saņēmējs nepieciešamos iepirkumus projekta ietvaros veic saskaņā ar iepirkumu reglamentējošajiem normatīvajiem aktiem, īstenojot atklātu, pārredzamu, nediskriminējošu un konkurenci nodrošinošu konkursa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attiecīgajiem Ministru kabineta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87.punkts paredz, ka finansējuma saņēmējs nepieciešamos iepirkumus projekta ietvaros veic saskaņā ar iepirkumu reglamentējošajiem normatīvajiem aktiem,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3. un 8.punktu finansējuma saņēmējs var būt pašvaldība, pašvaldības izveidota iestāde, valsts tiešās pārvaldes iestāde un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noteikumu projekta anotāciju ar informāciju par iepirkumu veikšanas regulējumu, lai būtu nepārprotami skaidrs, kāds regulējums atbilstoši Ministru kabineta noteikumu projekta 87.punktam ir jāievēro finansējuma saņēmējiem autotransporta vai elektromobiļa uzlādes infrastruktūras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ietverot atsauci uz normatīvajiem aktiem, kuri piemērojami iepirkumu veikšanai - Publisko iepirkumu likumu un Sabiedrisko pakalpojumu sniedzēju iepirkumu likumu (ja attiecināms).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sadaļu - Citi nosacījumi, Zaļais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2017. gada 20. jūnija noteikumos Nr. 353 “Prasības zaļajam publiskajam iepirkumam un to piemērošanas kārtība” nav noteiktas prasības elektrotransportam (noteikumos ietvertās prasības attiecas tikai uz transportlīdzekļiem ar iekšdedzes dzinēju). Tāpat minētie noteikumi neparedz prasības attiecībā uz uzlādes punktu infrastruktūru (izņemot trešās grupas ēku projektēšanā, kur jāparedz tikai optimālais to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Publisko iepirkumu likums, ņemot vērā, ka elektrotransports ir “tīrais” autotransports, pieļauj piedāvājumu salīdzināšanai vērtēt tikai cenu (transportlīdzekļu ekspluatācijas ietekme uz enerģētiku un vidi ir jāizvērtē tikai uz transportlīdzekļiem ar iekšdedzes dzinēju). Attiecīgi būtu apsverams, vai ir nepieciešams noteikumos paredzēt kādas papildu prasības Publisko iepirkumu likumā noteiktajām elektrotransporta iegādē.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ņemot vērā problemātiku to izvērtēšanā, tiek apsvērts izslēgt no noteikumiem tādas prasības kā trokšņa emisijas līmeņa (tai skaitā riepu radītā trokšņa emisijas līmeņa) un prasības par informāciju/norādījumiem par ekoloģisku braukšanu. Vienlaikus no anotācijas nav saprotams, kas ir sistēmas, kas uzrāda ekoloģiskas braukšanas rādītājus transportlīdzekļa salonā.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sadaļa svītrota, ņemot vērā, ka svītrots noteikumu projekta 90.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aizpildīt 2.1.apakšpunktu, norādot noteikumu projekta īstenošanai sagaidāmos izdevumus no Modernizācijas fonda, kā arī sagaidāmos izdevumus valsts budžeta līdzfinansējuma nodrošināšanai situācijā, ja projekta īstenotājs būs valsts budžeta iestāde, ievērojot sniegto iebildumu pie noteikumu projekta III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2.1. apakšpunktā norādīti aptuvenie sagaidāmie izdevumi valsts budžeta līdzfinansējuma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10.4. apakšpunktā norādīto, ka projekta iesniedzējs var būt valsts tiešās pārvaldes iestāde, noteikumu projekta 19.punktā norādīto, ka projekts tiek  līdzfinansēts no finansējuma saņēmēja līdzekļiem, un noteikumu projekta 94.punktā noteikto, ka finansējuma saņēmējam, kas ir valsts budžeta iestāde, līdzfinansējumu nodrošina no valsts budžeta un maksājumus veic no līdzekļiem, kas projekta īstenošanai paredzēti tās ministrijas budžetā, kuras padotībā ir attiecīgā valsts budžeta iestāde, lūdzam anotācijas 3.sadaļas punktā “Cita informācija” skaidrot, kā tiks nodrošināts minētais finansējums attiecīgās ministrijas budžetā. Ja paredzēts, ka attiecīgais finansējums valsts budžeta iestādēm jānodrošina no ministrijas budžetā esošajiem līdzekļiem, tad lūdzam to arī skaidri norādīt, nepieciešamības gadījumā precizējot arī noteikumu projekta 94.punktu. Savukārt, ja plānots, ka valsts budžeta iestādēm līdzfinansējuma apmērs saskaņā ar Ministru kabineta 2018. gada 17. jūlija noteikumu Nr. 421 “Kārtība, kādā veic gadskārtējā valsts budžeta likumā noteiktās apropriācijas izmaiņas” 24.1.apakšpunktu tiks pieprasīts no  valsts budžeta programmas 80.00.00 “Nesadalītais finansējums Eiropas Savienības politiku instrumentu un pārējās ārvalstu finanšu palīdzības līdzfinansēto projektu un pasākumu īstenošanai”, tad punkts “Cita informācija” ir jāpapildina ar informāciju norādot, ka projektu īstenošanai Modernizācijas fonda finansējuma daļa un valsts budžeta līdzfinansējuma daļa (tikai attiecībā uz valsts budžeta iestādēm) tiks pieprasīta no valsts budžeta programmas 80.00.00 “Nesadalītais finansējums Eiropas Savienības politiku instrumentu un pārējās ārvalstu finanšu palīdzības līdzfinansēto projektu un pasākumu īstenošanai”. Vienlaikus vēršam uzmanību, ka situācijā, ja valsts budžeta līdzfinansējuma apmēru plānots pieprasīt no 80.00.00 programmas, tad vēl jo būtiskāk ir noteikumu projektā paredzēt normas, kas paredz skaidru finansējuma apmēra regulējumu arī attiecībā uz līdzfinansējuma nodrošināšanu, ja projekta īstenotājs ir valsts budžeta iestāde, par ko norādīts iebildumā pie noteikumu projekta III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norādi uz līdzfinansējuma avotu un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 sadaļu un precizēt to, ņemot vērā, ka, piemēram, atbilstoši noteikumu projekta redakcijai,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19.4. apakšpunkts ievieš Komisijas 2014. gada 17. jūnija regulas (ES) Nr. 651/2014, ar ko  noteiktas atbalsta kategorijas atzīst par saderīgām ar iekšējo tirgu, piemērojot Līguma 107. un 108. pantu (turpmāk - Regula 651/2014) 6.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19.4. apakšpunkts ievieš "Regulas Nr. 615/2014 2. panta 23. punktu", bet 19.5. apakšpunkts: "Regulas Nr. 615/2014 6. panta 2. un 3. punktu" un "Regulas Nr. 615/2014 2. panta 23. punktu", kas ir šķietami nekorekti, jo tā neatbilst noteikumu projekta būtībai, iespējams domāta Regula 651/2014. Šādā gadījumā lūdzam precizēt arī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44., 47. un 58. punktā un 31.2. apakšpunktā ieviesta visa Komisijas 2023. gada 13. decembra regula (ES) Nr. 2023/2831 par Līguma par Eiropas Savienības darbību 107. un 108. panta piemērošanu de minimis atbalstam (turpmāk - 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45. punkts ievieš Regulas 2023/2831 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50., 51. un 58. punktā un 17.3. apakšpunktā ieviesta visa regula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19.4 apakšpunkts ievieš Regulas 651/2014 6.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56. punkts ievieš Regulas 651/2014 36.a un 36.b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38. punkts ievieš ne tikai Regulas 651/2014 36.a panta 7. punktu, bet arī visu 36.a pantu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punktiem, kuros paredzēta vispārīga atsauce uz visu regulu kopumā, iesakām izvērtēt, vai tiešām ar konkrēto noteikumu projekta vienību tiek ieviesta visa regula un ir nepieciešams ietvert vispārīgu atsauci uz visu regulu kopumā vai arī ir iespējams norādīt atsauci uz konkrētām regulas vienībām. Pamatojoties uz izvērtējumu, nepieciešamības gadījumā, lūdzam precizēt attiecīgās noteikumu projekta vienības un sniegt attiecīgus skaidrojumus arī anotācijas 5.4. apakšsadaļas 1. tabulā. Gadījumā, ja tomēr ir nepieciešama vispārīga atsauce uz regulu, iesakām papildināt anotāciju, konkrētāk norādot uz noteikumu projekta un regulas savstarpējo saistību un vispārīgo atsauču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procesā saglabājot vispārīgās atsauces uz abām iepriekš minētajām regulām, lūdzam anotācijas 5.4. apakšsadaļas 1. tabulas rīcības brīvības sadaļās skaidrot, vai un kā ir izmantota Eiropas Savienības tiesību aktā paredzētā rīcības brīvība dalībvalstij pārņemt vai ieviest noteiktas Eiropas Savienības tiesību akta normas? Kādēļ?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sniegt papildus skaidrojumus par veiktajiem precizējumiem anotācijas 5.4. apakšsadaļas 1. tabulas D ailē. Ņemot vērā, ka norādot uz stingrāku prasību noteikšanu, nekā paredzēts anotācijas 5.4. apakšsadaļas 1. tabulas A ailē norādītajā Eiropas Savienības tiesību akta vienībā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attiecīgu skaidrojumu par šādu prasību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norāda iespējamās alternatīvas (t. sk. alternatīvas, kas neparedz tiesiskā regulējuma izstrādi), kādos gadījumos būtu iespējams izvairīties no stingrāku prasību noteikšanas, nekā paredzēts attiecīgajos Eiropas Savienības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noteikumu projektā un anotācijas 5.4. apakšsadaļas 1. tabulas D ailē ietverto, secināts, ka, ņemot vērā, ka Komisijas 2014. gada 17. jūnija Regula (ES) Nr. 651/2014, ar ko noteiktas atbalsta kategorijas atzīst par saderīgām ar iekšējo tirgu, piemērojot Līguma 107. un 108. pantu attiecināma uz komersantiem (un pašvaldības vai tiešās pārvaldes iestādi, ja tās iesniegtais projekta iesniegums par šo noteikumu 18. punktā minētajām aktivitātēm kvalificējams kā komercdarbības atbalsta projekts, t.i., projekta ietvaros paredzēta saimniecisko darbību veikšana), šī noteikumu projekta ietvaros attiecībā uz komersantiem kā projekta iesniedzējiem netiek paredzētas stingrākas prasības kā noteiktas Regulā Nr. 651/2014. Ņemot vērā iepriekš minēto, veikts attiecīgs precizējums un 5.4. apakšsadaļas 1. tabulas D ailē pie attiecīgajiem Regulas Nr. 651/2014 panta punktiem, kuri pārņemti šajā noteikumu projektā, norādīts, ka tie neparedz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 sadaļā ietverto informāciju par regulu normu ieviešanu projektā. Piemēram, projekta 5. punktā ietverta atsauce uz Komisijas 2014. gada 17. jūnija regulas (ES) Nr. 651/2014, ar ko noteiktas atbalsta kategorijas atzīst par saderīgām ar iekšējo tirgu, piemērojot Līguma 107. un 108. pantu, 36.a un 36.b pantu, taču attiecīga informācija par to tabulā nav atspoguļota.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Komersantiem atbalstu aktivitāšu īstenošanai sniedz kā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Ja komersantam nav pieejams </w:t>
            </w:r>
            <w:r w:rsidR="00000000" w:rsidRPr="00000000" w:rsidDel="00000000">
              <w:rPr>
                <w:i w:val="1"/>
                <w:rtl w:val="0"/>
              </w:rPr>
              <w:t xml:space="preserve">de minimis</w:t>
            </w:r>
            <w:r w:rsidR="00000000" w:rsidRPr="00000000" w:rsidDel="00000000">
              <w:rPr>
                <w:rtl w:val="0"/>
              </w:rPr>
              <w:t xml:space="preserve"> limits vismaz granta ekvivalenta apmērā, atbalstu sniedz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651/2014) 36.a vai 36.b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precizēt noteikumu 4.punkta redakciju, svītrojot tajā vārdus "un de minimis atbalsta uzskaites veidlapu paraugiem", atbilstoši precizējot arī noteikumu 48.3.apakšpunktu.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 un attiecīgais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Komersantiem atbalstu aktivitāšu īstenošanai sniedz kā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Ja komersantam nav pieejams </w:t>
            </w:r>
            <w:r w:rsidR="00000000" w:rsidRPr="00000000" w:rsidDel="00000000">
              <w:rPr>
                <w:i w:val="1"/>
                <w:rtl w:val="0"/>
              </w:rPr>
              <w:t xml:space="preserve">de minimis</w:t>
            </w:r>
            <w:r w:rsidR="00000000" w:rsidRPr="00000000" w:rsidDel="00000000">
              <w:rPr>
                <w:rtl w:val="0"/>
              </w:rPr>
              <w:t xml:space="preserve"> limits vismaz granta ekvivalenta apmērā, atbalstu sniedz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651/2014) 36.a vai 36.b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projekta iesnieguma vērtēšanas procesa ietvaros tiek konstatēts, ka projekta iesniedzējs ir atzīts par vainīgu jebkurā no noziedzīgiem nodarījumiem, kas minēti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ietvert izziņas 7. un 8. punktā ietvertos skaidrojumus attiecībā uz izvēlēto pieeju. Papildus aicinām izvērtēt, vai noteikumu projekta 11.1. apakšpunktā, ja tas tiek saglabāts noteikumu projektā, nebūtu korektāk atsaukties uz visu Ministru kabineta 2023. gada 13. jūlija noteikumu Nr. 396 "Modernizācijas fonda darbības kārtības noteikumi un daudzgadu darbības programma" (turpmāk - noteikumi Nr. 396) 23. punktu, atbilstoši pārveidojot 11.1. apakšpunkta formulējumu. Attiecīgi aicinām izvērtēt un, ja nepieciešams,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skaidrojumiem no izziņas. Precizēts noteikumu projekta 11.1. apakšpunkts, ietverot atsauci uz MK noteikumu Nr. 396 23.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projekta iesnieguma vērtēšanas procesa ietvaros tiek konstatēts, ka uz projekta iesniedzēju ir attiecināms kāds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 punktā minētajiem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projekta iesniedzējs vai persona,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kādā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23.1.apakšpunktā minētajiem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13.1. apakšpunktu, svītrojot atsauci uz to, ka prokurora priekšraksts par sodu vai tiesas spriedums kļuvis neapstrīdams, jo gan priekšraksts par sodu, gan tiesas spriedums var kļūt nepārsūdzams, nevis neapstrīdams.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13.1. apakšpunkts (precizētajā redakcijā - 12.1.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projekta iesnieguma vērtēšanas procesa ietvaros tiek konstatēts, ka uz projekta iesniedzēju ir attiecināms kāds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 punktā minētajiem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pret projekta iesniedzēju ir vērsta prasība par līdzekļu atgūšanu no citām valsts atbalsta programmām vai projektiem saskaņā ar iepriekšēju Eiropas Komisijas lēmumu, ar ko atbalsts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13.4. apakšpunktā noteiktais dublē 49.3.apakšpunktā noteikto, attiecīgi aicinām pārskatīt un precizēt normas, kas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13.4. apakšpunkts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projekta iesnieguma vērtēšanas procesa ietvaros tiek konstatēts, ka uz projekta iesniedzēju ir attiecināms kāds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23.1.apakšpunktā minētajiem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12.1. apakšpunktu, ņemot vērā, ka uz projekta iesniedzēju attiecināms var būt normatīvā akta nosacījums, nevis nodarījums. Izslēgšanas kritērijs var būt, piemēram, ka projekta iesniedzējs ir atzīts par vainīgu jebkurā no noziedzīgiem nodarījumiem, kas minēti noteikumu Nr. 396 23.1.apakšpunktā.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 apakšpunkts precizēts atbilstoši saņemtajam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projekta iesnieguma vērtēšanas procesa ietvaros tiek konstatēts, ka uz projekta iesniedzēju ir attiecināms kāds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 punktā minētajiem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Konkursa ietvaros pieejamais kopējais Modernizācijas fonda finansējums ir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IV. nodaļas nosaukumu, svītrojot vārdu "tajās" vai citādi atbilstoši precizējot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IV.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Konkursa ietvaros pieejamais kopējais Modernizācijas fonda finansējums ir 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visās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"visās" kā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 (precizētajā redakcijā - 19.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atbilstoši Regulas Nr. </w:t>
            </w:r>
            <w:r w:rsidR="00000000" w:rsidRPr="00000000" w:rsidDel="00000000">
              <w:rPr>
                <w:rtl w:val="0"/>
              </w:rPr>
              <w:t xml:space="preserve">651/2014</w:t>
            </w:r>
            <w:r w:rsidR="00000000" w:rsidRPr="00000000" w:rsidDel="00000000">
              <w:rPr>
                <w:rtl w:val="0"/>
              </w:rPr>
              <w:t xml:space="preserve"> 6. panta 2. un 3. punktā minētajiem stimulējošas ietekmes nosacījumiem ir radušās pēc projekta līguma noslēgšanas ar Vides investīciju fondu, bet ne vēlāk kā līdz projekta īstenošanas termiņa beigām, ja finansējuma saņēmējs ir lielais komersants. Ja nosacījums nav ievērots un projekta īstenošana, atbilstoši Regulas Nr. </w:t>
            </w:r>
            <w:r w:rsidR="00000000" w:rsidRPr="00000000" w:rsidDel="00000000">
              <w:rPr>
                <w:shd w:fill="#e0ffff" w:val="clear"/>
                <w:rtl w:val="0"/>
              </w:rPr>
              <w:t xml:space="preserve">651/2014</w:t>
            </w:r>
            <w:r w:rsidR="00000000" w:rsidRPr="00000000" w:rsidDel="00000000">
              <w:rPr>
                <w:rtl w:val="0"/>
              </w:rPr>
              <w:t xml:space="preserve"> 2. panta 23. punktā noteiktajai definīcijai par darbu sākumu, ir uzsākta pirms projekta līguma noslēgšanas, tad visas projekta izmaksas tiek uzskatītas par neattiecināmajām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ietvaros netiek piešķirts atbalsts ah-hoc ietvaros, lūdzam šajā punktā dzēst atsauci uz Regulas Nr. 651/2014 6. panta 3. punktu, vēršam uzmanību, ka Regulas Nr. 651/2014 6. panta 3. punktu ir noteikts atsevišķs nosacījums lieliem uzņēmumiem piešķiramam ad hoc atbalstam (ārpus shēmas), kā arī lūdzam pārskatīt noteikumu 58.punkta nepieciešamību. Gadījumā, ja KEM plāno šo nosacījumu saglabāt, lūdzam papildināt anotācijas V sadaļu ar noteikumu 18.5 un 58.punkta izvērtējumu pret Komisijas regulu Nr.651/2014, nosakot, ka tiek paredzētas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18.5. apakšpunktā svītrota atsauce uz Regulas Nr. 651/2014 6. panta 3. punktu. Svītrots noteikumu projekta 58. punkts, attiecīgi precizēts arī noteikumu projekta 1. pielikums, svītrojot tajā 5.3.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atbilstoši Regulas Nr. </w:t>
            </w:r>
            <w:r w:rsidR="00000000" w:rsidRPr="00000000" w:rsidDel="00000000">
              <w:rPr>
                <w:rtl w:val="0"/>
              </w:rPr>
              <w:t xml:space="preserve">651/2014</w:t>
            </w:r>
            <w:r w:rsidR="00000000" w:rsidRPr="00000000" w:rsidDel="00000000">
              <w:rPr>
                <w:rtl w:val="0"/>
              </w:rPr>
              <w:t xml:space="preserve"> 6. panta 2. punktā minētajam stimulējošas ietekmes nosacījumam ir radušās pēc projekta līguma noslēgšanas ar Vides investīciju fondu, bet ne vēlāk kā līdz projekta īstenošanas termiņa beigām, ja finansējuma saņēmējs ir lielais komersants. Ja nosacījums nav ievērots un projekta īstenošana, atbilstoši Regulas Nr. </w:t>
            </w:r>
            <w:r w:rsidR="00000000" w:rsidRPr="00000000" w:rsidDel="00000000">
              <w:rPr>
                <w:shd w:fill="#e0ffff" w:val="clear"/>
                <w:rtl w:val="0"/>
              </w:rPr>
              <w:t xml:space="preserve">651/2014</w:t>
            </w:r>
            <w:r w:rsidR="00000000" w:rsidRPr="00000000" w:rsidDel="00000000">
              <w:rPr>
                <w:rtl w:val="0"/>
              </w:rPr>
              <w:t xml:space="preserve"> 2. panta 23. punktā noteiktajai definīcijai par darbu sākumu, ir uzsākta pirms projekta līguma noslēgšanas, tad visas projekta izmaksas tiek uzskatītas par neattiecināmajām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izmaksas, kas pārsniedz apstiprinātajā projekta iesniegumā un projekta līgumā paredzēto attiecināmo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projekta 23.2. apakšpunktu, ņemot vērā, ka projekta iesniegums ir neatņemama projekta līguma sastāvdaļa (sk. noteikumu Nr. 396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23.2. apakšpunkts (precizētajā redakcijā - 21.2.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izmaksas, kas pārsniedz projekta līgumā paredzēto attiecināmo izmaksu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elektromobiļa nobraukums starp pilnas uzlādes reizēm atbilstoši normatīvajiem aktiem par mopēdu, mehānisko transportlīdzekļu, to piekabju un sastāvdaļu atbilstības novērtēšanu testa braukšanas ciklam pilsētas apstākļos ir vismaz 150 km  un elektromobiļa maksimālais ātrums ir vismaz 90 km stundā. Ja atbilstības sertifikātā nav norādīts nobraucamais attālums starp uzlādes reizēm, tad nepieciešama transportlīdzekļa oficiālā dīlera izziņa ar apliecinājumu, ka transportlīdzeklis pilsētas apstākļos starp pilnas uzlādes reizēm spēj veikt vismaz 150 km nobraukumu;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terminu "oficiālais dīleris" aizvietot ar citu piemērotu normatīvajos aktos lietotu terminu vai to salāgot ar projekta 32. punktu, vai arī skaidrot teminu projektā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"oficiālais dīleris" aizvietots un salāgots ar noteikumu projekta 30.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elektromobiļa nobraukums starp pilnas uzlādes reizēm atbilstoši normatīvajiem aktiem par mopēdu, mehānisko transportlīdzekļu, to piekabju un sastāvdaļu atbilstības novērtēšanu testa braukšanas ciklam pilsētas apstākļos ir vismaz 150 km  un elektromobiļa maksimālais ātrums ir vismaz 90 km stundā. Ja atbilstības sertifikātā nav norādīts nobraucamais attālums starp uzlādes reizēm, tad nepieciešama komersanta, kas normatīvajos aktos noteiktajā kārtībā ierīkojis un reģistrējis transportlīdzekļu tirdzniecības vietu un ir transportlīdzekļa izgatavotāja oficiālais pārstāvis, izziņa ar apliecinājumu, ka transportlīdzeklis pilsētas apstākļos starp pilnas uzlādes reizēm spēj veikt vismaz 150 km nobraukumu;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iesniedzējs – komersants –,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aktivitātes ietvaros plāno iegādāties vismaz trīs elektromobiļus.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kādēļ projekta 27.3. apakšpunktā paredzēts, ka projekta iesniedzējs - komersants - noteikumu 20.1. apakšpunktā minētās atbalstāmās darbības ietvaros iegādājas vismaz trīs elektromobiļus, kā arī, kādēļ šāds nosacījums paredzēts tieši attiecībā uz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projekta iesniedzējs – komersants –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aktivitātes ietvaros plāno iegādāties vismaz trīs elektromobiļus.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komersantiem, kas plāno saņemt atbalstu saskaņā ar Regulas Nr. 651/2014 36.b pantu, - 25 % no elektromobiļa attiecināmajām izmaksām saskaņā ar Regulas Nr. 651/2014 36.b panta 6. un 7. punkta nosacījumiem, vienlaikus ievērojot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maksimāli pieejamo Modernizācijas fonda finansējumu minētās aktivitātes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5.1.tabulu papildināt ar noteikumu projekta 30.2.apakšpunkta izvērtējumu atbilstoši Regulas Nr. 651/2014 36.b panta 6. un 7. punktiem, vienlaikus norādot, ka noteikumi paredz stingrākas prasības, nekā nosaka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30.2. apakšpunktā noteiktā atbalsta intensitāte komersantiem, kas plāno saņemt atbalstu saskaņā ar Regulas Nr. 651/2014 36.b pantu, salāgota ar Regulas Nr. Regulas Nr. 651/2014, lai neparedzētu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komersantiem, kas plāno saņemt atbalstu saskaņā ar Regulas Nr. 651/2014 36.b pantu, - lielajiem komersantiem - 20 %, vidējiem komersantiem - 40% un mazajiem komersantiem - 50% no elektromobiļa attiecināmajām izmaksām saskaņā ar Regulas Nr. 651/2014 36.b panta 6. un 7. punkta nosacījumiem, vienlaikus ievērojot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maksimāli pieejamo Modernizācijas fonda finansējumu minētās aktivitātes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nodrošina šo noteikumu </w:t>
            </w:r>
            <w:r w:rsidR="00000000" w:rsidRPr="00000000" w:rsidDel="00000000">
              <w:rPr>
                <w:rtl w:val="0"/>
              </w:rPr>
              <w:t xml:space="preserve">18.1. </w:t>
            </w:r>
            <w:r w:rsidR="00000000" w:rsidRPr="00000000" w:rsidDel="00000000">
              <w:rPr>
                <w:rtl w:val="0"/>
              </w:rPr>
              <w:t xml:space="preserve">apakšpunkta</w:t>
            </w:r>
            <w:r w:rsidR="00000000" w:rsidRPr="00000000" w:rsidDel="00000000">
              <w:rPr>
                <w:rtl w:val="0"/>
              </w:rPr>
              <w:t xml:space="preserve"> ietvaros iegādātā elektromobiļa pastāvīgu reģistrāciju Latvijas Republikas teritorijā finansējuma saņēmēja īpašumā vai turējumā, ja līzinga periodā īpašnieks ir līzinga pakalpojuma sniedzējs, vismaz četrus gadus kopš tā iegādes brīža vai kamēr ar to veikts vismaz 80 000 km nobraukums (no tā reģistrācijas finansējuma saņēmēja īpašumā vai turējumā brīža), ja tas tiek sasniegts mazāk kā četros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- 25.06.2024.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nosaka prasību, kas jāizpilda finansiālā atbalsta saņēmējam. Attiecībā uz ikgadējo nobraukumu ar elektromobili, noteikumu projektā minētais rādītājs ir noteikts kā 80,000 km (4 gadu periodā). FICIL ieskatā, 20,000 km nobraukums gadā atsevišķiem uzņēmumiem (nozarēm) varētu būt būtisks izaicinājums. Piemēram, FICIL jau tagad ir informācija, ka ar transportu tieši saistītiem komersantiem, kuri ikdienā izmanto elektromobiļus, lai nodrošinātu pakalpojumus, ir sarežģīti konstanti sasniegt 20,000 km nobraukumu gadā, jo īpaši ņemot vērā, ka pilnvērtīgi (uz 100%) šādu transportu var izmantot tikai apmēram 10 mēnešus gadā (pie īpaši zemas gaisa temperatūras būtiski samazinās reāli nobraucamais km apjoms). FICIL aicina, konsultējoties ar nozari, vērtēt, vai noteiktais apjoms nav pārāk liels un tādējādi neatturēs komersantus no pieteikšanās finansiālajam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viedokli par noteikumu projektu elektroniski parakstītas vēstules formātā ir sniegusi biedrība "Auto Asociācija". Atbilstoši vēstulē sniegtajam viedoklim, attiecīgais nosacījums ir pamatots un atbilstošs, un pret to nav pausti iebildumi. Viedoklis balstīts faktā, ka saskaņā ar Valsts akciju sabiedrības "Ceļu satiksmes drošības direkcija" datiem, 2022. gadā vidējais nobraukums komersantiem ar M1 kategorijas transportlīdzekli bija nedaudz vairāk kā 20 000 km, ar M2 kategorijas transportlīdzekli gandrīz 35 000 km, ar N1 kategorijas transportlīdzekli nedaudz vairāk kā 23 000 km un ar N2 kategorijas transportlīdzekli nedaudz vairāk kā 17 000 km. Ņemot vērā iepriekš minētos statistikas datus, M2 un N1 kategorijas transportlīdzekļiem teorētiski varētu būtu nosakāms pat lielāks paredzamais nobraukums kā 20 000 km gadā (arī ietverts biedrības "Auto Asociācija" viedoklī), tomēr, lai nodrošinātu vienotu pieeju visiem konkursa ietvaros iegādātajiem transportlīdzekļiem, noteikumu projektā tiek saglabāts jau sākotnēji noteiktais nosacījums. Papildus norādām, ka pirms attiecīgā projektu konkursa nolikuma izstrādes, Latvija izskatīšanai Eiropas Investīciju bankai un Eiropas Komisijai iesniedz investīciju priekšlikumu par attiecīgo atbalsta pasākumu, savukārt finansējumu tā īstenošanai saņem tikai pēc investīciju priekšlikuma apstiprināšanas, un projekta konkursa nolikumā ietvertie nosacījumi ir noteikti saskaņā ar apstiprinātajā investīciju priekšlikumā ietvertajiem. Vienlaikus jāņem vērā, ka konkursa mērķis ir veicināt SEG emisiju samazināšanu, attiecīgi plašāku elektromobiļu izmantošanu, ar tiem pilnībā aizstājot transportlīdzekļu, kuri aprīkoti ar iekšdedzes dzinējiem,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nodrošina šo noteikumu </w:t>
            </w:r>
            <w:r w:rsidR="00000000" w:rsidRPr="00000000" w:rsidDel="00000000">
              <w:rPr>
                <w:rtl w:val="0"/>
              </w:rPr>
              <w:t xml:space="preserve">17.1. </w:t>
            </w:r>
            <w:r w:rsidR="00000000" w:rsidRPr="00000000" w:rsidDel="00000000">
              <w:rPr>
                <w:rtl w:val="0"/>
              </w:rPr>
              <w:t xml:space="preserve">apakšpunkta</w:t>
            </w:r>
            <w:r w:rsidR="00000000" w:rsidRPr="00000000" w:rsidDel="00000000">
              <w:rPr>
                <w:rtl w:val="0"/>
              </w:rPr>
              <w:t xml:space="preserve"> ietvaros iegādātā elektromobiļa pastāvīgu reģistrāciju Latvijas Republikas teritorijā finansējuma saņēmēja īpašumā vai turējumā, ja līzinga periodā īpašnieks ir līzinga pakalpojuma sniedzējs, vismaz četrus gadus pēc projekta īstenošanas termiņa beigām vai kamēr ar elektromobili veikts vismaz 80 000 km nobraukums (no tā reģistrācijas finansējuma saņēmēja īpašumā vai turējumā brīža), ja tas tiek sasniegts mazāk kā četros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šo noteikumu </w:t>
            </w:r>
            <w:r w:rsidR="00000000" w:rsidRPr="00000000" w:rsidDel="00000000">
              <w:rPr>
                <w:rtl w:val="0"/>
              </w:rPr>
              <w:t xml:space="preserve">20.1. </w:t>
            </w:r>
            <w:r w:rsidR="00000000" w:rsidRPr="00000000" w:rsidDel="00000000">
              <w:rPr>
                <w:rtl w:val="0"/>
              </w:rPr>
              <w:t xml:space="preserve">apakšpunkta</w:t>
            </w:r>
            <w:r w:rsidR="00000000" w:rsidRPr="00000000" w:rsidDel="00000000">
              <w:rPr>
                <w:rtl w:val="0"/>
              </w:rPr>
              <w:t xml:space="preserve"> ietvaros elektromobili iegādājas no elektromobiļa ražotāja vai komersanta, ko elektromobiļa ražotājs ir oficiāli pilnvarojis pārstāvēt tā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anotācijā vai precizēt projektā, kas un kā praktiski pārbaudīs projekta 32. punktā paredzēto nosacījumu par to, ka elektromobili iegādājas no elektromobiļa ražotāja vai komersanta, ko elektromobiļa ražotājs ir oficiāli pilnvarojis pārstāvēt tā intereses (proti, vai to dara finansējuma saņēmējs vai projektu iesniegumu vērtēšanas komisija, vērtējot iesniegumu - salīdzinājumam sk. Ministru kabineta 2014.gada 4.februāra noteikumu Nr.78 "Klimata pārmaiņu finanšu instrumenta finansēto projektu atklāta konkursa "Siltumnīcefekta gāzu emisijas samazināšana transporta sektorā – atbalsts elektromobiļu un to uzlādes infrastruktūras ieviešanai" nolikums" 29.4.2.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Attiecīgo nosacījumu pārbauda projektu iesniegumu vērtēšanas komisija.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w:t>
            </w:r>
            <w:r w:rsidR="00000000" w:rsidRPr="00000000" w:rsidDel="00000000">
              <w:rPr>
                <w:rtl w:val="0"/>
              </w:rPr>
              <w:t xml:space="preserve">17.1. </w:t>
            </w:r>
            <w:r w:rsidR="00000000" w:rsidRPr="00000000" w:rsidDel="00000000">
              <w:rPr>
                <w:rtl w:val="0"/>
              </w:rPr>
              <w:t xml:space="preserve">apakšpunkta</w:t>
            </w:r>
            <w:r w:rsidR="00000000" w:rsidRPr="00000000" w:rsidDel="00000000">
              <w:rPr>
                <w:rtl w:val="0"/>
              </w:rPr>
              <w:t xml:space="preserve"> ietvaros elektromobili iegādājas no elektromobiļa ražotāja vai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 un ko elektromobiļa ražotājs ir oficiāli pilnvarojis pārstāvēt tā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w:t>
            </w:r>
            <w:r w:rsidR="00000000" w:rsidRPr="00000000" w:rsidDel="00000000">
              <w:rPr>
                <w:rtl w:val="0"/>
              </w:rPr>
              <w:t xml:space="preserve">17.1. </w:t>
            </w:r>
            <w:r w:rsidR="00000000" w:rsidRPr="00000000" w:rsidDel="00000000">
              <w:rPr>
                <w:rtl w:val="0"/>
              </w:rPr>
              <w:t xml:space="preserve">apakšpunkta</w:t>
            </w:r>
            <w:r w:rsidR="00000000" w:rsidRPr="00000000" w:rsidDel="00000000">
              <w:rPr>
                <w:rtl w:val="0"/>
              </w:rPr>
              <w:t xml:space="preserve"> ietvaros elektromobili iegādājas no elektromobiļa ražotāja vai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 un ko elektromobiļa ražotājs ir oficiāli pilnvarojis pārstāvēt tā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skaidrojumu, kādēļ noteikumu projekta 34. punktā paredzēts ierobežojums elektromobili iegādāties tieši no tāda komersanta, ko elektromobiļa ražotājs ir oficiāli pilnvarojis pārstāvēt tā intereses, </w:t>
            </w:r>
            <w:r w:rsidR="00000000" w:rsidRPr="00000000" w:rsidDel="00000000">
              <w:rPr>
                <w:u w:val="single"/>
                <w:rtl w:val="0"/>
              </w:rPr>
              <w:t xml:space="preserve">kas ir reģistrēts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w:t>
            </w:r>
            <w:r w:rsidR="00000000" w:rsidRPr="00000000" w:rsidDel="00000000">
              <w:rPr>
                <w:rtl w:val="0"/>
              </w:rPr>
              <w:t xml:space="preserve">, skaidrojot šāda ierobežojuma nepieciešamību un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anotāciju, nodrošinot, ka tajā ietvertie skaidrojumi atbilst aktuālajai noteikumu projekta redakcijai, tostarp, bet ne tikai, attiecībā uz noteikumu projekta 34. punktā ietverto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w:t>
            </w:r>
            <w:r w:rsidR="00000000" w:rsidRPr="00000000" w:rsidDel="00000000">
              <w:rPr>
                <w:rtl w:val="0"/>
              </w:rPr>
              <w:t xml:space="preserve">17.1. </w:t>
            </w:r>
            <w:r w:rsidR="00000000" w:rsidRPr="00000000" w:rsidDel="00000000">
              <w:rPr>
                <w:rtl w:val="0"/>
              </w:rPr>
              <w:t xml:space="preserve">apakšpunkta</w:t>
            </w:r>
            <w:r w:rsidR="00000000" w:rsidRPr="00000000" w:rsidDel="00000000">
              <w:rPr>
                <w:rtl w:val="0"/>
              </w:rPr>
              <w:t xml:space="preserve"> ietvaros elektromobili iegādājas no elektromobiļa ražotāja vai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 un ko elektromobiļa ražotājs ir oficiāli pilnvarojis pārstāvēt tā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iesniedzējs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aktivitātes ietvaros var iegādāties un uzstādīt vienu vai vairākas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nepieciešams, salāgot projekta 36. punktu ar 20.3. apakšpunktu, kurā ir norāde arī uz </w:t>
            </w:r>
            <w:r w:rsidR="00000000" w:rsidRPr="00000000" w:rsidDel="00000000">
              <w:rPr>
                <w:u w:val="single"/>
                <w:rtl w:val="0"/>
              </w:rPr>
              <w:t xml:space="preserve">inženiertehnisko sistēmu un iekārtu</w:t>
            </w:r>
            <w:r w:rsidR="00000000" w:rsidRPr="00000000" w:rsidDel="00000000">
              <w:rPr>
                <w:rtl w:val="0"/>
              </w:rPr>
              <w:t xml:space="preserve">, kas ražo </w:t>
            </w:r>
            <w:r w:rsidR="00000000" w:rsidRPr="00000000" w:rsidDel="00000000">
              <w:rPr>
                <w:u w:val="single"/>
                <w:rtl w:val="0"/>
              </w:rPr>
              <w:t xml:space="preserve">vai uzkrāj</w:t>
            </w:r>
            <w:r w:rsidR="00000000" w:rsidRPr="00000000" w:rsidDel="00000000">
              <w:rPr>
                <w:rtl w:val="0"/>
              </w:rPr>
              <w:t xml:space="preserve"> enerģiju. Alternatīvi aicinām sniegt skaidrojumu, kādēļ precizējumi 36. punktā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punkts (precizētajā redakcijā - 34.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iesniedzējs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aktivitātes ietvaros var iegādāties un uzstādīt vienu vai vairākas elektroenerģijas ražošanas un enerģijas uzkrāšanas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39.1.2. ar jaudu virs 22 kW un līdz 150 kW, - līdz 12 000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ar noteikumu projekta anotācijā norādīto: ar jaudu virs 22 kW un zem</w:t>
            </w:r>
            <w:r w:rsidR="00000000" w:rsidRPr="00000000" w:rsidDel="00000000">
              <w:rPr>
                <w:b w:val="1"/>
                <w:rtl w:val="0"/>
              </w:rPr>
              <w:t xml:space="preserve"> </w:t>
            </w:r>
            <w:r w:rsidR="00000000" w:rsidRPr="00000000" w:rsidDel="00000000">
              <w:rPr>
                <w:rtl w:val="0"/>
              </w:rPr>
              <w:t xml:space="preserve">150 kW, - līdz 12 000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39.1.2. ar jaudu virs 22 kW un zem 150 kW, - līdz 12 000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ar jaudu virs 150 kW, - līdz 25 000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ar noteikumu projekta anotācijā precizēto redakciju: ar jaudu 150 kW un vairāk, - līdz 25 000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ar jaudu 150 kW un vairāk, - līdz 25 000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izmaksas, kas saistītas ar būvobjekta (elektromobiļa uzlādes punkta un ar to saistītās infrastruktūras) nodošanu ekspluatācijā saskaņā ar būvniecības jomu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"saskaņā ar būvniecības jomu reglamentējošajiem normatīvajiem aktiem" aizstāt ar atsauci "saskaņā ar normatīvajiem aktiem būvniecības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38.4. apakšpunkts (precizētajā redakcijā - 36.4.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izmaksas, kas saistītas ar būvobjekta (elektromobiļa uzlādes punkta un ar to saistītās infrastruktūras) nodošanu ekspluatācijā saskaņā ar normatīvajiem aktiem būvniecības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w:t>
            </w:r>
            <w:r w:rsidR="00000000" w:rsidRPr="00000000" w:rsidDel="00000000">
              <w:rPr>
                <w:i w:val="1"/>
                <w:rtl w:val="0"/>
              </w:rPr>
              <w:t xml:space="preserve">De minimis</w:t>
            </w:r>
            <w:r w:rsidR="00000000" w:rsidRPr="00000000" w:rsidDel="00000000">
              <w:rPr>
                <w:rtl w:val="0"/>
              </w:rPr>
              <w:t xml:space="preserve"> atbalstu uzskata par piešķirtu ar dienu, kad ir pieņemts lēmums par līdzfinansējuma piešķiršanu vai atzinums par lēmumā noteikto nosacījumu izpildi, ja ir bijis pieņemts lēmums par projekta iesnieguma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59.punkts faktiski dublē noteikumu projekta 52.punktā noteikto attiecībā uz de minimis atbalstu, aicinām izvērtēt dzēst noteikumu 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Komercdarbības atbalstu saskaņā ar Regulu Nr. </w:t>
            </w:r>
            <w:r w:rsidR="00000000" w:rsidRPr="00000000" w:rsidDel="00000000">
              <w:rPr>
                <w:rtl w:val="0"/>
              </w:rPr>
              <w:t xml:space="preserve">651/2014 </w:t>
            </w:r>
            <w:r w:rsidR="00000000" w:rsidRPr="00000000" w:rsidDel="00000000">
              <w:rPr>
                <w:rtl w:val="0"/>
              </w:rPr>
              <w:t xml:space="preserve"> projekta iesniedzējam piešķir, ja ievēroti arī visi šādi Regulas Nr. </w:t>
            </w:r>
            <w:r w:rsidR="00000000" w:rsidRPr="00000000" w:rsidDel="00000000">
              <w:rPr>
                <w:rtl w:val="0"/>
              </w:rPr>
              <w:t xml:space="preserve">651/2014</w:t>
            </w:r>
            <w:r w:rsidR="00000000" w:rsidRPr="00000000" w:rsidDel="00000000">
              <w:rPr>
                <w:rtl w:val="0"/>
              </w:rPr>
              <w:t xml:space="preserve"> ​​​​​​​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49. punktu, konkretizējot subjektu un tiesību vai pienākumu (kam kas ir jāievēro vai kam kas ir jāpārbauda), tādējādi veidojot skaidru un nepārprotamu tiesību normu. Papildus norādām, ka projekta 49.3. apakšpunkts, šķiet, dublē 13.4. apakšpunktu. Attiecīgi aicinām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54. punkts (precizētajā redakcijā - 51.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Komersantiem, kas plāno saņemt atbalstu saskaņā ar Regulu Nr. </w:t>
            </w:r>
            <w:r w:rsidR="00000000" w:rsidRPr="00000000" w:rsidDel="00000000">
              <w:rPr>
                <w:rtl w:val="0"/>
              </w:rPr>
              <w:t xml:space="preserve">651/2014</w:t>
            </w:r>
            <w:r w:rsidR="00000000" w:rsidRPr="00000000" w:rsidDel="00000000">
              <w:rPr>
                <w:rtl w:val="0"/>
              </w:rPr>
              <w:t xml:space="preserve">, jāievēro arī visi šādi Regulas Nr. </w:t>
            </w:r>
            <w:r w:rsidR="00000000" w:rsidRPr="00000000" w:rsidDel="00000000">
              <w:rPr>
                <w:rtl w:val="0"/>
              </w:rPr>
              <w:t xml:space="preserve">651/2014</w:t>
            </w:r>
            <w:r w:rsidR="00000000" w:rsidRPr="00000000" w:rsidDel="00000000">
              <w:rPr>
                <w:rtl w:val="0"/>
              </w:rPr>
              <w:t xml:space="preserv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Lielais komersants, kas plāno īstenot kādu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aktivitātēm saskaņā ar Regulu </w:t>
            </w:r>
            <w:r w:rsidR="00000000" w:rsidRPr="00000000" w:rsidDel="00000000">
              <w:rPr>
                <w:rtl w:val="0"/>
              </w:rPr>
              <w:t xml:space="preserve">Nr. 651/2014</w:t>
            </w:r>
            <w:r w:rsidR="00000000" w:rsidRPr="00000000" w:rsidDel="00000000">
              <w:rPr>
                <w:rtl w:val="0"/>
              </w:rPr>
              <w:t xml:space="preserve">, pirms projekta īstenošanas uzsākšanas un projekta īstenošanas laikā izpilda minētās regulas 8. panta 3. punktā noteiktās prasības, kā arī aizpilda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51. punktā ietverto atsauci uz Regulas Nr. 651/2014 8. panta 3. punktā noteiktajām "prasībām" vai kā citādi precizēt punktu. Proti, minētajā regulas normā nav paredzēta gluži kāda prasība, kas jāievēro, bet gan atbalsta kumulēšanas iespējas. Attiecīgi aicinām redakcionāli precizēt normu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punkts (precizētajā redakcijā - 54. punkts) precizēts. Atsauci paredzēts sniegt uz Regulas Nr. 651/2014 6. panta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Komercdarbības atbalsta piešķiršanas brīdis ir diena, kad tiek pieņemts Vides investīciju fonda lēmums par projekta iesnieguma apstiprināšanu vai izdots atzinums par lēmumā noteikto nosacījumu izpildi, ja iepriekš ir bijis pieņemts lēmums par projekta iesnieguma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noteikumu projektu un izvērtēt, vai un kā noteikumu projektā ietvertais regulējums atbilst noteikumu Nr. 396 16. punktam, kas citstarp noteic, ka projektu iesniegumus izskata, vērtē un pieņem lēmumu par projekta iesnieguma apstiprināšanu, apstiprināšanu ar nosacījumiem vai noraidīšanu projektu iesniegumu vērtēšanas komisija. Attiecīgi aicinām izvērtēt, vai dažviet noteikumu projektā (sk., piemēram, bet ne tikai noteikumu projekta 59. punktu) nebūtu veicami precizējumi, norādot uz projektu iesniegumu vērtēšanas komisiju, nevis Vides investīciju fondu. Ja nepieciešams, aicinām precizēt projektu. Alternatīvi aicinām sniegt skaidrojumu par normu piemērošanu kontekstā ar noteikumu Nr. 396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kā rezultātā precizēts noteikumu projekta 59. punkts (precizētajā redakcijā - 57. punkts), 68. punkts, 78.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Komercdarbības atbalsta piešķiršanas brīdis ir diena, kad tiek pieņemts lēmums par projekta iesnieguma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Projektu iesniegumu iesniegšanas termiņš ir ne mazāks kā 30 darbadienas pēc projektu iesniegumu konkursa atlases uzsākšanas.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projekta 62. punkta atbilstību noteikumu Nr. 396 15.1. apakšpunktam. Proti, no projekta 62. punkta izriet termiņš "</w:t>
            </w:r>
            <w:r w:rsidR="00000000" w:rsidRPr="00000000" w:rsidDel="00000000">
              <w:rPr>
                <w:i w:val="1"/>
                <w:rtl w:val="0"/>
              </w:rPr>
              <w:t xml:space="preserve">ne mazāk kā 30 darba dienas pēc projektu iesniegumu konkursa atlases uzsākšanas</w:t>
            </w:r>
            <w:r w:rsidR="00000000" w:rsidRPr="00000000" w:rsidDel="00000000">
              <w:rPr>
                <w:rtl w:val="0"/>
              </w:rPr>
              <w:t xml:space="preserve">", bet noteikumu Nr. 396 15.1. apakšpunktā noteikts termiņš "</w:t>
            </w:r>
            <w:r w:rsidR="00000000" w:rsidRPr="00000000" w:rsidDel="00000000">
              <w:rPr>
                <w:i w:val="1"/>
                <w:rtl w:val="0"/>
              </w:rPr>
              <w:t xml:space="preserve">vismaz mēnesi pirms atlases uzsākšanas</w:t>
            </w:r>
            <w:r w:rsidR="00000000" w:rsidRPr="00000000" w:rsidDel="00000000">
              <w:rPr>
                <w:rtl w:val="0"/>
              </w:rPr>
              <w:t xml:space="preserve">". Nepieciešamības gadījumā lūdzam veikt tiesību normu salāgošanai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 vienlaikus sniedzot skaidrojumu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Projektu iesniegumu iesniegšanas termiņš ir ne mazāks kā 30 darbadienas pēc projektu konkursa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piedalītos konkursā, projekta iesnieguma iesniedzējs aizpilda un elektroniska dokumenta veidā, kas sagatavots atbilstoši normatīvajiem aktiem par elektronisko dokumentu noformēšanu, iesniedz Vides investīciju fondā projekta iesnieguma veidlapu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papildus iesniedzamos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likumu, kurā noteikts, ka projekta iesniedzējam ir pienākums projekta iesniegumu iesniegt elektroniskā dokumenta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kādēļ izvēlēts risinājums projekta iesniegumu iesniegt elektroniska dokumenta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Lai piedalītos konkursā, projekta iesnieguma iesniedzējs aizpilda un elektroniska dokumenta veidā, kas sagatavots atbilstoši normatīvajiem aktiem par elektronisko dokumentu noformēšanu, iesniedz Vides investīciju fondā projekta iesnieguma veidlapu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papildus iesniedzamos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apliecinājums par šo noteikumu 17.1. un 17.2. apakšpunktā minēto aktivitāšu izmantošanas nosacījumu ievērošanu atbilstoši 17. punkta nosacījumiem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65.5. apakšpunktā korekti ietverta atsauce uz noteikumu </w:t>
            </w:r>
            <w:r w:rsidR="00000000" w:rsidRPr="00000000" w:rsidDel="00000000">
              <w:rPr>
                <w:u w:val="single"/>
                <w:rtl w:val="0"/>
              </w:rPr>
              <w:t xml:space="preserve">17. punkta</w:t>
            </w:r>
            <w:r w:rsidR="00000000" w:rsidRPr="00000000" w:rsidDel="00000000">
              <w:rPr>
                <w:rtl w:val="0"/>
              </w:rPr>
              <w:t xml:space="preserve"> nosacījumiem. Proti, pašā 17. punkta ievaddaļā konkrēti nosacījumi nav ietverti, turklāt, ja minētais apakšpunkts faktiski paredz to pašu, ko noteikumu projekta 6. punkta 3. teikums, aicinām novērst normu dublēšanos. Attiecīgi aicinām izvērtēt un, ja nepieciešams, precizēt noteikumu projektu vai sniegt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6.punkts, svītrojot 3.teikumu. Precizēts MK noteikumu projekta 65.5.apakšpunkts.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apliecinājums par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aktivitāšu izmantošanas nosacījumu ievērošanu atbilstoši šo noteikumu </w:t>
            </w:r>
            <w:r w:rsidR="00000000" w:rsidRPr="00000000" w:rsidDel="00000000">
              <w:rPr>
                <w:rtl w:val="0"/>
              </w:rPr>
              <w:t xml:space="preserve">6. </w:t>
            </w:r>
            <w:r w:rsidR="00000000" w:rsidRPr="00000000" w:rsidDel="00000000">
              <w:rPr>
                <w:rtl w:val="0"/>
              </w:rPr>
              <w:t xml:space="preserve">punkta</w:t>
            </w:r>
            <w:r w:rsidR="00000000" w:rsidRPr="00000000" w:rsidDel="00000000">
              <w:rPr>
                <w:rtl w:val="0"/>
              </w:rPr>
              <w:t xml:space="preserve"> nosacījumiem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vairāki projektu iesniegumi ir saņēmuši vienādu punktu skaitu prioritāte ir projekta iesniegumam, kurā plānotais kopējais projekta īstenošanas rezultātā panāktais SEG emisiju samazinājums (aprēķinus veic Vides investīciju fonds balstoties uz projekta iesniegumā norādītajiem datiem) ir lielāks: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izziņas 1. punkta 7) apakšpunktā skaidroto, iesakām pārskatīt, vai tiešām ir veikti precizējumi un tie ir veikti korekti. Proti, no izziņas saprotams, ka ir precizēts noteikumu projekta 76. punkts (atbilstoši noteikumu Nr. 396 27. un 28. punktam). Salīdzinot noteikumu projekta sākotnējo un precizēto redakciju nav veikti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iepriekšējās redakcijas 75. punkts (esošā redakcijā - 76. punkts) nav precizēts, jo iepriekšējā saskaņošanas posmā par to nav ticis saņemts iebildums. Precizēts ir noteikumu projekta </w:t>
            </w:r>
            <w:r w:rsidR="00000000" w:rsidRPr="00000000" w:rsidDel="00000000">
              <w:rPr>
                <w:u w:val="single"/>
                <w:rtl w:val="0"/>
              </w:rPr>
              <w:t xml:space="preserve">iepriekšējās</w:t>
            </w:r>
            <w:r w:rsidR="00000000" w:rsidRPr="00000000" w:rsidDel="00000000">
              <w:rPr>
                <w:rtl w:val="0"/>
              </w:rPr>
              <w:t xml:space="preserve"> redakcijas 76. punkts (esošā redakcijā - 79. punkts) atbilstoši iepriekš saņemtajam iebildumam. Vienlaikus MK noteikumu Nr. 396 27. un 28. punkts attiecas uz projekta līguma saturu, kā rezultātā tika precizēti atsevišķi nosacījumi noteikumu projekta XI. nodaļā, lai salāgotu tos ar MK noteikumos Nr. 396 jau ietvertajiem nosacījumiem attiecībā uz projekta līguma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vairāki projektu iesniegumi ir saņēmuši vienādu punktu skaitu prioritāte ir projekta iesniegumam, kurā plānotais kopējais projekta īstenošanas rezultātā panāktais SEG emisiju samazinājums (aprēķinus veic vērtēšanas komisija, balstoties uz projekta iesniegumā norādītajiem datiem) ir lielāks: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Administratīvo aktu vai pārvaldes lēmumu par projekta iesnieguma apstiprināšanu, apstiprināšanu ar nosacījumu vai noraidīšanu Vides investīciju fonds paziņo projekta iesniedzējam piecu darbdienu laikā pēc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76. punktu, jo tas dublē projekta 80.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76.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Administratīvo aktu vai pārvaldes lēmumu par projekta iesnieguma apstiprināšanu, apstiprināšanu ar nosacījumu vai noraidīšanu Vides investīciju fonds paziņo projekta iesniedzējam piecu darbdienu laikā pēc lēmuma pieņemšanas.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Īpašuma tiesības attiecībā uz projekta ietvaros atbalstītajiem infrastruktūras objektiem nemaina, un ieguldījums paliek Latvijas Republikas teritorijā vismaz četrus gadus pēc projekta noslēguma maksājuma veikšanas finansējuma saņēmējam. Īpašuma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atkāpi par pašvaldības īpašuma nodošanu pašvaldības iestādes pārvaldībā, nav nepieciešams precizēt projekta 92. punktu attiecībā arī uz valsts pārvaldes iestādēm, ņemot vērā, ka tās arī var būt projekta iesniedzēji (sal. skat., piemēram, Ministru kabineta 2016. gada 29. marta noteikumu Nr. 188 "Darbības programmas "Izaugsme un nodarbinātība" 5.6.1. specifiskā atbalsta mērķa "Veicināt Rīgas pilsētas revitalizāciju, nodrošinot teritorijas efektīvu sociālekonomisko izmantošanu" īstenošanas noteikumi"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punkts (precizētajā redakcijā - 89. punkts) precizēts, ietverot nosacījuma piemērošanu arī attiecībā uz valsts pārvaldes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Īpašuma tiesības attiecībā uz projekta ietvaros atbalstītajiem infrastruktūras objektiem nemaina, un ieguldījums paliek Latvijas Republikas teritorijā vismaz četrus gadus pēc projekta noslēguma maksājuma veikšanas finansējuma saņēmējam. Īpašuma tiesības nostiprina zemesgrāmatā, izņemot gadījumu, ja īpašumtiesības uz īpašuma objektu ir spēkā bez to nostiprināšanas zemesgrāmatā, vai īpašumtiesības ir nostiprinātas uz valsts vārda ministrijas personā vai uz valsts kapitālsabiedrības vārda un infrastruktūru izmanto valsts iestāde vai kapitālsabiedrība valsts pārvaldes funkciju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finansējuma saņēmējs ir valsts budžeta iestāde, līdzfinansējumu nodrošina no valsts budžeta un maksājumus veic no līdzekļiem, kas projekta īstenošanai paredzēti tās ministrijas budžetā, kuras padotībā ir attiecīgā valsts budžeta iestāde, nepieprasot papildus finanšu līdzekļus no valsts budžeta. Modernizācijas fonda finansējuma daļu projekta īstenošanai plāno kā dotāciju no vispārējiem ieņēmumiem vai ministrijas transferta pārskaitījumu no valsts pamatbudžeta dotācijas no vispārējiem ieņēmumiem atsevišķā budžeta programmā vai apakšprogrammā. Valsts budžeta iestādes saņem maksājumus saskaņā ar projekta līgumā noteikto kārtību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plānoto maksājumu kārtību attiecībā uz  pašvaldībām un to padotības iestādēm, paredzot iespēju saņemt avansa maksājumu pēc līguma par projekta īstenošanu noslēgšanas, kā arī iespēju projekta līdzfinansēšanai saņemt aizņēmumu Valsts kasē. Tādejādi tiks nodrošinātas iespējas pašvaldībām īstenot vairākus finansiāli ietilpīgus projektus vienlaicīgi, neradot pārmērīgu slogu pašvaldības budžetam. Atbilstoši iepriekš minētajam, vienlaikus vēlamies norādīt, ka pašvaldības finanšu pieejamības trūkuma dēļ var neatbalstīt šāda veida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finansējuma saņēmējs ir valsts budžeta iestāde, līdzfinansējumu nodrošina no valsts budžeta un maksājumus veic no līdzekļiem, kas projekta īstenošanai paredzēti tās ministrijas budžetā, kuras padotībā ir attiecīgā valsts budžeta iestāde, nepieprasot papildus finanšu līdzekļus no valsts budžeta. Modernizācijas fonda finansējuma daļu projekta īstenošanai plāno kā dotāciju no vispārējiem ieņēmumiem vai ministrijas transferta pārskaitījumu no valsts pamatbudžeta dotācijas no vispārējiem ieņēmumiem atsevišķā budžeta programmā vai apakšprogrammā. Valsts budžeta iestādes saņem maksājumus saskaņā ar projekta līgumā noteikto kārtību un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Finansējuma saņēmējs projekta īstenošanas pārskatu iesniedz elektroniski kopā ar projekta līgumā minētajiem pamatojošajiem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lūgumu noteikt, kad (kādā termiņā) finansējuma saņēmējs iesniedz projekta īstenošanas pārskatu vai arī sniegt skaidrojumu, kur tas ir vai tiks paredzēts. Vēršam uzmanību, ka izziņas 51. punktā skaidrojums par to, ka termiņš noteikts noteikumu projekta 104. punktā ir šķietam neprecīzs. Proti, noteikumu projekta 96. punktā minēta nepieciešamība iesniegt "projekta īstenošanas pārskatu", bet 104. punktā noteikti termiņi "monitoringa pārskatu" iesniegšanai, kas domājams nav viens un tas pats.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pārskata iesniegšanas termiņš tiks noteikts projekta līgumā, attiecīgi papildināts noteikumu projekta 96.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projekta īstenošanas pārskatu iesniedz elektroniski projekta līgumā norādītajā termiņā kopā ar projekta līgumā minētajiem pamatojošajiem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pārskatu iesniedz elektroniski kopā ar projekta līgumā minētajiem pamatojošajiem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norādīt, par kādu pārskatu ir runa (proti, projekta īstenošanas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projekta īstenošanas pārskatu iesniedz elektroniski projekta līgumā norādītajā termiņā kopā ar projekta līgumā minētajiem pamatojošajiem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pārskatu iesniedz elektroniski kopā ar projekta līgumā minētajiem pamatojošajiem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kad (kādā termiņā) finansējuma saņēmējs iesniedz projekta īstenošanas pārskatu vai arī sniegt skaidrojumu, kur tas ir vai tiks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noteikumu projekta 104.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projekta īstenošanas pārskatu iesniedz elektroniski projekta līgumā norādītajā termiņā kopā ar projekta līgumā minētajiem pamatojošajiem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Finansējuma saņēmējs četrus gadus pēc projekta īstenošanas beigu termiņa katru gadu veic monitoringu par sasniegto elektromobiļa nobraukumu gadā, saražoto elektroenerģijas apjomu ar projekta ietvaros iegādāto un uzstādīto atjaunīgo energoresursu ražošanas iekārtu un projekta ietvaros uzstādītās elektromobiļu uzlādes infrastruktūras patērētās elektroenerģijas apjomu, un līdz katra nākamā gada trīsdesmitajai dienai pēc projekta īstenošanas iesniedz monitoringa pārskatu Vides investīciju fondā Modernizācijas fonda projektu elektroniskajā monitoringa sistēmā (EMSI).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108.punkta (un 117.punktu arī ).sakarā. Proti, nav saprotams, kas ir domāts ar projekta īstenošanas beigu termiņu, noteikumos tas nav skaidri pateikts (No tā ir atkarīga arī 108.p. noteikto prasību izpilde). Mūsu izpratnē tas ir pēc uzraudzības perioda beigām. Ja tas ir tā, tad būtu jābūt citai piesaistei.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beigu termiņš - skaidrojums, kādos gadījumos projekts uzskatāms par īstenotu - skaidrots noteikumu projekta 3. punktā. Monitoringa periods ilgst četrus gadus pēc transportlīdzekļa iegādes - konkursa ietvaros atbalstāmās aktivitātes īstenošanas (ja netiek pagarināts atbilstoši noteikumu projekta 107. punktam), attiecīgi pēc projekta īstenošanas noslēguma pārskata iesniegšanas. Projekta īstenošanas pārskatu saturs un iesniegšanas termiņi tiek noteikti projekta līgumā.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Finansējuma saņēmējs vismaz četrus gadus pēc projekta īstenošanas termiņa beigām katru gadu veic monitoringu par sasniegto elektromobiļa nobraukumu gadā, saražoto elektroenerģijas apjomu ar projekta ietvaros iegādāto un uzstādīto atjaunīgo energoresursu ražošanas iekārtu un projekta ietvaros uzstādītās elektromobiļu uzlādes infrastruktūras patērētās elektroenerģijas apjomu un līdz katra nākamā gada trīsdesmitajai dienai pēc projekta īstenošanas termiņa beigām iesniedz monitoringa pārskatu Vides investīciju fonda Modernizācijas fonda projektu elektroniskajā monitoringa sistēmā (EMSI).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Finansējuma saņēmējs vismaz četrus gadus pēc projekta īstenošanas vai līdz brīdim, kad ar transportlīdzekli veiktais nobraukums (no brīža, kad transportlīdzeklis reģistrēts finansējuma saņēmēja īpašumā vai turējumā) sasniedz vismaz 80 000 km, nodrošina projekta ietvaros iegādāto elektromobiļu ekspluatāciju atbilstoši normatīvajiem aktiem par transportlīdzekļu valsts tehniskās apskates un tehniskās kontroles uz ceļa jomā un elektromobiļa pastāvīgu reģistrāciju Latvijas Republikas teritorijā uz finansējuma saņēmēja vai līzinga pakalpojuma sniedzēja vārda un nodrošina, ka netiek veikta elektromobiļa atsavināšana, kā rezultātā notiktu īpašumtiesību maiņa (izņemot gadījumu, ja finansējuma saņēmējs kļūst par transportlīdzekļa īpašnieku līzinga pakalpojuma sniedzēja vietā). Ja finansējuma saņēmējs monitoringa periodā nespēj nodrošināt nosacījumu par vismaz 80 000 km nobraukumu (no tā reģistrācijas finansējuma saņēmēja īpašumā vai turējumā brīža), noslēdzoties monitoringa periodam, ir pieļaujama elektromobiļa faktiskā nobraukuma nobīde uz leju 20 %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sniegt izvērstāku pamatojumu noteikumu projekta 33. un 110. punktā paredzētajiem īpašumtiesību ierobežojumiem, skaidrojot to mērķi, nepieciešamību un samērīgumu. Papildus aicinām skaidrot, kādas sekas finansējuma saņēmējam ir gadījumā, ja ierobežojums tomēr tiek pārkāpts.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izvērtēt, vai noteikumu projekta 112. punktā nevajadzētu būt atsaucei arī uz 110. punktu. Ja atsauce nav nepieciešama, aicinām tiesiskās skaidrības labad izvērtēt, vai noteikumu projektā ir ietverts pietiekams regulējums attiecībā uz sekām, ja projekta 110. punktā ietvertais ierobežojums tiek pārkāpts. Līdzīgu izvērtējumu aicinām veikt arī attiecībā uz noteikumu projekta 33. punktu.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Noteikumu projekta 112. punkts (precizētajā redakcijā - 110. punkts) papildināts ar atsauci uz 110. punktu (precizētajā redakcijā - 108. punktu). Savukārt, kas attiecas uz noteikumu projekta 33. punktu - ņemot vērā, ka tajā ietverts nosacījums, kas attiecināms uz īpašumtiesību saglabāšanu, kas ietverts arī noteikumu projekta 108. punktā (šajā punktā ietverts nosacījums arī par jau 32. punktā noteikto pastāvīgu reģistrāciju Latvijas Republikas teritorijā), uz kuru atsauce norādīta noteikumu projekta 110. punktā - noteikumu projekta 110. punktā netiek ietverta atsauce uz 33.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Finansējuma saņēmējs nodrošina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noteikto prasību izpildi. Ja finansējuma saņēmējs monitoringa periodā nespēj nodrošināt nosacījumu par vismaz 80 000 km nobraukumu (no elektromobiļa reģistrācijas finansējuma saņēmēja īpašumā vai turējumā brīža), noslēdzoties monitoringa periodam, ir pieļaujama elektromobiļa faktiskā nobraukuma nobīde uz leju 20 %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Vides investīciju fonds konstatē, ka atbalsta saņēmējs nenodrošina šo noteikumu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110. </w:t>
            </w:r>
            <w:r w:rsidR="00000000" w:rsidRPr="00000000" w:rsidDel="00000000">
              <w:rPr>
                <w:rtl w:val="0"/>
              </w:rPr>
              <w:t xml:space="preserve">punktā</w:t>
            </w:r>
            <w:r w:rsidR="00000000" w:rsidRPr="00000000" w:rsidDel="00000000">
              <w:rPr>
                <w:rtl w:val="0"/>
              </w:rPr>
              <w:t xml:space="preserve"> minēto prasību izpildi, Vides investīciju fonds par to rakstiski informē atbalsta saņēmēju un pieņem lēmumu par atbalsta saņēmējam piešķirtā finanšu instrumenta finansējuma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109. punktā ietverto atsauci uz projekta 110. punktu, jo tajā nav paredzēta konkrēta prasība, ko finansējuma saņēmējs izpilda, bet gan atgūstāmo neattiecināmo līdzekļu apjomu noteikšanas formula.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korekto noteikumu projekta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Vides investīciju fonds konstatē, ka finansējuma saņēmējs nenodrošina šo noteikumu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minēto prasību izpildi, Vides investīciju fonds par to rakstiski informē finansējuma saņēmēju un pieņem lēmumu par finansējuma saņēmējam piešķirtā Modernizācijas fonda finansējuma atgūšanu.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Vides investīciju fonds konstatē, ka finansējuma saņēmējs nenodrošina šo noteikumu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minēto prasību izpildi, Vides investīciju fonds par to rakstiski informē finansējuma saņēmēju un pieņem lēmumu par finansējuma saņēmējam piešķirtā Modernizācijas fonda finansējuma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88. punktā ietverts šāds skaidrojums: "</w:t>
            </w:r>
            <w:r w:rsidR="00000000" w:rsidRPr="00000000" w:rsidDel="00000000">
              <w:rPr>
                <w:i w:val="1"/>
                <w:rtl w:val="0"/>
              </w:rPr>
              <w:t xml:space="preserve">Savukārt, kas attiecas uz noteikumu projekta 33. punktu - ņemot vērā, ka tajā ietverts nosacījums, kas attiecināms uz īpašumtiesību saglabāšanu, kas ietverts arī noteikumu projekta 108. punktā (šajā punktā ietverts nosacījums arī par jau 32. punktā noteikto pastāvīgu reģistrāciju Latvijas Republikas teritorijā), uz kuru atsauce norādīta noteikumu projekta 110. punktā - noteikumu projekta 110. punktā netiek ietverta atsauce uz 33.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izvērtēt izziņā norādītā apgalvojuma korektumu, ņemot vērā noteikumu projekta 33. punkta gramatiskā formulējuma atšķirības no 108. punkta (piemēram, noteikumu projekta 33. punktā četru gadu periods skaitāms no elektromobiļa iegādes brīža, savukārt 108. punkta - pēc projekta īstenošanas, kas, ņemot vēra noteikumu projekta 3. punktu, varētu nebūt viens un tas pats). Attiecīgi aicinām izvērtēt, vai attiecībā uz noteikumu projekta 32. un 33. punktā paredzēto nosacījumu neievērošanu ir paredzētas konkrētas sekas noteikumu projektā (analoģiski noteikumu projekta 110. punktā paredzētajām sekām). Papildus aicinām izvērtēt un precizēt noteikumu projektu vai anotācijā skaidrot, kādēļ noteikumu projekta 108. punktā, atšķirībā no noteikumu projekta 33. punkta, netiek norādīts uz izņēmuma gadījumu, kad ierobežojums nav piemērojams (proti, "</w:t>
            </w:r>
            <w:r w:rsidR="00000000" w:rsidRPr="00000000" w:rsidDel="00000000">
              <w:rPr>
                <w:i w:val="1"/>
                <w:rtl w:val="0"/>
              </w:rPr>
              <w:t xml:space="preserve">izņemot gadījumu, kad iegādātais transportlīdzeklis ir nozagts vai atzīts par bojā gājušu tādu apstākļu dēļ, kur nav konstatēta finansējuma saņēmēja vaina, un īpašuma tiesības uz transportlīdzekli iegūst apdrošināšanas sabiedrība</w:t>
            </w:r>
            <w:r w:rsidR="00000000" w:rsidRPr="00000000" w:rsidDel="00000000">
              <w:rPr>
                <w:rtl w:val="0"/>
              </w:rPr>
              <w:t xml:space="preserve">"). Savukārt, ja izvērtējuma rezultātā attiecībā uz 32., 33. un 108. punktu tiek secināts, ka normās ietvertais regulējums daļēji vai pilnībā dublējas, aicinām novērst normu dublēšanos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32., 33. un 109.punkts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Vides investīciju fonds konstatē, ka finansējuma saņēmējs nenodrošina šo noteikumu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minēto prasību izpildi, Vides investīciju fonds par to rakstiski informē finansējuma saņēmēju un pieņem lēmumu par finansējuma saņēmējam piešķirtā Modernizācijas fonda finansējuma atgūšanu.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 šo noteikumu </w:t>
            </w:r>
            <w:r w:rsidR="00000000" w:rsidRPr="00000000" w:rsidDel="00000000">
              <w:rPr>
                <w:rtl w:val="0"/>
              </w:rPr>
              <w:t xml:space="preserve">111. </w:t>
            </w:r>
            <w:r w:rsidR="00000000" w:rsidRPr="00000000" w:rsidDel="00000000">
              <w:rPr>
                <w:rtl w:val="0"/>
              </w:rPr>
              <w:t xml:space="preserve">punktā</w:t>
            </w:r>
            <w:r w:rsidR="00000000" w:rsidRPr="00000000" w:rsidDel="00000000">
              <w:rPr>
                <w:rtl w:val="0"/>
              </w:rPr>
              <w:t xml:space="preserve"> minētajā gadījumā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(1 ‒N</w:t>
            </w:r>
            <w:r w:rsidR="00000000" w:rsidRPr="00000000" w:rsidDel="00000000">
              <w:rPr>
                <w:vertAlign w:val="subscript"/>
                <w:rtl w:val="0"/>
              </w:rPr>
              <w:t xml:space="preserve">ekspl</w:t>
            </w:r>
            <w:r w:rsidR="00000000" w:rsidRPr="00000000" w:rsidDel="00000000">
              <w:rPr>
                <w:vertAlign w:val="subscript"/>
                <w:rtl w:val="0"/>
              </w:rPr>
              <w:t xml:space="preserve">.</w:t>
            </w:r>
            <w:r w:rsidR="00000000" w:rsidRPr="00000000" w:rsidDel="00000000">
              <w:rPr>
                <w:rtl w:val="0"/>
              </w:rPr>
              <w:t xml:space="preserve">/N</w:t>
            </w:r>
            <w:r w:rsidR="00000000" w:rsidRPr="00000000" w:rsidDel="00000000">
              <w:rPr>
                <w:vertAlign w:val="subscript"/>
                <w:rtl w:val="0"/>
              </w:rPr>
              <w:t xml:space="preserve">Līgums</w:t>
            </w:r>
            <w:r w:rsidR="00000000" w:rsidRPr="00000000" w:rsidDel="00000000">
              <w:rPr>
                <w:rtl w:val="0"/>
              </w:rPr>
              <w:t xml:space="preserve">) × EKII×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6"/>
                <w:rtl w:val="0"/>
              </w:rPr>
              <w:t xml:space="preserve">EKII</w:t>
            </w:r>
            <w:r w:rsidR="00000000" w:rsidRPr="00000000" w:rsidDel="00000000">
              <w:rPr>
                <w:sz w:val="26"/>
                <w:vertAlign w:val="subscript"/>
                <w:rtl w:val="0"/>
              </w:rPr>
              <w:t xml:space="preserve">n</w:t>
            </w:r>
            <w:r w:rsidR="00000000" w:rsidRPr="00000000" w:rsidDel="00000000">
              <w:rPr>
                <w:vertAlign w:val="subscript"/>
                <w:rtl w:val="0"/>
              </w:rPr>
              <w:t xml:space="preserve">.l.</w:t>
            </w:r>
            <w:r w:rsidR="00000000" w:rsidRPr="00000000" w:rsidDel="00000000">
              <w:rPr>
                <w:rtl w:val="0"/>
              </w:rPr>
              <w:t xml:space="preserve">  – atgūstamais neattiecināmo līdzekļu apjoms, </w:t>
            </w:r>
            <w:r w:rsidR="00000000" w:rsidRPr="00000000" w:rsidDel="00000000">
              <w:rPr>
                <w:i w:val="1"/>
                <w:rtl w:val="0"/>
              </w:rPr>
              <w:t xml:space="preserve">euro </w:t>
            </w:r>
            <w:r w:rsidR="00000000" w:rsidRPr="00000000" w:rsidDel="00000000">
              <w:rPr>
                <w:rtl w:val="0"/>
              </w:rPr>
              <w:t xml:space="preserve">(noapaļots uz augšu līdz divām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Līgums</w:t>
            </w:r>
            <w:r w:rsidR="00000000" w:rsidRPr="00000000" w:rsidDel="00000000">
              <w:rPr>
                <w:rtl w:val="0"/>
              </w:rPr>
              <w:t xml:space="preserve"> – projekta līgumā un projekta iesniegumā norādītais monitoringa periods,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ekspl</w:t>
            </w:r>
            <w:r w:rsidR="00000000" w:rsidRPr="00000000" w:rsidDel="00000000">
              <w:rPr>
                <w:vertAlign w:val="subscript"/>
                <w:rtl w:val="0"/>
              </w:rPr>
              <w:t xml:space="preserve">.</w:t>
            </w:r>
            <w:r w:rsidR="00000000" w:rsidRPr="00000000" w:rsidDel="00000000">
              <w:rPr>
                <w:rtl w:val="0"/>
              </w:rPr>
              <w:t xml:space="preserve"> – elektromobiļa, uzlādes punkta  un atjaunīgo energoresursu iekārtu ekspluatācijas laiks, gadi. Elektromobiļa, uzlādes punkta vai atjaunīgo energoresursu iekārtas ekspluatācijas laiks ir gadu skaits, kad elektromobilis, uzlādes punkts  vai atjaunīgo energoresursu iekārta ir izmantota projekta monitoringa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EKII – piešķirtais finanšu instrumenta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projekta 110.2. apakšpunkta piemērošanu praksē, ņemot vērā projekta 111. punktā paredzētos finansējuma saņēmēja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šo noteikumu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minētajā gadījumā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MF</w:t>
            </w:r>
            <w:r w:rsidR="00000000" w:rsidRPr="00000000" w:rsidDel="00000000">
              <w:rPr>
                <w:vertAlign w:val="subscript"/>
                <w:rtl w:val="0"/>
              </w:rPr>
              <w:t xml:space="preserve">n.l.</w:t>
            </w:r>
            <w:r w:rsidR="00000000" w:rsidRPr="00000000" w:rsidDel="00000000">
              <w:rPr>
                <w:rtl w:val="0"/>
              </w:rPr>
              <w:t xml:space="preserve">  = (1 ‒N</w:t>
            </w:r>
            <w:r w:rsidR="00000000" w:rsidRPr="00000000" w:rsidDel="00000000">
              <w:rPr>
                <w:vertAlign w:val="subscript"/>
                <w:rtl w:val="0"/>
              </w:rPr>
              <w:t xml:space="preserve">ekspl</w:t>
            </w:r>
            <w:r w:rsidR="00000000" w:rsidRPr="00000000" w:rsidDel="00000000">
              <w:rPr>
                <w:vertAlign w:val="subscript"/>
                <w:rtl w:val="0"/>
              </w:rPr>
              <w:t xml:space="preserve">.</w:t>
            </w:r>
            <w:r w:rsidR="00000000" w:rsidRPr="00000000" w:rsidDel="00000000">
              <w:rPr>
                <w:rtl w:val="0"/>
              </w:rPr>
              <w:t xml:space="preserve">/N</w:t>
            </w:r>
            <w:r w:rsidR="00000000" w:rsidRPr="00000000" w:rsidDel="00000000">
              <w:rPr>
                <w:vertAlign w:val="subscript"/>
                <w:rtl w:val="0"/>
              </w:rPr>
              <w:t xml:space="preserve">Līgums</w:t>
            </w:r>
            <w:r w:rsidR="00000000" w:rsidRPr="00000000" w:rsidDel="00000000">
              <w:rPr>
                <w:rtl w:val="0"/>
              </w:rPr>
              <w:t xml:space="preserve">) × MF ×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6"/>
                <w:rtl w:val="0"/>
              </w:rPr>
              <w:t xml:space="preserve">MF</w:t>
            </w:r>
            <w:r w:rsidR="00000000" w:rsidRPr="00000000" w:rsidDel="00000000">
              <w:rPr>
                <w:sz w:val="26"/>
                <w:vertAlign w:val="subscript"/>
                <w:rtl w:val="0"/>
              </w:rPr>
              <w:t xml:space="preserve">n</w:t>
            </w:r>
            <w:r w:rsidR="00000000" w:rsidRPr="00000000" w:rsidDel="00000000">
              <w:rPr>
                <w:vertAlign w:val="subscript"/>
                <w:rtl w:val="0"/>
              </w:rPr>
              <w:t xml:space="preserve">.l.</w:t>
            </w:r>
            <w:r w:rsidR="00000000" w:rsidRPr="00000000" w:rsidDel="00000000">
              <w:rPr>
                <w:rtl w:val="0"/>
              </w:rPr>
              <w:t xml:space="preserve">  – atgūstamais neattiecināmo līdzekļu apjoms, </w:t>
            </w:r>
            <w:r w:rsidR="00000000" w:rsidRPr="00000000" w:rsidDel="00000000">
              <w:rPr>
                <w:i w:val="1"/>
                <w:rtl w:val="0"/>
              </w:rPr>
              <w:t xml:space="preserve">euro </w:t>
            </w:r>
            <w:r w:rsidR="00000000" w:rsidRPr="00000000" w:rsidDel="00000000">
              <w:rPr>
                <w:rtl w:val="0"/>
              </w:rPr>
              <w:t xml:space="preserve">(noapaļots uz augšu līdz divām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Līgums</w:t>
            </w:r>
            <w:r w:rsidR="00000000" w:rsidRPr="00000000" w:rsidDel="00000000">
              <w:rPr>
                <w:rtl w:val="0"/>
              </w:rPr>
              <w:t xml:space="preserve"> – projekta līgumā norādītais monitoringa periods,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ekspl</w:t>
            </w:r>
            <w:r w:rsidR="00000000" w:rsidRPr="00000000" w:rsidDel="00000000">
              <w:rPr>
                <w:vertAlign w:val="subscript"/>
                <w:rtl w:val="0"/>
              </w:rPr>
              <w:t xml:space="preserve">.</w:t>
            </w:r>
            <w:r w:rsidR="00000000" w:rsidRPr="00000000" w:rsidDel="00000000">
              <w:rPr>
                <w:rtl w:val="0"/>
              </w:rPr>
              <w:t xml:space="preserve"> – elektromobiļa uzlādes infrastruktūras un atjaunīgo energoresursu ražošanas vai uzkrāšanas iekārtu ekspluatācijas laiks, gadi (noapaļots uz leju līdz veselam skaitlim). Elektromobiļa uzlādes infrastruktūras vai atjaunīgo energoresursu ražošanas vai uzkrāšanas iekārtas ekspluatācijas laiks ir gadu skaits, kad elektromobiļu uzlādes infrastruktūra vai atjaunīgo energoresursu ražošanas vai uzkrāšanas iekārta ir izmantota projekta monitoringa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MF – finansējuma saņēmējam izmaksātais Modernizācijas fonda finansējums par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elektromobiļu uzlādes infrastruktūras izveidi un inženiertehnisko iekārtu un sistēmu izveidi,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Vides investīciju fondam ir tiesības četrus gadus pēc projekta īstenošanas brīža pārbaudīt projekta iesniegumā, projekta līgumā un apliecinošajā dokumentācijā norādīto informāciju, tai skaitā apsekojot projekta īstenošanas vietu vai pārbaudot saistīto dokumentāciju, kurai finansējuma saņēmējam jānodrošina piekļuve vai apskatot projekta ietvaros iegādāto elektromobili, kam finansējuma saņēmējs nodrošina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"brīža" aizstāt ar "beigām" vai citādi atbilstoši precizēt projektu, jo pašlaik norāde uz "projekta īstenošanas brīdi" ir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 aizstājot vārdu "brīža" ar vārdiem "beigu termiņa".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Vides investīciju fondam ir tiesības četrus gadus pēc projekta īstenošanas termiņa beigām pārbaudīt projekta iesniegumā, projekta līgumā un apliecinošajā dokumentācijā norādīto informāciju, tai skaitā apsekojot projekta īstenošanas vietu vai pārbaudot saistīto dokumentāciju, kurai finansējuma saņēmējam jānodrošina piekļuve vai apskatot projekta ietvaros iegādāto elektromobili, elektromobiļa uzlādes infrastruktūru, atjaunīgo energoresursu iekārtu un elektroenerģijas uzkrāšanas iekārtu, kam finansējuma saņēmējs nodrošina piekļuvi.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ietvertas veidlapa. Saistībā ar minēto, ņemot vērā Valsts iestāžu juridisko dienestu vadītāju 2019. gada 14. novembra sanāksmē nolemto (protokols Nr. 3 2. §), aicinām izvērtēt iespēju noteikumu projektā noteikt tikai veidlapā iekļaujamās informācijas saturu un apjomu, savukārt veidlapas dizainu un formu kā ilustratīvu materiālu publicēt, piemēram, ministrijas tīmekļa vietnē. Alternatīvi aicinām anotācijā pamatot, kāpēc tieši šādas veidlapu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sistēma var tikt piemērota gadījumos, ja ir izveidots elektroniskais rīks, kurā tiek nodrošināta projekta iesnieguma veidlapas elektroniska aizpildīšana. Papildināta anotācija ar papildus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skaidrot, kas projekta 1. pielikuma 7.4. apakšpunktā domāts ar "valsts atbalsta programmu apsaimniekotāju lēmumu, ar ko atbalsts tiek atzīts par nelikumīgu un nesaderīgu ar kopējo tirgu", īpaši ņemot vērā, ka tāds nav minēts projekta pamattekstā (sk. 13.4. un 49.3.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pielikuma 7.4.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veiktos precizējumus noteikumu projekta 2. un 3. pielikumā un to korektumu, nepieciešamību. Vēršam uzmanību, ka pielikumos veikti precizējumi, kas šķietami neizriet no saskaņošanas procesā iesniegtajiem atzinumiem, tāpat nav sniegti skaidrojumi, pamatojums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pārskatot noteikumu projektu, kā arī, lai nodrošinātu noteikumu projekta kvalitāti un tajā ietvertā regulējuma pilnveidošanu, noteikumu projektā ir veikti arī citi precizējumi, kas neizriet no saskaņošanas procesā sniegtajiem atzinumiem. Veiktie precizējumi noteikumu projekta 2. un 3. pielikumā ir pārskatīti un tie kā projekta iesnieguma vērtēšanas kritēriji tiek noteikti atbilstoši konkursa nolikumā ietvertajiem nosacījumiem projekta iesniedzējam, savukārt izmaiņas par katru kvalitātes vērtēšanas kritēriju iespējamo punktu skaitu neietekmē noteikumu projektu pēc būtības.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tekstā lietot vienu terminu vārdam "elektromobilis". Tekstā ir minēti gan elektrotransportlīdzekļi, gan elektromobiļi, gan elektroautomobiļi.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anotācijā pie terminiem ir skaidrojums elektromobilim.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izņemot attiecībā uz anotācijā ietverto saistībā ar normatīvajiem aktiem, kas regulē prasības elektrotransportlīdzekļu uzlādes iekārtām, lai atspoguļotu korektu normatīvo aktu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"gāzu" svītrot vārdu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ņemts vērā, bet nav iekļauts.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siltumnīcefekta gāzu (turpmāk - SEG) emisiju samazināšanu, atbalstot elektromobiļu iegādi un elektromobiļu uzlādes infrastruktūras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"gāzu" svītrot vārdu "emisiju".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siltumnīcefekta gāzu (turpmāk - SEG) emisiju samazināšanu, atbalstot elektromobiļu iegādi un elektromobiļu uzlādes infrastruktūras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aprēķinos vienādot izmantotos pieņēmumus par vidējiem degvielas patēriņiem mašīnām, kas tiks aizstātas un attiecīgi tos izlabot (16. lpp. "rezultāti" 5. un 6. punktā). Ja pieņem, ka vidējais degvielas patēriņš ir 7l uz 100km un 1l dīzeļdegvielas sadedzināšana rada 2,348 kg CO2 (3,785l = 8,887 kg CO2), tad rodas 0,164 kg CO2/km (2,348*7/100), kas ir 1,262 reizes vairāk nekā rādītājs 0,130 kg CO2/km. Tas nozīmē, ka 0,130 kg CO2/km ir jāmaina uz 0,164 kg CO2/km vai jāpieņem, ka vidējais dīzeļdegvielas patēriņš ir 5,5l (7/1,262).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1.3.sadaļa. Aprēķini ir indikatīvi ar dažādiem pieņēmumiem un faktiskā ietekme būs novērtējama pēc projektu konkursa īstenošanas, veicot monitoringu, t.sk. izmantojot pieredzi no Emisijas kvotu izsolīšanas instrumenta ietvaros organizētajiem projektu konkursiem.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kļūdu anotācijā redzamajā aprēķinā (16.lpp. "rezultāti" 5. punktā), jo 800*20 000*0,130/1000 = 2 080 tCO2/gadā jeb 8 320 tCO2 četru monitoringa gadu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apgalvojumu un paskaidrojumu par "ietaupīto/aizvietoto elektroenerģijas apjomu" (anotācijā 17.lpp.), ka "aizstājot [..] automobili, kas aprīkots ar iekšdedzes dzinēju, ar elektromobili, rodas elektroenerģijas ietaupījums", jo aizstājot automobili, kas aprīkots ar iekšdedzes dzinēju, ar elektromobili, rodas papildus pieprasījums pēc elektroenerģijas, taču samazinās pieprasījums pēc degvielas (dīzeļdegvielas vai benzīna). Tas teorētiski var veidot energoresursu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1.2.sadaļa. Aprēķinos tiek veikta energoresursu konversija un savstarpēja salīdzināšana - no šķidrās degvielas uz elektroenerģiju, lai dati būtu savstarpēji salīdzināmi.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ietvaros netiek piešķirts atbalsts ah-hoc ietvaros, kā tas izriet arī no noteikumu projekta 18.5.apakšpunkta, aicinām precizēt anotācijā sniegto skaidrojumu, dzēšot atsauci uz Regulas Nr.651/2014 6.panta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precizēt anotācijas 1.3.sadaļā minēto teikumu: "Konkursa ietvaros ir iespējams pretendēt uz atbalsta saņemšanu, ja iepirkums par konkursa ietvaros atbalstāmajām aktivitātēm ir noslēdzies, attiecīgi projekta iesniedzējs ir veicis iepirkuma procedūru, kuras rezultātā ar piegādātāju noslēgts līgums par noteikumu projekta 17.1. apakšpunktā ietvertās aktivitātes īstenošanu, taču projekta iesniedzējs nav veicis maksājumus par iepirkuma rezultātā gūtajām precēm pirms šo noteikumu spēkā stāšanās dienas.", ņemot vērā, ka tas pašreizējā redakcijā ir grūti uztverams un varētu radīt pārpratumus, īpaši attiecībā uz tā pēdējā daļā minēto par periodu pirms noteikumu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attiecīgais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 pievienot aprēķinus anotācijā (14.lpp "rezultāti" 6. punktā) minētai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veidojas elektroenerģijas ietaupījums, ja tiek palielināts "elektroenerģijas patērējošo iekārtu" skaits (kas aizvieto iekārtas, kuras nepatērē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Elektroenerģijas ietaupījums tiek noteikts, salīdzinot enerģijas apjomu, ko lietošanas laikā patērē automobilis, kas aprīkots ar iekšdedzes dzinēju, un enerģijas apjomu, ko tā lietošanas laikā patērē elektromobilis.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 pievienot aprēķinu anotācijā (14.lpp "rezultāti" 5. punktā) minētai informācijai par prognozētu emisijas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pieņēmumiem, ka viens transportlīdzeklis vidēji patērē 7 l/km, nobrauc gadā 20 000 km, un emisijas no viena galona degvielas (3,785 l) ir 8 887 grami CO2 ekv., gada laikā jau viena ne elektriska transportlīdzekļa aizvietošana ar elektrisko transportlīdzekli veido emisijas samazinājumu 3,228 t. CO2 ekv.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aprēķinu, kā konkursa ietvaros noteikts indikatīvais projektu īstenošanas rezultātā sasniegtais CO</w:t>
            </w:r>
            <w:r w:rsidR="00000000" w:rsidRPr="00000000" w:rsidDel="00000000">
              <w:rPr>
                <w:vertAlign w:val="subscript"/>
                <w:rtl w:val="0"/>
              </w:rPr>
              <w:t xml:space="preserve">2</w:t>
            </w:r>
            <w:r w:rsidR="00000000" w:rsidRPr="00000000" w:rsidDel="00000000">
              <w:rPr>
                <w:rtl w:val="0"/>
              </w:rPr>
              <w:t xml:space="preserve"> emisijas samazinājums,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cik reālistiski ir 14.lpp. minētie rezultāti, vai paskaidrot, kādos gadījumos ir sagaidāms, ka pieprasītais finansējums būs mazāks nekā maksimāli pieejamais / atļautais.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konkursa ietvaros projektu iesniedzēji var īstenot aktivitātes atbilstoši faktiskajām vajadzībām un pieejamajiem resursiem, turklāt konkursa ietvaros ir iespējamas dažādas atbalstāmo aktivitāšu kombinācijas, kā arī to izmaksu amplitūda ir gana plaša, konkursa ietvaros plānotie sasniedzamie rādītāji ir indikatīvi, nav uzskatāmi par stingri noteiktiem un atkarīgi no iepriekš minētajiem apstākļiem. Vienlaikus, ņemot vērā, ka konkursa ietvaros ir noteikts ne vien maksimālais pieejamais Modernizācijas fonda finansējums apjoms izvēlētās aktivitātes īstenošanai, bet arī atbalsta intensitāte, aktivitātes īstenošanai piešķirtais Modernizācijas fonda finansējums var būt arī zemāks kā maksimāli noteiktais.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anotācijā 8.lpp un 14.lpp (sadaļā "rezultāti") izmantot "CO2 ekv." (CO2 ekvivalentā), vai SEG (siltumnīcefekta gāzes), "CO2" vietā, jo autotransports veido arī N2O un CH4 emisijas, kas ir siltumnīcefekta gāzes.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veikts precizējums vienā no minētajām anotācijas sadaļām. Aprēķinot konkursa rezultātā sasniedzamo aptuveno siltumnīcefekta gāzu emisiju samazinājumu, tika pieņemts noteikts vidējais automašīnas, kas aprīkota ar iekšdedzes dzinēju, radītais CO</w:t>
            </w:r>
            <w:r w:rsidR="00000000" w:rsidRPr="00000000" w:rsidDel="00000000">
              <w:rPr>
                <w:vertAlign w:val="subscript"/>
                <w:rtl w:val="0"/>
              </w:rPr>
              <w:t xml:space="preserve">2</w:t>
            </w:r>
            <w:r w:rsidR="00000000" w:rsidRPr="00000000" w:rsidDel="00000000">
              <w:rPr>
                <w:rtl w:val="0"/>
              </w:rPr>
              <w:t xml:space="preserve"> emisiju daudzums. Aprēķinos netika novērtēts to radītās N</w:t>
            </w:r>
            <w:r w:rsidR="00000000" w:rsidRPr="00000000" w:rsidDel="00000000">
              <w:rPr>
                <w:vertAlign w:val="subscript"/>
                <w:rtl w:val="0"/>
              </w:rPr>
              <w:t xml:space="preserve">2</w:t>
            </w:r>
            <w:r w:rsidR="00000000" w:rsidRPr="00000000" w:rsidDel="00000000">
              <w:rPr>
                <w:rtl w:val="0"/>
              </w:rPr>
              <w:t xml:space="preserve">O un CH</w:t>
            </w:r>
            <w:r w:rsidR="00000000" w:rsidRPr="00000000" w:rsidDel="00000000">
              <w:rPr>
                <w:vertAlign w:val="subscript"/>
                <w:rtl w:val="0"/>
              </w:rPr>
              <w:t xml:space="preserve">4</w:t>
            </w:r>
            <w:r w:rsidR="00000000" w:rsidRPr="00000000" w:rsidDel="00000000">
              <w:rPr>
                <w:rtl w:val="0"/>
              </w:rPr>
              <w:t xml:space="preserve"> radītās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sadaļas apakšsadaļu "Atbalstāmās darbības un attiecināmības nosacījumi" 3. punktu "inženiertehnisko sistēmu un iekārtu, kas ražo vai uzkrāj enerģiju no atjaunīgajiem energoresursiem – saules vai vēja enerģijas", jo tajā </w:t>
            </w:r>
            <w:r w:rsidR="00000000" w:rsidRPr="00000000" w:rsidDel="00000000">
              <w:rPr>
                <w:rtl w:val="0"/>
              </w:rPr>
              <w:t xml:space="preserve">nav minēta atbalstāmā aktivitāte - izveide un/vai iegāde.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iekļaut aktuālākos datus noteikumu projekta anotācijas 1.3. sadaļas apakšsadaļā "Pašreizējā situācija" attiecībā uz norādīto informāciju "Uz 2024. gada 1. aprīli Latvijā ir reģistrēti 7104 elektromobiļi (6873 M1 kategorija un 231 N1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2024. gada 1. jūliju Latvijā ir reģistrēti 7798 elektromobiļi (7549 M1 kategorija un 249 N1 kategorija).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ar aktuālākiem datiem atbilstoši priekšlikumā sniegtajiem.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sadaļas apkašsadaļas “Atbalsta apjoms” pirmo teikumu “</w:t>
            </w:r>
            <w:r w:rsidR="00000000" w:rsidRPr="00000000" w:rsidDel="00000000">
              <w:rPr>
                <w:i w:val="1"/>
                <w:rtl w:val="0"/>
              </w:rPr>
              <w:t xml:space="preserve">Konkursa ietvaros atbalstu piešķir granta (dotācijas) veidā, un Modernizācijas fonda ietvaros pieejamais finansējuma apjoms konkursa ietvaros ir 5 000 000 milj. euro.</w:t>
            </w:r>
            <w:r w:rsidR="00000000" w:rsidRPr="00000000" w:rsidDel="00000000">
              <w:rPr>
                <w:rtl w:val="0"/>
              </w:rPr>
              <w:t xml:space="preserve">”, lai nodrošinātu skaidrību par pieejamo finansējuma apmēru konkursa ietvaros, salāgojot to ar noteikumu projekta 13. punktā minēto finansējuma apmēru, kas ir 5 milj.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atbalstu piešķir granta (dotācijas) veidā, un Modernizācijas fonda ietvaros pieejamais finansējuma apjoms konkursa ietvaros ir 5 000 000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apakšsadaļu, nodrošinot pilnīgus noteikumu projekta skaidrojumus, ņemot vērā noteikumu projektā veiktos papildinājumus, kuri šķietami nav skaidroti anotācijā, piemēram, 90.punkts vai 37. un 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piemēram, iepriekš lūgtos skaidrojumus, kas lielākā vai mazākā mērā ietverti izziņā, lūdzam ietvert anotācijā, piemēram, pamatot projekta 29. punktā, 104. apakšpunktā un citviet projektā paredzētos īpašumtiesību ierobežojumus un aizliegumus, skaidrojot to nepieciešamību un samērīgumu.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saistībā ar projekta 34. punktā ietverto tiesību normu minēts: "</w:t>
            </w:r>
            <w:r w:rsidR="00000000" w:rsidRPr="00000000" w:rsidDel="00000000">
              <w:rPr>
                <w:i w:val="1"/>
                <w:rtl w:val="0"/>
              </w:rPr>
              <w:t xml:space="preserve">Uzlādes infrastruktūras ieviešana un atjaunīgo energoresursu iekārtu iegāde un uzstādīšana bez elektromobiļu iegādes konkursa ietvaros nav atbalstāma</w:t>
            </w:r>
            <w:r w:rsidR="00000000" w:rsidRPr="00000000" w:rsidDel="00000000">
              <w:rPr>
                <w:rtl w:val="0"/>
              </w:rPr>
              <w:t xml:space="preserve">." Aicinām anotācijā izvērstāk skaidrot, kādēļ paredzēts šāds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 projektā ir ievērots un tieši kuras projekta normas nodrošina noteikumu Nr. 396 12.1. apakšpunktā paredzēto nosacījumu attiecībā uz komersantiem (proti, normā ir minēti "</w:t>
            </w:r>
            <w:r w:rsidR="00000000" w:rsidRPr="00000000" w:rsidDel="00000000">
              <w:rPr>
                <w:i w:val="1"/>
                <w:rtl w:val="0"/>
              </w:rPr>
              <w:t xml:space="preserve">komersanti, kuri savā saimnieciskajā darbībā izmanto to īpašumā esošus vismaz piecus transportlīdzekļus </w:t>
            </w:r>
            <w:r w:rsidR="00000000" w:rsidRPr="00000000" w:rsidDel="00000000">
              <w:rPr>
                <w:b w:val="1"/>
                <w:i w:val="1"/>
                <w:rtl w:val="0"/>
              </w:rPr>
              <w:t xml:space="preserve">vai </w:t>
            </w:r>
            <w:r w:rsidR="00000000" w:rsidRPr="00000000" w:rsidDel="00000000">
              <w:rPr>
                <w:i w:val="1"/>
                <w:rtl w:val="0"/>
              </w:rPr>
              <w:t xml:space="preserve">kuri nodrošina sabiedriskā transporta pakalpojumus</w:t>
            </w:r>
            <w:r w:rsidR="00000000" w:rsidRPr="00000000" w:rsidDel="00000000">
              <w:rPr>
                <w:rtl w:val="0"/>
              </w:rPr>
              <w:t xml:space="preserve">").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un veicot izvērtējumu, konkursa ietvaros uz Modernizācijas fonda ietvaros pieejamo finansējumu var pretendēt gan komersanti, kuri savā saimnieciskajā darbībā izmanto to īpašumā esošus vismaz piecus transportlīdzekļus, gan komersanti, kuri nodrošina sabiedriskā transporta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Konkursa ietvaros ir iespējams maksimāli norakstīt tādu transportlīdzekļu skaitu, cik elektromobiļus plānots iegādāties konkursa ietvaros</w:t>
            </w:r>
            <w:r w:rsidR="00000000" w:rsidRPr="00000000" w:rsidDel="00000000">
              <w:rPr>
                <w:rtl w:val="0"/>
              </w:rPr>
              <w:t xml:space="preserve">." Aicinām konkretizēt, kur tieši noteikumu projektā, norādot konkrētu vienību, minētā prasība ir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11. punktu, kas ietver attiecīgo nosacījumu.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aprēķinu anotācijā (12.lpp "rezultāti" 5. un 6. punktos) kas paskaidro norādītos datus par emisiju samazinājumu un elektroenerģijas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7.lpp. un nolikumā 37. punktā pārbaudīt izmantoto formulējumu: "ar jaudu līdz 150 kW".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jaudu virs 22 kW un zem 150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uzlādes infrastruktūras tehniskie parametri noteikumu 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anotācijā 7.lpp un 12.lpp izmantot (emisijas) "CO2 ekv." (CO2 ekvivalentā) "CO2" vietā, jo autotransports veido arī N2O un CH4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konkursa rezultātā sasniedzamo aptuveno siltumnīcefekta gāzu emisiju samazinājumu, tika pieņemts noteikts vidējais automašīnas, kas aprīkota ar iekšdedzes dzinēju, radītais CO</w:t>
            </w:r>
            <w:r w:rsidR="00000000" w:rsidRPr="00000000" w:rsidDel="00000000">
              <w:rPr>
                <w:vertAlign w:val="subscript"/>
                <w:rtl w:val="0"/>
              </w:rPr>
              <w:t xml:space="preserve">2</w:t>
            </w:r>
            <w:r w:rsidR="00000000" w:rsidRPr="00000000" w:rsidDel="00000000">
              <w:rPr>
                <w:rtl w:val="0"/>
              </w:rPr>
              <w:t xml:space="preserve"> emisiju daudzums. Aprēķinos netika novērtēts to radītās N</w:t>
            </w:r>
            <w:r w:rsidR="00000000" w:rsidRPr="00000000" w:rsidDel="00000000">
              <w:rPr>
                <w:vertAlign w:val="subscript"/>
                <w:rtl w:val="0"/>
              </w:rPr>
              <w:t xml:space="preserve">2</w:t>
            </w:r>
            <w:r w:rsidR="00000000" w:rsidRPr="00000000" w:rsidDel="00000000">
              <w:rPr>
                <w:rtl w:val="0"/>
              </w:rPr>
              <w:t xml:space="preserve">O un CH</w:t>
            </w:r>
            <w:r w:rsidR="00000000" w:rsidRPr="00000000" w:rsidDel="00000000">
              <w:rPr>
                <w:vertAlign w:val="subscript"/>
                <w:rtl w:val="0"/>
              </w:rPr>
              <w:t xml:space="preserve">4</w:t>
            </w:r>
            <w:r w:rsidR="00000000" w:rsidRPr="00000000" w:rsidDel="00000000">
              <w:rPr>
                <w:rtl w:val="0"/>
              </w:rPr>
              <w:t xml:space="preserve"> radītās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anotācijā 6.lpp. teikumam "Noteikumu projektā paredzēts, ka, uz finansējumu pretendēt varēs tikai tāds komersants, kura īpašumā un savā saimnieciskajā darbībā tiek izmantoti vismaz pieci transportlīdzekļi." pievienot informāciju no noteikumu projekta 27.3.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uz finansējumu pretendēt varēs tikai tāds komersants, kura īpašumā un savā saimnieciskajā darbībā tiek izmantoti vismaz pieci transportlīdzekļi, un projektā ir ieplānots iegādāties vismaz trīs elektromobiļus."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papildinājums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arī ar negatīvo ietekmi "Savukārt negatīva ietekme uz automobiļu ražotājiem, kuri ražo automobiļus ar iekšdedzes dzinējiem, vai to oficiālajiem pārstāvjiem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elektromobiļu ražotājiem vai to oficiālajiem pārstāvjiem (valsts akciju sabiedrības "Ceļu satiksmes drošības direkcija" pārziņā esošajā transportlīdzekļu un to vadītāju valsts reģistrā reģistrēta komersanta, kas normatīvajos aktos noteiktajā kārtībā ierīkojis un reģistrējis transportlīdzekļu tirdzniecības vietu un ko elektromobiļa ražotājs ir oficiāli pilnvarojis pārstāvēt tā intereses), potenciāli veicinot pieprasījumu pēc elektromobiļu iegādes salīdzinājumā ar situāciju, kurā atbalsts elektromobiļu iegādei attiecīgajai mērķgrupai netiktu piešķirts. Savukārt negatīva ietekme uz automobiļu ražotājiem, kuri ražo automobiļus ar iekšdedzes dzinējiem, vai to oficiālajiem pārstāvjiem, jo atbalsta programma sniedz priekšrocības komersantiem, kuri iegādājas elektromobiļus tālākpārdošanai, salīdzinājumā ar komersantiem, kuri tirdzniecībai elektromobiļus nepiedāvā.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punktā 2.2.3. precizēt, ka pastāv pozitīva ietekme uz elektrisko transportlīdzekļu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var veicināt neelektrisko transportlīdzekļu skaita samazināšanu, jo tie var būt aizvietoti ar elektriskiem transportlīdzekļiem. Tas samazinās klientu bāzi ne elektrisko transportlīdzekļu pārdošanā un apkalpošanā, kas ir negatīva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sadaļas 2.2.3.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skaidri norādot, ka projektu īstenošanai tikai Modernizācijas fonda finansējuma daļa  tiks pieprasīta no valsts budžeta programmas 80.00.00 “Nesadalītais finansējums Eiropas Savienības politiku instrumentu un pārējās ārvalstu finanšu palīdzības līdzfinansēto projektu un pasākumu īstenošanai” un valsts budžeta līdzfinansējuma daļa (tikai attiecībā uz valsts budžeta iestādēm), kā arī pašvaldības projekta īstenošanai nepieciešamais līdzfinansējums tiks nodrošināta iestāžu esošo budžeta finansējuma ietvaros un netiks prasīts papildus no valsts budžeta līdzekļiem, tādējādi neradot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informāciju, ka, lai īstenotu konkursa ietvaros atbalstāmās aktivitātes, valsts tiešās pārvaldes iestādes  un pašvaldības izvērtē esošos pieejamos valsts budžeta līdzekļus un līdzfinansējums, kurš nepieciešams konkursa ietvaros atbalstāmo aktivitāšu īstenošanai  un tas netiks prasīts papildus no valsts budžeta līdzekļiem, lūdzam aizpildīt anotācijas 3. sadaļas 4.punktu “Finanšu līdzekļi papildu izdevumu finansēšanai (kompensējošu izdevumu palielinājumu norāda ar "-" zīmi)” norādot tajā  anotācijas 3. sadaļas 3.punktā norādītos izdevumus, jo, ja valsts tiešās pārvaldes iestādes  un pašvaldības projektā paredzēto līdzfinansējumu nodrošinās to budžetā esošo līdzekļu ietvaros, tad tas neradīs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atsauci uz noteikumu "17.1.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attiecīgo noteikumu projekta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 un 5.3.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Aizpildīti anotācijas 3. sadaļas 5.1. un 5.3.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anotācijas 5.4. sadaļas 1. tabulu, ņemot vērā izmaiņas uz atkārtoto saskaņošanu nodotajā projektā, tostarp tā vienību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noteikumu projekta anotācijas 5.4.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23-TA-1486</w:t>
    </w:r>
    <w:r>
      <w:br/>
    </w:r>
    <w:r w:rsidR="00000000" w:rsidRPr="00000000" w:rsidDel="00000000">
      <w:rPr>
        <w:rtl w:val="0"/>
      </w:rPr>
      <w:t xml:space="preserve">01.10.2024. 12.00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23-TA-1486</w:t>
    </w:r>
    <w:r>
      <w:br/>
    </w:r>
    <w:r w:rsidR="00000000" w:rsidRPr="00000000" w:rsidDel="00000000">
      <w:rPr>
        <w:rtl w:val="0"/>
      </w:rPr>
      <w:t xml:space="preserve">01.10.2024. 12.00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Izziņa_23-TA-1486.docx</dc:title>
</cp:coreProperties>
</file>

<file path=docProps/custom.xml><?xml version="1.0" encoding="utf-8"?>
<Properties xmlns="http://schemas.openxmlformats.org/officeDocument/2006/custom-properties" xmlns:vt="http://schemas.openxmlformats.org/officeDocument/2006/docPropsVTypes"/>
</file>