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0A0" w:firstRow="1" w:lastRow="0" w:firstColumn="1" w:lastColumn="0" w:noHBand="0" w:noVBand="0"/>
      </w:tblPr>
      <w:tblGrid>
        <w:gridCol w:w="5669"/>
        <w:gridCol w:w="3402"/>
      </w:tblGrid>
      <w:tr w:rsidR="00E37F3E" w14:paraId="57151A94" w14:textId="77777777" w:rsidTr="00E37F3E">
        <w:tc>
          <w:tcPr>
            <w:tcW w:w="3125" w:type="pct"/>
          </w:tcPr>
          <w:p w14:paraId="2D6A5F32" w14:textId="77777777" w:rsidR="00E37F3E" w:rsidRDefault="00E37F3E" w:rsidP="00E37F3E">
            <w:pPr>
              <w:keepLines/>
              <w:autoSpaceDE w:val="0"/>
              <w:autoSpaceDN w:val="0"/>
              <w:adjustRightInd w:val="0"/>
              <w:spacing w:after="0" w:line="400" w:lineRule="auto"/>
              <w:ind w:right="113"/>
              <w:rPr>
                <w:rFonts w:ascii="Times New Roman" w:hAnsi="Times New Roman" w:cs="Times New Roman"/>
                <w:color w:val="000000"/>
                <w:sz w:val="24"/>
                <w:szCs w:val="24"/>
              </w:rPr>
            </w:pPr>
            <w:bookmarkStart w:id="0" w:name="_GoBack"/>
            <w:bookmarkEnd w:id="0"/>
            <w:r>
              <w:rPr>
                <w:rFonts w:ascii="Times New Roman" w:hAnsi="Times New Roman" w:cs="Times New Roman"/>
                <w:color w:val="000000"/>
                <w:sz w:val="24"/>
                <w:szCs w:val="24"/>
              </w:rPr>
              <w:t>Rīgā</w:t>
            </w:r>
          </w:p>
          <w:p w14:paraId="64D2C13A" w14:textId="77777777" w:rsidR="00E37F3E" w:rsidRDefault="00E37F3E" w:rsidP="00E37F3E">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044BB387" w14:textId="77777777" w:rsidR="00E37F3E" w:rsidRDefault="00E37F3E" w:rsidP="00E37F3E">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 xml:space="preserve">Reģistrācijas numuru skatīt pievienotajā failā </w:t>
            </w:r>
            <w:proofErr w:type="spellStart"/>
            <w:r>
              <w:rPr>
                <w:rFonts w:ascii="Times New Roman" w:hAnsi="Times New Roman" w:cs="Times New Roman"/>
                <w:color w:val="000000"/>
                <w:sz w:val="24"/>
                <w:szCs w:val="24"/>
              </w:rPr>
              <w:t>Registracijas_numurs</w:t>
            </w:r>
            <w:proofErr w:type="spellEnd"/>
          </w:p>
        </w:tc>
        <w:tc>
          <w:tcPr>
            <w:tcW w:w="1875" w:type="pct"/>
          </w:tcPr>
          <w:p w14:paraId="6732F345" w14:textId="77777777" w:rsidR="00E37F3E" w:rsidRDefault="00E37F3E" w:rsidP="00E37F3E">
            <w:pPr>
              <w:keepLines/>
              <w:autoSpaceDE w:val="0"/>
              <w:autoSpaceDN w:val="0"/>
              <w:adjustRightInd w:val="0"/>
              <w:spacing w:after="0" w:line="240" w:lineRule="auto"/>
              <w:jc w:val="right"/>
              <w:rPr>
                <w:rFonts w:ascii="Times New Roman" w:hAnsi="Times New Roman" w:cs="Times New Roman"/>
                <w:color w:val="000000"/>
                <w:sz w:val="24"/>
                <w:szCs w:val="24"/>
              </w:rPr>
            </w:pPr>
          </w:p>
          <w:p w14:paraId="28AB84DF" w14:textId="77777777" w:rsidR="00E37F3E" w:rsidRDefault="00E37F3E" w:rsidP="00E37F3E">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iela 55</w:t>
            </w:r>
            <w:r>
              <w:rPr>
                <w:rFonts w:ascii="Times New Roman" w:hAnsi="Times New Roman" w:cs="Times New Roman"/>
                <w:color w:val="000000"/>
                <w:sz w:val="24"/>
                <w:szCs w:val="24"/>
              </w:rPr>
              <w:br/>
              <w:t>Rīga, LV-1519</w:t>
            </w:r>
          </w:p>
        </w:tc>
      </w:tr>
    </w:tbl>
    <w:p w14:paraId="5FA9891D" w14:textId="77777777" w:rsidR="00E37F3E" w:rsidRDefault="00E37F3E" w:rsidP="00E37F3E">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E37F3E" w14:paraId="7D4115F0" w14:textId="77777777" w:rsidTr="00E37F3E">
        <w:tc>
          <w:tcPr>
            <w:tcW w:w="5000" w:type="pct"/>
          </w:tcPr>
          <w:p w14:paraId="05FE0637" w14:textId="77777777" w:rsidR="00E37F3E" w:rsidRDefault="00E37F3E" w:rsidP="00E37F3E">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Ministru kabineta noteikumu Nr.560 un Nr.561 grozījumiem</w:t>
            </w:r>
          </w:p>
        </w:tc>
      </w:tr>
    </w:tbl>
    <w:p w14:paraId="44F38D9A" w14:textId="77777777" w:rsidR="00E37F3E" w:rsidRDefault="00E37F3E" w:rsidP="00E37F3E">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E37F3E" w14:paraId="6D2392B1" w14:textId="77777777" w:rsidTr="00E37F3E">
        <w:tc>
          <w:tcPr>
            <w:tcW w:w="5000" w:type="pct"/>
          </w:tcPr>
          <w:p w14:paraId="4E8C18B2"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Akciju sabiedrība "Enerģijas publiskais tirgotājs" ir iepazinusies ar 2021.gada 14.janvāra Valsts sekretāru sanāksmē izsludinātajiem Ministru kabineta noteikumu projektiem - "Grozījumi Ministru kabineta 2020.gada 2.septembra noteikumos Nr.560 "Noteikumi par elektroenerģijas ražošanu, izmantojot atjaunojamos energoresursus, kā arī par cenu noteikšanas kārtību un uzraudzību"" (turpmāk – Grozījumi 560.noteikumos) un "Grozījumi Ministru kabineta 2020.gada 2.septembra noteikumos Nr.561 "Noteikumi par elektroenerģijas ražošanu, uzraudzību un cenu noteikšanu, ražojot elektroenerģiju koģenerācijā"" (turpmāk – Grozījumi 561.noteikumos) un sniedz šādus priekšlikumus to pilnveidošanai:</w:t>
            </w:r>
          </w:p>
          <w:p w14:paraId="6F9C5701"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 Lai visā Grozījumu 560.noteikumos un Grozījumu 561.noteikumos redakcijā visos gadījumos paredzētu vienādu kārtību, kādā atjaunojama ar Būvniecības valsts kontroles biroja lēmumu apturētā valsts atbalsta izmaksa, to paredzot tādu, kā to plānots noteikt Ministru kabineta 2020.gada 2.septembra noteikumu Nr.560 "Noteikumi par elektroenerģijas ražošanu, izmantojot atjaunojamos energoresursus, kā arī par cenu noteikšanas kārtību un uzraudzību” (turpmāk – MK noteikumi Nr.560) 30.</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1.apakšpunktā un Ministru kabineta 2020.gada 2.septembra noteikumu Nr.561 "Noteikumi par elektroenerģijas ražošanu, uzraudzību un cenu noteikšanu, ražojot elektroenerģiju koģenerācijā" (turpmāk – MK noteikumi Nr.561) 25.</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1.apakšpunktā, proti, Būvniecības valsts kontroles birojam pieņemot lēmumu par apturētā valsts atbalsta izmaksas atsākšanu, pēc kura spēkā stāšanās publiskais tirgotājs apturētā valsts atbalsta izmaksu veic 10 kalendāro dienu laikā, aicinām MK noteikumu Nr.560 plānotos 47.</w:t>
            </w:r>
            <w:r>
              <w:rPr>
                <w:rFonts w:ascii="Times New Roman" w:hAnsi="Times New Roman" w:cs="Times New Roman"/>
                <w:color w:val="000000"/>
                <w:sz w:val="24"/>
                <w:szCs w:val="24"/>
                <w:vertAlign w:val="superscript"/>
              </w:rPr>
              <w:t xml:space="preserve">1 </w:t>
            </w:r>
            <w:r>
              <w:rPr>
                <w:rFonts w:ascii="Times New Roman" w:hAnsi="Times New Roman" w:cs="Times New Roman"/>
                <w:color w:val="000000"/>
                <w:sz w:val="24"/>
                <w:szCs w:val="24"/>
              </w:rPr>
              <w:t>, 47.</w:t>
            </w:r>
            <w:r>
              <w:rPr>
                <w:rFonts w:ascii="Times New Roman" w:hAnsi="Times New Roman" w:cs="Times New Roman"/>
                <w:color w:val="000000"/>
                <w:sz w:val="24"/>
                <w:szCs w:val="24"/>
                <w:vertAlign w:val="superscript"/>
              </w:rPr>
              <w:t xml:space="preserve">3  </w:t>
            </w:r>
            <w:r>
              <w:rPr>
                <w:rFonts w:ascii="Times New Roman" w:hAnsi="Times New Roman" w:cs="Times New Roman"/>
                <w:color w:val="000000"/>
                <w:sz w:val="24"/>
                <w:szCs w:val="24"/>
              </w:rPr>
              <w:t>un 59.</w:t>
            </w:r>
            <w:r>
              <w:rPr>
                <w:rFonts w:ascii="Times New Roman" w:hAnsi="Times New Roman" w:cs="Times New Roman"/>
                <w:color w:val="000000"/>
                <w:sz w:val="24"/>
                <w:szCs w:val="24"/>
                <w:vertAlign w:val="superscript"/>
              </w:rPr>
              <w:t>7</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punktus izteikt šādā redakcijā: </w:t>
            </w:r>
          </w:p>
          <w:p w14:paraId="5BC2A23F"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i/>
                <w:iCs/>
                <w:color w:val="000000"/>
                <w:sz w:val="24"/>
                <w:szCs w:val="24"/>
              </w:rPr>
              <w:t>47.</w:t>
            </w:r>
            <w:r>
              <w:rPr>
                <w:rFonts w:ascii="Times New Roman" w:hAnsi="Times New Roman" w:cs="Times New Roman"/>
                <w:i/>
                <w:iCs/>
                <w:color w:val="000000"/>
                <w:sz w:val="24"/>
                <w:szCs w:val="24"/>
                <w:vertAlign w:val="superscript"/>
              </w:rPr>
              <w:t>1</w:t>
            </w:r>
            <w:r>
              <w:rPr>
                <w:rFonts w:ascii="Times New Roman" w:hAnsi="Times New Roman" w:cs="Times New Roman"/>
                <w:i/>
                <w:iCs/>
                <w:color w:val="000000"/>
                <w:sz w:val="24"/>
                <w:szCs w:val="24"/>
              </w:rPr>
              <w:t xml:space="preserve"> Ja komersants nav nodrošinājis biroja pārstāvjiem iespēju veikt elektrostacijas pārbaudi, birojs nekavējoties pieņem lēmumu apturēt valsts atbalsta izmaksu par iepirkto elektroenerģiju par periodu no lēmuma stāšanās spēkā  dienas līdz šo noteikumu 47.</w:t>
            </w:r>
            <w:r>
              <w:rPr>
                <w:rFonts w:ascii="Times New Roman" w:hAnsi="Times New Roman" w:cs="Times New Roman"/>
                <w:i/>
                <w:iCs/>
                <w:color w:val="000000"/>
                <w:sz w:val="24"/>
                <w:szCs w:val="24"/>
                <w:vertAlign w:val="superscript"/>
              </w:rPr>
              <w:t>2</w:t>
            </w:r>
            <w:r>
              <w:rPr>
                <w:rFonts w:ascii="Times New Roman" w:hAnsi="Times New Roman" w:cs="Times New Roman"/>
                <w:i/>
                <w:iCs/>
                <w:color w:val="000000"/>
                <w:sz w:val="24"/>
                <w:szCs w:val="24"/>
              </w:rPr>
              <w:t xml:space="preserve"> 1. </w:t>
            </w:r>
            <w:r>
              <w:rPr>
                <w:rFonts w:ascii="Times New Roman" w:hAnsi="Times New Roman" w:cs="Times New Roman"/>
                <w:b/>
                <w:bCs/>
                <w:i/>
                <w:iCs/>
                <w:color w:val="000000"/>
                <w:sz w:val="24"/>
                <w:szCs w:val="24"/>
              </w:rPr>
              <w:t>apakšpunktā vai 47.</w:t>
            </w:r>
            <w:r>
              <w:rPr>
                <w:rFonts w:ascii="Times New Roman" w:hAnsi="Times New Roman" w:cs="Times New Roman"/>
                <w:b/>
                <w:bCs/>
                <w:i/>
                <w:iCs/>
                <w:color w:val="000000"/>
                <w:sz w:val="24"/>
                <w:szCs w:val="24"/>
                <w:vertAlign w:val="superscript"/>
              </w:rPr>
              <w:t>3</w:t>
            </w:r>
            <w:r>
              <w:rPr>
                <w:rFonts w:ascii="Times New Roman" w:hAnsi="Times New Roman" w:cs="Times New Roman"/>
                <w:b/>
                <w:bCs/>
                <w:i/>
                <w:iCs/>
                <w:color w:val="000000"/>
                <w:sz w:val="24"/>
                <w:szCs w:val="24"/>
              </w:rPr>
              <w:t xml:space="preserve"> punktā minētā lēmuma pieņemšanai.</w:t>
            </w:r>
            <w:r>
              <w:rPr>
                <w:rFonts w:ascii="Times New Roman" w:hAnsi="Times New Roman" w:cs="Times New Roman"/>
                <w:color w:val="000000"/>
                <w:sz w:val="24"/>
                <w:szCs w:val="24"/>
              </w:rPr>
              <w:t>;</w:t>
            </w:r>
          </w:p>
          <w:p w14:paraId="54D71F7B"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i/>
                <w:iCs/>
                <w:color w:val="000000"/>
                <w:sz w:val="24"/>
                <w:szCs w:val="24"/>
              </w:rPr>
              <w:t>47.</w:t>
            </w:r>
            <w:r>
              <w:rPr>
                <w:rFonts w:ascii="Times New Roman" w:hAnsi="Times New Roman" w:cs="Times New Roman"/>
                <w:i/>
                <w:iCs/>
                <w:color w:val="000000"/>
                <w:sz w:val="24"/>
                <w:szCs w:val="24"/>
                <w:vertAlign w:val="superscript"/>
              </w:rPr>
              <w:t>3</w:t>
            </w:r>
            <w:r>
              <w:rPr>
                <w:rFonts w:ascii="Times New Roman" w:hAnsi="Times New Roman" w:cs="Times New Roman"/>
                <w:i/>
                <w:iCs/>
                <w:color w:val="000000"/>
                <w:sz w:val="24"/>
                <w:szCs w:val="24"/>
              </w:rPr>
              <w:t xml:space="preserve"> </w:t>
            </w:r>
            <w:r>
              <w:rPr>
                <w:rFonts w:ascii="Times New Roman" w:hAnsi="Times New Roman" w:cs="Times New Roman"/>
                <w:b/>
                <w:bCs/>
                <w:i/>
                <w:iCs/>
                <w:color w:val="000000"/>
                <w:sz w:val="24"/>
                <w:szCs w:val="24"/>
              </w:rPr>
              <w:t>Ja birojs pēc šo noteikumu 47.3. vai 47.4. apakšpunktā minētās atkārtotās pārbaudes veikšanas izteicis brīdinājumu un pārkāpums, par kuru izteikts brīdinājums, ir novērsts, birojs pieņem lēmumu par saskaņā ar šo noteikumu 47.</w:t>
            </w:r>
            <w:r>
              <w:rPr>
                <w:rFonts w:ascii="Times New Roman" w:hAnsi="Times New Roman" w:cs="Times New Roman"/>
                <w:b/>
                <w:bCs/>
                <w:i/>
                <w:iCs/>
                <w:color w:val="000000"/>
                <w:sz w:val="24"/>
                <w:szCs w:val="24"/>
                <w:vertAlign w:val="superscript"/>
              </w:rPr>
              <w:t>1</w:t>
            </w:r>
            <w:r>
              <w:rPr>
                <w:rFonts w:ascii="Times New Roman" w:hAnsi="Times New Roman" w:cs="Times New Roman"/>
                <w:b/>
                <w:bCs/>
                <w:i/>
                <w:iCs/>
                <w:color w:val="000000"/>
                <w:sz w:val="24"/>
                <w:szCs w:val="24"/>
              </w:rPr>
              <w:t xml:space="preserve"> punktu apturētā valsts atbalsta izmaksas atsākšanu. Publiskais tirgotājs apturētā valsts atbalsta izmaksu veic 10 kalendāro dienu laikā pēc biroja lēmuma par apturētā valsts atbalsta izmaksas atsākšanu spēkā stāšanās.</w:t>
            </w:r>
            <w:r>
              <w:rPr>
                <w:rFonts w:ascii="Times New Roman" w:hAnsi="Times New Roman" w:cs="Times New Roman"/>
                <w:color w:val="000000"/>
                <w:sz w:val="24"/>
                <w:szCs w:val="24"/>
              </w:rPr>
              <w:t>;</w:t>
            </w:r>
          </w:p>
          <w:p w14:paraId="5BDF8E4B"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i/>
                <w:iCs/>
                <w:color w:val="000000"/>
                <w:sz w:val="24"/>
                <w:szCs w:val="24"/>
              </w:rPr>
              <w:lastRenderedPageBreak/>
              <w:t>59.</w:t>
            </w:r>
            <w:r>
              <w:rPr>
                <w:rFonts w:ascii="Times New Roman" w:hAnsi="Times New Roman" w:cs="Times New Roman"/>
                <w:i/>
                <w:iCs/>
                <w:color w:val="000000"/>
                <w:sz w:val="24"/>
                <w:szCs w:val="24"/>
                <w:vertAlign w:val="superscript"/>
              </w:rPr>
              <w:t>7</w:t>
            </w:r>
            <w:r>
              <w:rPr>
                <w:rFonts w:ascii="Times New Roman" w:hAnsi="Times New Roman" w:cs="Times New Roman"/>
                <w:i/>
                <w:iCs/>
                <w:color w:val="000000"/>
                <w:sz w:val="24"/>
                <w:szCs w:val="24"/>
              </w:rPr>
              <w:t xml:space="preserve"> Ja komersants vēlas atjaunot valsts atbalsta izmaksu, kas apturēta saskaņā ar šo noteikumu 59.</w:t>
            </w:r>
            <w:r>
              <w:rPr>
                <w:rFonts w:ascii="Times New Roman" w:hAnsi="Times New Roman" w:cs="Times New Roman"/>
                <w:i/>
                <w:iCs/>
                <w:color w:val="000000"/>
                <w:sz w:val="24"/>
                <w:szCs w:val="24"/>
                <w:vertAlign w:val="superscript"/>
              </w:rPr>
              <w:t>6</w:t>
            </w:r>
            <w:r>
              <w:rPr>
                <w:rFonts w:ascii="Times New Roman" w:hAnsi="Times New Roman" w:cs="Times New Roman"/>
                <w:i/>
                <w:iCs/>
                <w:color w:val="000000"/>
                <w:sz w:val="24"/>
                <w:szCs w:val="24"/>
              </w:rPr>
              <w:t xml:space="preserve"> punktu, tas divu mēnešu laikā no atbalsta apturēšanas brīža iesniedz birojā šo noteikumu 59.</w:t>
            </w:r>
            <w:r>
              <w:rPr>
                <w:rFonts w:ascii="Times New Roman" w:hAnsi="Times New Roman" w:cs="Times New Roman"/>
                <w:i/>
                <w:iCs/>
                <w:color w:val="000000"/>
                <w:sz w:val="24"/>
                <w:szCs w:val="24"/>
                <w:vertAlign w:val="superscript"/>
              </w:rPr>
              <w:t>5</w:t>
            </w:r>
            <w:r>
              <w:rPr>
                <w:rFonts w:ascii="Times New Roman" w:hAnsi="Times New Roman" w:cs="Times New Roman"/>
                <w:i/>
                <w:iCs/>
                <w:color w:val="000000"/>
                <w:sz w:val="24"/>
                <w:szCs w:val="24"/>
              </w:rPr>
              <w:t xml:space="preserve"> punktā minēto informāciju un dokumentus. Birojs piecu darbdienu laikā pēc informācijas un dokumentu saņemšanas pieņem lēmumu par </w:t>
            </w:r>
            <w:r>
              <w:rPr>
                <w:rFonts w:ascii="Times New Roman" w:hAnsi="Times New Roman" w:cs="Times New Roman"/>
                <w:b/>
                <w:bCs/>
                <w:i/>
                <w:iCs/>
                <w:color w:val="000000"/>
                <w:sz w:val="24"/>
                <w:szCs w:val="24"/>
              </w:rPr>
              <w:t>saskaņā ar šo noteikumu 59.</w:t>
            </w:r>
            <w:r>
              <w:rPr>
                <w:rFonts w:ascii="Times New Roman" w:hAnsi="Times New Roman" w:cs="Times New Roman"/>
                <w:b/>
                <w:bCs/>
                <w:i/>
                <w:iCs/>
                <w:color w:val="000000"/>
                <w:sz w:val="24"/>
                <w:szCs w:val="24"/>
                <w:vertAlign w:val="superscript"/>
              </w:rPr>
              <w:t>6</w:t>
            </w:r>
            <w:r>
              <w:rPr>
                <w:rFonts w:ascii="Times New Roman" w:hAnsi="Times New Roman" w:cs="Times New Roman"/>
                <w:b/>
                <w:bCs/>
                <w:i/>
                <w:iCs/>
                <w:color w:val="000000"/>
                <w:sz w:val="24"/>
                <w:szCs w:val="24"/>
              </w:rPr>
              <w:t xml:space="preserve"> punktu apturētā valsts atbalsta izmaksas atsākšanu. Publiskais tirgotājs apturētā valsts atbalsta izmaksu veic 10 kalendāro dienu laikā pēc biroja lēmuma par apturētā valsts atbalsta izmaksas atsākšanu spēkā stāšanās.</w:t>
            </w:r>
            <w:r>
              <w:rPr>
                <w:rFonts w:ascii="Times New Roman" w:hAnsi="Times New Roman" w:cs="Times New Roman"/>
                <w:i/>
                <w:iCs/>
                <w:color w:val="000000"/>
                <w:sz w:val="24"/>
                <w:szCs w:val="24"/>
              </w:rPr>
              <w:t xml:space="preserve"> Ja komersants divu mēnešu laikā nesniedz pieprasīto informāciju un dokumentus, birojs pieņem lēmumu par komersantam piešķirto obligātā iepirkuma tiesību atcelšanu.</w:t>
            </w:r>
            <w:r>
              <w:rPr>
                <w:rFonts w:ascii="Times New Roman" w:hAnsi="Times New Roman" w:cs="Times New Roman"/>
                <w:color w:val="000000"/>
                <w:sz w:val="24"/>
                <w:szCs w:val="24"/>
              </w:rPr>
              <w:t>,</w:t>
            </w:r>
          </w:p>
          <w:p w14:paraId="2A62C091"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savukārt MK noteikumu Nr.561 plānotos 46.</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46.</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un 81.</w:t>
            </w:r>
            <w:r>
              <w:rPr>
                <w:rFonts w:ascii="Times New Roman" w:hAnsi="Times New Roman" w:cs="Times New Roman"/>
                <w:color w:val="000000"/>
                <w:sz w:val="24"/>
                <w:szCs w:val="24"/>
                <w:vertAlign w:val="superscript"/>
              </w:rPr>
              <w:t>8</w:t>
            </w:r>
            <w:r>
              <w:rPr>
                <w:rFonts w:ascii="Times New Roman" w:hAnsi="Times New Roman" w:cs="Times New Roman"/>
                <w:color w:val="000000"/>
                <w:sz w:val="24"/>
                <w:szCs w:val="24"/>
              </w:rPr>
              <w:t xml:space="preserve"> punktus izteikt šādā redakcijā:</w:t>
            </w:r>
          </w:p>
          <w:p w14:paraId="2982550A"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i/>
                <w:iCs/>
                <w:color w:val="000000"/>
                <w:sz w:val="24"/>
                <w:szCs w:val="24"/>
              </w:rPr>
              <w:t>46.</w:t>
            </w:r>
            <w:r>
              <w:rPr>
                <w:rFonts w:ascii="Times New Roman" w:hAnsi="Times New Roman" w:cs="Times New Roman"/>
                <w:i/>
                <w:iCs/>
                <w:color w:val="000000"/>
                <w:sz w:val="24"/>
                <w:szCs w:val="24"/>
                <w:vertAlign w:val="superscript"/>
              </w:rPr>
              <w:t>1</w:t>
            </w:r>
            <w:r>
              <w:rPr>
                <w:rFonts w:ascii="Times New Roman" w:hAnsi="Times New Roman" w:cs="Times New Roman"/>
                <w:i/>
                <w:iCs/>
                <w:color w:val="000000"/>
                <w:sz w:val="24"/>
                <w:szCs w:val="24"/>
              </w:rPr>
              <w:t xml:space="preserve"> Ja komersants nav nodrošinājis biroja pārstāvjiem iespēju veikt koģenerācijas stacijas pārbaudi, birojs nekavējoties pieņem lēmumu apturēt valsts atbalsta izmaksu par iepirkto elektroenerģiju vai garantēto maksu par koģenerācijas stacijā uzstādīto elektrisko jaudu par periodu no lēmuma spēkā  stāšanās dienas līdz šo noteikumu 46.</w:t>
            </w:r>
            <w:r>
              <w:rPr>
                <w:rFonts w:ascii="Times New Roman" w:hAnsi="Times New Roman" w:cs="Times New Roman"/>
                <w:i/>
                <w:iCs/>
                <w:color w:val="000000"/>
                <w:sz w:val="24"/>
                <w:szCs w:val="24"/>
                <w:vertAlign w:val="superscript"/>
              </w:rPr>
              <w:t>2</w:t>
            </w:r>
            <w:r>
              <w:rPr>
                <w:rFonts w:ascii="Times New Roman" w:hAnsi="Times New Roman" w:cs="Times New Roman"/>
                <w:i/>
                <w:iCs/>
                <w:color w:val="000000"/>
                <w:sz w:val="24"/>
                <w:szCs w:val="24"/>
              </w:rPr>
              <w:t xml:space="preserve"> 1. </w:t>
            </w:r>
            <w:r>
              <w:rPr>
                <w:rFonts w:ascii="Times New Roman" w:hAnsi="Times New Roman" w:cs="Times New Roman"/>
                <w:b/>
                <w:bCs/>
                <w:i/>
                <w:iCs/>
                <w:color w:val="000000"/>
                <w:sz w:val="24"/>
                <w:szCs w:val="24"/>
              </w:rPr>
              <w:t>apakšpunktā vai 46.</w:t>
            </w:r>
            <w:r>
              <w:rPr>
                <w:rFonts w:ascii="Times New Roman" w:hAnsi="Times New Roman" w:cs="Times New Roman"/>
                <w:b/>
                <w:bCs/>
                <w:i/>
                <w:iCs/>
                <w:color w:val="000000"/>
                <w:sz w:val="24"/>
                <w:szCs w:val="24"/>
                <w:vertAlign w:val="superscript"/>
              </w:rPr>
              <w:t>3</w:t>
            </w:r>
            <w:r>
              <w:rPr>
                <w:rFonts w:ascii="Times New Roman" w:hAnsi="Times New Roman" w:cs="Times New Roman"/>
                <w:b/>
                <w:bCs/>
                <w:i/>
                <w:iCs/>
                <w:color w:val="000000"/>
                <w:sz w:val="24"/>
                <w:szCs w:val="24"/>
              </w:rPr>
              <w:t xml:space="preserve"> punktā minētā lēmuma pieņemšanai.</w:t>
            </w:r>
            <w:r>
              <w:rPr>
                <w:rFonts w:ascii="Times New Roman" w:hAnsi="Times New Roman" w:cs="Times New Roman"/>
                <w:color w:val="000000"/>
                <w:sz w:val="24"/>
                <w:szCs w:val="24"/>
              </w:rPr>
              <w:t>;</w:t>
            </w:r>
          </w:p>
          <w:p w14:paraId="08053CB9"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b/>
                <w:bCs/>
                <w:color w:val="000000"/>
                <w:sz w:val="24"/>
                <w:szCs w:val="24"/>
              </w:rPr>
            </w:pPr>
            <w:r>
              <w:rPr>
                <w:rFonts w:ascii="Times New Roman" w:hAnsi="Times New Roman" w:cs="Times New Roman"/>
                <w:i/>
                <w:iCs/>
                <w:color w:val="000000"/>
                <w:sz w:val="24"/>
                <w:szCs w:val="24"/>
              </w:rPr>
              <w:t>46.</w:t>
            </w:r>
            <w:r>
              <w:rPr>
                <w:rFonts w:ascii="Times New Roman" w:hAnsi="Times New Roman" w:cs="Times New Roman"/>
                <w:i/>
                <w:iCs/>
                <w:color w:val="000000"/>
                <w:sz w:val="24"/>
                <w:szCs w:val="24"/>
                <w:vertAlign w:val="superscript"/>
              </w:rPr>
              <w:t>3</w:t>
            </w:r>
            <w:r>
              <w:rPr>
                <w:rFonts w:ascii="Times New Roman" w:hAnsi="Times New Roman" w:cs="Times New Roman"/>
                <w:i/>
                <w:iCs/>
                <w:color w:val="000000"/>
                <w:sz w:val="24"/>
                <w:szCs w:val="24"/>
              </w:rPr>
              <w:t xml:space="preserve"> </w:t>
            </w:r>
            <w:r>
              <w:rPr>
                <w:rFonts w:ascii="Times New Roman" w:hAnsi="Times New Roman" w:cs="Times New Roman"/>
                <w:b/>
                <w:bCs/>
                <w:i/>
                <w:iCs/>
                <w:color w:val="000000"/>
                <w:sz w:val="24"/>
                <w:szCs w:val="24"/>
              </w:rPr>
              <w:t>Ja birojs pēc šo noteikumu 46.3. vai 46.4. apakšpunktā minētās atkārtotās pārbaudes veikšanas izteicis brīdinājumu un pārkāpums, par kuru izteikts brīdinājums, ir novērsts, birojs pieņem lēmumu par saskaņā ar šo noteikumu 46.</w:t>
            </w:r>
            <w:r>
              <w:rPr>
                <w:rFonts w:ascii="Times New Roman" w:hAnsi="Times New Roman" w:cs="Times New Roman"/>
                <w:b/>
                <w:bCs/>
                <w:i/>
                <w:iCs/>
                <w:color w:val="000000"/>
                <w:sz w:val="24"/>
                <w:szCs w:val="24"/>
                <w:vertAlign w:val="superscript"/>
              </w:rPr>
              <w:t>1</w:t>
            </w:r>
            <w:r>
              <w:rPr>
                <w:rFonts w:ascii="Times New Roman" w:hAnsi="Times New Roman" w:cs="Times New Roman"/>
                <w:b/>
                <w:bCs/>
                <w:i/>
                <w:iCs/>
                <w:color w:val="000000"/>
                <w:sz w:val="24"/>
                <w:szCs w:val="24"/>
              </w:rPr>
              <w:t xml:space="preserve"> punktu apturētā valsts atbalsta izmaksas atsākšanu. Publiskais tirgotājs apturētā valsts atbalsta izmaksu veic 10 kalendāro dienu laikā pēc biroja lēmuma par apturētā valsts atbalsta izmaksas atsākšanu spēkā stāšanās.</w:t>
            </w:r>
            <w:r>
              <w:rPr>
                <w:rFonts w:ascii="Times New Roman" w:hAnsi="Times New Roman" w:cs="Times New Roman"/>
                <w:b/>
                <w:bCs/>
                <w:color w:val="000000"/>
                <w:sz w:val="24"/>
                <w:szCs w:val="24"/>
              </w:rPr>
              <w:t>;</w:t>
            </w:r>
          </w:p>
          <w:p w14:paraId="4BF741C0"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81.</w:t>
            </w:r>
            <w:r>
              <w:rPr>
                <w:rFonts w:ascii="Times New Roman" w:hAnsi="Times New Roman" w:cs="Times New Roman"/>
                <w:i/>
                <w:iCs/>
                <w:color w:val="000000"/>
                <w:sz w:val="24"/>
                <w:szCs w:val="24"/>
                <w:vertAlign w:val="superscript"/>
              </w:rPr>
              <w:t>8</w:t>
            </w:r>
            <w:r>
              <w:rPr>
                <w:rFonts w:ascii="Times New Roman" w:hAnsi="Times New Roman" w:cs="Times New Roman"/>
                <w:i/>
                <w:iCs/>
                <w:color w:val="000000"/>
                <w:sz w:val="24"/>
                <w:szCs w:val="24"/>
              </w:rPr>
              <w:t xml:space="preserve"> Ja komersants vēlas atjaunot valsts atbalsta izmaksu, kas apturēta saskaņā ar šo noteikumu 81.</w:t>
            </w:r>
            <w:r>
              <w:rPr>
                <w:rFonts w:ascii="Times New Roman" w:hAnsi="Times New Roman" w:cs="Times New Roman"/>
                <w:i/>
                <w:iCs/>
                <w:color w:val="000000"/>
                <w:sz w:val="24"/>
                <w:szCs w:val="24"/>
                <w:vertAlign w:val="superscript"/>
              </w:rPr>
              <w:t>7</w:t>
            </w:r>
            <w:r>
              <w:rPr>
                <w:rFonts w:ascii="Times New Roman" w:hAnsi="Times New Roman" w:cs="Times New Roman"/>
                <w:i/>
                <w:iCs/>
                <w:color w:val="000000"/>
                <w:sz w:val="24"/>
                <w:szCs w:val="24"/>
              </w:rPr>
              <w:t xml:space="preserve"> punktu, tas divu mēnešu laikā no atbalsta apturēšanas brīža iesniedz birojā šo noteikumu 81.</w:t>
            </w:r>
            <w:r>
              <w:rPr>
                <w:rFonts w:ascii="Times New Roman" w:hAnsi="Times New Roman" w:cs="Times New Roman"/>
                <w:i/>
                <w:iCs/>
                <w:color w:val="000000"/>
                <w:sz w:val="24"/>
                <w:szCs w:val="24"/>
                <w:vertAlign w:val="superscript"/>
              </w:rPr>
              <w:t>6</w:t>
            </w:r>
            <w:r>
              <w:rPr>
                <w:rFonts w:ascii="Times New Roman" w:hAnsi="Times New Roman" w:cs="Times New Roman"/>
                <w:i/>
                <w:iCs/>
                <w:color w:val="000000"/>
                <w:sz w:val="24"/>
                <w:szCs w:val="24"/>
              </w:rPr>
              <w:t xml:space="preserve"> punktā minēto informāciju un dokumentus. Birojs piecu darbdienu laikā pēc informācijas un dokumentu saņemšanas pieņem lēmumu </w:t>
            </w:r>
            <w:r>
              <w:rPr>
                <w:rFonts w:ascii="Times New Roman" w:hAnsi="Times New Roman" w:cs="Times New Roman"/>
                <w:b/>
                <w:bCs/>
                <w:i/>
                <w:iCs/>
                <w:color w:val="000000"/>
                <w:sz w:val="24"/>
                <w:szCs w:val="24"/>
              </w:rPr>
              <w:t>par saskaņā ar šo noteikumu 81.</w:t>
            </w:r>
            <w:r>
              <w:rPr>
                <w:rFonts w:ascii="Times New Roman" w:hAnsi="Times New Roman" w:cs="Times New Roman"/>
                <w:b/>
                <w:bCs/>
                <w:i/>
                <w:iCs/>
                <w:color w:val="000000"/>
                <w:sz w:val="24"/>
                <w:szCs w:val="24"/>
                <w:vertAlign w:val="superscript"/>
              </w:rPr>
              <w:t>7</w:t>
            </w:r>
            <w:r>
              <w:rPr>
                <w:rFonts w:ascii="Times New Roman" w:hAnsi="Times New Roman" w:cs="Times New Roman"/>
                <w:b/>
                <w:bCs/>
                <w:i/>
                <w:iCs/>
                <w:color w:val="000000"/>
                <w:sz w:val="24"/>
                <w:szCs w:val="24"/>
              </w:rPr>
              <w:t xml:space="preserve"> punktu apturētā valsts atbalsta izmaksas atsākšanu. Publiskais tirgotājs apturētā valsts atbalsta izmaksu veic 10 kalendāro dienu laikā pēc biroja lēmuma par apturētā valsts atbalsta izmaksas atsākšanu spēkā stāšanās.</w:t>
            </w:r>
            <w:r>
              <w:rPr>
                <w:rFonts w:ascii="Times New Roman" w:hAnsi="Times New Roman" w:cs="Times New Roman"/>
                <w:i/>
                <w:iCs/>
                <w:color w:val="000000"/>
                <w:sz w:val="24"/>
                <w:szCs w:val="24"/>
              </w:rPr>
              <w:t xml:space="preserve"> Ja komersants divu mēnešu laikā nesniedz pieprasīto informāciju un dokumentus, birojs pieņem lēmumu par komersantam piešķirto obligātā iepirkuma tiesību vai garantētās maksas tiesību atcelšanu.</w:t>
            </w:r>
          </w:p>
          <w:p w14:paraId="67A23398"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 Ņemot vērā, ka, iepērkot elektroenerģiju obligātā iepirkuma ietvaros, elektroenerģijas iepirkuma cena ir atkarīga arī no elektrostacijā uzstādītās elektriskās jaudas, lūdzam plānotājā MK noteikumu Nr.560 50.</w:t>
            </w:r>
            <w:r>
              <w:rPr>
                <w:rFonts w:ascii="Times New Roman" w:hAnsi="Times New Roman" w:cs="Times New Roman"/>
                <w:color w:val="000000"/>
                <w:sz w:val="24"/>
                <w:szCs w:val="24"/>
                <w:vertAlign w:val="superscript"/>
              </w:rPr>
              <w:t xml:space="preserve">5 </w:t>
            </w:r>
            <w:r>
              <w:rPr>
                <w:rFonts w:ascii="Times New Roman" w:hAnsi="Times New Roman" w:cs="Times New Roman"/>
                <w:color w:val="000000"/>
                <w:sz w:val="24"/>
                <w:szCs w:val="24"/>
              </w:rPr>
              <w:t>punktā un MK noteikumu Nr.561 49.</w:t>
            </w:r>
            <w:r>
              <w:rPr>
                <w:rFonts w:ascii="Times New Roman" w:hAnsi="Times New Roman" w:cs="Times New Roman"/>
                <w:color w:val="000000"/>
                <w:sz w:val="24"/>
                <w:szCs w:val="24"/>
                <w:vertAlign w:val="superscript"/>
              </w:rPr>
              <w:t xml:space="preserve">5 </w:t>
            </w:r>
            <w:r>
              <w:rPr>
                <w:rFonts w:ascii="Times New Roman" w:hAnsi="Times New Roman" w:cs="Times New Roman"/>
                <w:color w:val="000000"/>
                <w:sz w:val="24"/>
                <w:szCs w:val="24"/>
              </w:rPr>
              <w:t xml:space="preserve">punktā paredzēt, ka Būvniecības valsts kontroles biroja lēmumā, kas pieņemts attiecībā uz apvienojošo elektrostaciju, vienlaikus ar obligātā iepirkuma ietvaros iepērkamās elektroenerģijas apjomu, termiņiem, obligātā iepirkuma ietvaros iepērkamās elektroenerģijas aprēķinam piemērojamajiem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vietu sistēmas operatora tīkliem mērījumu punktiem, kā arī visu minēto lielumu izmaiņām atlikušajā atbalsta periodā atbilstoši apvienotajām elektrostacijām piešķirtajām obligātā iepirkuma tiesībām tiek noteikta arī kopējā uzstādītā elektriskā jauda.</w:t>
            </w:r>
          </w:p>
          <w:p w14:paraId="54A24E0C"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Ņemot vērā, ka Grozījumu 560.noteikumos un Grozījumu 561.noteikumos piemērošanas rezultātā iespējama situācija, ka elektrostaciju apvienošanas rezultātā apvienotās elektrostacijas kopējā uzstādītā elektriskā jauda pārsniedz 4 MW, MK noteikumos Nr.561 nepieciešams paredzēt iepirkuma cenas aprēķināšanas kārtību šādai elektrostacijai, jo pašreizējās MK noteikumu Nr.561 redakcijas 67.punkts paredz elektroenerģijas obligātā iepirkuma cenas aprēķina formulu tikai elektrostacijām ar uzstādīto elektrisko jaudu līdz 4 </w:t>
            </w:r>
            <w:r>
              <w:rPr>
                <w:rFonts w:ascii="Times New Roman" w:hAnsi="Times New Roman" w:cs="Times New Roman"/>
                <w:color w:val="000000"/>
                <w:sz w:val="24"/>
                <w:szCs w:val="24"/>
              </w:rPr>
              <w:lastRenderedPageBreak/>
              <w:t>MW.</w:t>
            </w:r>
          </w:p>
          <w:p w14:paraId="7198F78D"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Tiesiskās noteiktības nolūkā aicinām papildināt MK noteikumu Nr.560 plānoto 74.punktu ar norādi uz brīdi, ar kuru pēc elektrostacijas principiālās elektriskā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shēmas iesniegšanas ir piemērojama MK noteikumos Nr.560 24. un 32.punktā noteiktā iepirkuma kārtība, to nosakot, piemēram, kā nākamo pilnā kalendāra mēneša pirmo datumu pēc minētās principiālās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shēmas iesniegšanas vai kā MK noteikumu Nr.560 plānotajā 75.punktā noteikto datumu, ar kuru apturams elektroenerģijas iepirkums obligātā iepirkuma ietvaros, ja principiālā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shēma nav iesniegta.</w:t>
            </w:r>
          </w:p>
          <w:p w14:paraId="145DCA38" w14:textId="77777777" w:rsidR="00E37F3E" w:rsidRDefault="00E37F3E" w:rsidP="00E37F3E">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Aicinām Grozījumu 560.noteikumos saskaņošanas un pieņemšanas procesā izvērtēt nepieciešamību pārskatīt MK noteikumu Nr.560 plānotajā 75.punktā paredzēto datumu, no kura pārtraucams iepirkt elektroenerģiju obligātā iepirkuma ietvaros, ja komersants nav iesniedzis principiālo elektriskā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shēmu, ņemot vērā, ka plānotais MK noteikumu Nr.560 74.punkts paredz komersantam pēc Grozījumu 560.noteikumos spēkā stāšanās mēnesi laika elektriskā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shēmas iesniegšanai. Tāpat aicinām redakcionāli pārskatīt MK noteikumu Nr.560 plānotā 75.punkta redakciju attiecībā uz tajā norādītajām publiskā tirgotāja veicamajām darbībām.</w:t>
            </w:r>
          </w:p>
        </w:tc>
      </w:tr>
    </w:tbl>
    <w:p w14:paraId="08BF9407" w14:textId="77777777" w:rsidR="00E37F3E" w:rsidRDefault="00E37F3E" w:rsidP="00E37F3E">
      <w:pPr>
        <w:autoSpaceDE w:val="0"/>
        <w:autoSpaceDN w:val="0"/>
        <w:adjustRightInd w:val="0"/>
        <w:spacing w:after="0" w:line="240" w:lineRule="auto"/>
        <w:rPr>
          <w:rFonts w:ascii="Times New Roman" w:hAnsi="Times New Roman" w:cs="Times New Roman"/>
          <w:color w:val="000000"/>
          <w:sz w:val="24"/>
          <w:szCs w:val="24"/>
        </w:rPr>
      </w:pPr>
    </w:p>
    <w:p w14:paraId="389E909C" w14:textId="77777777" w:rsidR="00E37F3E" w:rsidRDefault="00E37F3E" w:rsidP="00E37F3E">
      <w:pPr>
        <w:autoSpaceDE w:val="0"/>
        <w:autoSpaceDN w:val="0"/>
        <w:adjustRightInd w:val="0"/>
        <w:spacing w:after="0" w:line="240" w:lineRule="auto"/>
        <w:rPr>
          <w:rFonts w:ascii="Times New Roman" w:hAnsi="Times New Roman" w:cs="Times New Roman"/>
          <w:color w:val="000000"/>
          <w:sz w:val="24"/>
          <w:szCs w:val="24"/>
        </w:rPr>
      </w:pPr>
    </w:p>
    <w:p w14:paraId="361E6FC3" w14:textId="77777777" w:rsidR="00E37F3E" w:rsidRDefault="00E37F3E" w:rsidP="00E37F3E">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48B2636E" w14:textId="77777777" w:rsidR="00E37F3E" w:rsidRDefault="00E37F3E" w:rsidP="00E37F3E">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E37F3E" w14:paraId="56CBF6A1" w14:textId="77777777" w:rsidTr="00E37F3E">
        <w:tc>
          <w:tcPr>
            <w:tcW w:w="2418" w:type="pct"/>
          </w:tcPr>
          <w:p w14:paraId="7E9D59C2" w14:textId="77777777" w:rsidR="00E37F3E" w:rsidRDefault="00E37F3E" w:rsidP="00E37F3E">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Valdes priekšsēdētājs</w:t>
            </w:r>
          </w:p>
        </w:tc>
        <w:tc>
          <w:tcPr>
            <w:tcW w:w="152" w:type="pct"/>
          </w:tcPr>
          <w:p w14:paraId="75896FC5" w14:textId="77777777" w:rsidR="00E37F3E" w:rsidRDefault="00E37F3E" w:rsidP="00E37F3E">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3491C1FE" w14:textId="77777777" w:rsidR="00E37F3E" w:rsidRDefault="00E37F3E" w:rsidP="00E37F3E">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Andris </w:t>
            </w:r>
            <w:proofErr w:type="spellStart"/>
            <w:r>
              <w:rPr>
                <w:rFonts w:ascii="Times New Roman" w:hAnsi="Times New Roman" w:cs="Times New Roman"/>
                <w:color w:val="000000"/>
                <w:sz w:val="24"/>
                <w:szCs w:val="24"/>
              </w:rPr>
              <w:t>Cakuls</w:t>
            </w:r>
            <w:proofErr w:type="spellEnd"/>
          </w:p>
        </w:tc>
      </w:tr>
    </w:tbl>
    <w:p w14:paraId="69C151A8" w14:textId="77777777" w:rsidR="00E37F3E" w:rsidRDefault="00E37F3E" w:rsidP="00E37F3E">
      <w:pPr>
        <w:autoSpaceDE w:val="0"/>
        <w:autoSpaceDN w:val="0"/>
        <w:adjustRightInd w:val="0"/>
        <w:spacing w:after="0" w:line="240" w:lineRule="auto"/>
        <w:rPr>
          <w:rFonts w:ascii="Times New Roman" w:hAnsi="Times New Roman" w:cs="Times New Roman"/>
          <w:color w:val="000000"/>
          <w:sz w:val="24"/>
          <w:szCs w:val="24"/>
        </w:rPr>
      </w:pPr>
    </w:p>
    <w:p w14:paraId="38668BB3" w14:textId="77777777" w:rsidR="00E37F3E" w:rsidRDefault="00E37F3E" w:rsidP="00E37F3E">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E37F3E" w14:paraId="0BA9B333" w14:textId="77777777" w:rsidTr="00E37F3E">
        <w:tc>
          <w:tcPr>
            <w:tcW w:w="5000" w:type="pct"/>
          </w:tcPr>
          <w:p w14:paraId="510A1A8F" w14:textId="77777777" w:rsidR="00E37F3E" w:rsidRDefault="00E37F3E" w:rsidP="00E37F3E">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Roberts Meijers 67728431</w:t>
            </w:r>
          </w:p>
        </w:tc>
      </w:tr>
    </w:tbl>
    <w:p w14:paraId="084C5770" w14:textId="77777777" w:rsidR="005766AC" w:rsidRPr="00424932" w:rsidRDefault="005766AC" w:rsidP="00E37F3E"/>
    <w:sectPr w:rsidR="005766AC" w:rsidRPr="00424932"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66888" w14:textId="77777777" w:rsidR="00D3160E" w:rsidRDefault="00D3160E" w:rsidP="00117405">
      <w:pPr>
        <w:spacing w:after="0" w:line="240" w:lineRule="auto"/>
      </w:pPr>
      <w:r>
        <w:separator/>
      </w:r>
    </w:p>
  </w:endnote>
  <w:endnote w:type="continuationSeparator" w:id="0">
    <w:p w14:paraId="79388D66" w14:textId="77777777" w:rsidR="00D3160E" w:rsidRDefault="00D3160E"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63584" w14:textId="77777777" w:rsidR="00E37F3E" w:rsidRDefault="00E37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B62EA" w14:textId="77777777" w:rsidR="00E37F3E" w:rsidRDefault="00E37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373E3" w14:textId="77777777" w:rsidR="00E37F3E" w:rsidRDefault="00E37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C180D" w14:textId="77777777" w:rsidR="00D3160E" w:rsidRDefault="00D3160E" w:rsidP="00117405">
      <w:pPr>
        <w:spacing w:after="0" w:line="240" w:lineRule="auto"/>
      </w:pPr>
      <w:r>
        <w:separator/>
      </w:r>
    </w:p>
  </w:footnote>
  <w:footnote w:type="continuationSeparator" w:id="0">
    <w:p w14:paraId="58644A68" w14:textId="77777777" w:rsidR="00D3160E" w:rsidRDefault="00D3160E"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C884C" w14:textId="77777777" w:rsidR="00E37F3E" w:rsidRDefault="00E37F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0E59F" w14:textId="77777777" w:rsidR="00E37F3E" w:rsidRDefault="00E37F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53694AA6" w14:textId="77777777" w:rsidTr="007F566F">
      <w:trPr>
        <w:cantSplit/>
        <w:trHeight w:val="3515"/>
        <w:jc w:val="center"/>
      </w:trPr>
      <w:tc>
        <w:tcPr>
          <w:tcW w:w="9061" w:type="dxa"/>
        </w:tcPr>
        <w:p w14:paraId="3368B80B" w14:textId="77777777" w:rsidR="007F566F" w:rsidRPr="007F566F" w:rsidRDefault="00B90832">
          <w:pPr>
            <w:pStyle w:val="Header"/>
            <w:rPr>
              <w:rFonts w:ascii="Times New Roman" w:hAnsi="Times New Roman" w:cs="Times New Roman"/>
              <w:b/>
              <w:sz w:val="24"/>
              <w:szCs w:val="24"/>
            </w:rPr>
          </w:pPr>
          <w:r>
            <w:rPr>
              <w:rFonts w:ascii="Times New Roman" w:hAnsi="Times New Roman" w:cs="Times New Roman"/>
              <w:b/>
              <w:noProof/>
              <w:sz w:val="24"/>
              <w:szCs w:val="24"/>
              <w:lang w:eastAsia="lv-LV"/>
            </w:rPr>
            <w:drawing>
              <wp:anchor distT="0" distB="0" distL="114300" distR="114300" simplePos="0" relativeHeight="251658240" behindDoc="0" locked="0" layoutInCell="1" allowOverlap="1" wp14:anchorId="02D80D78" wp14:editId="35896EAA">
                <wp:simplePos x="0" y="0"/>
                <wp:positionH relativeFrom="column">
                  <wp:posOffset>-1070610</wp:posOffset>
                </wp:positionH>
                <wp:positionV relativeFrom="paragraph">
                  <wp:posOffset>114300</wp:posOffset>
                </wp:positionV>
                <wp:extent cx="7566025" cy="2145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2145665"/>
                        </a:xfrm>
                        <a:prstGeom prst="rect">
                          <a:avLst/>
                        </a:prstGeom>
                        <a:noFill/>
                      </pic:spPr>
                    </pic:pic>
                  </a:graphicData>
                </a:graphic>
                <wp14:sizeRelH relativeFrom="page">
                  <wp14:pctWidth>0</wp14:pctWidth>
                </wp14:sizeRelH>
                <wp14:sizeRelV relativeFrom="page">
                  <wp14:pctHeight>0</wp14:pctHeight>
                </wp14:sizeRelV>
              </wp:anchor>
            </w:drawing>
          </w:r>
        </w:p>
      </w:tc>
    </w:tr>
  </w:tbl>
  <w:p w14:paraId="0961952E" w14:textId="4AE1B33D" w:rsidR="00526744" w:rsidRDefault="00526744">
    <w:pPr>
      <w:pStyle w:val="Header"/>
    </w:pPr>
  </w:p>
  <w:p w14:paraId="4FA61AF4" w14:textId="77777777" w:rsidR="00E37F3E" w:rsidRPr="00E37F3E" w:rsidRDefault="00E37F3E">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3E"/>
    <w:rsid w:val="00046C5E"/>
    <w:rsid w:val="00117405"/>
    <w:rsid w:val="001D1AD2"/>
    <w:rsid w:val="002302EC"/>
    <w:rsid w:val="003E571F"/>
    <w:rsid w:val="003F7941"/>
    <w:rsid w:val="00424932"/>
    <w:rsid w:val="00454313"/>
    <w:rsid w:val="00476996"/>
    <w:rsid w:val="00526744"/>
    <w:rsid w:val="00561709"/>
    <w:rsid w:val="005766AC"/>
    <w:rsid w:val="006232BF"/>
    <w:rsid w:val="00627FAE"/>
    <w:rsid w:val="006512F4"/>
    <w:rsid w:val="006D2C65"/>
    <w:rsid w:val="00707C55"/>
    <w:rsid w:val="00717B9A"/>
    <w:rsid w:val="007F566F"/>
    <w:rsid w:val="0083724C"/>
    <w:rsid w:val="008B458C"/>
    <w:rsid w:val="00974D29"/>
    <w:rsid w:val="009956BB"/>
    <w:rsid w:val="009B414B"/>
    <w:rsid w:val="009C5EBC"/>
    <w:rsid w:val="00A32671"/>
    <w:rsid w:val="00B90832"/>
    <w:rsid w:val="00B95B3B"/>
    <w:rsid w:val="00BF2CBA"/>
    <w:rsid w:val="00CF07FA"/>
    <w:rsid w:val="00D12EA2"/>
    <w:rsid w:val="00D3160E"/>
    <w:rsid w:val="00D9691A"/>
    <w:rsid w:val="00DA5174"/>
    <w:rsid w:val="00E37F3E"/>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F0A64"/>
  <w15:docId w15:val="{FC0DE3E3-8CE0-4FE8-BC93-80BF3DC22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vils.Strikeris\Desktop\Alvils\560%20un%20561%20not%20groz\2021_01_28_atzinumi\//Users/imedveds/AppData/Local/Temp/EPT_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EPT_veidlapa.dotx</Template>
  <TotalTime>0</TotalTime>
  <Pages>3</Pages>
  <Words>4997</Words>
  <Characters>2849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Medvedska</dc:creator>
  <cp:lastModifiedBy>Alvils Strīķeris</cp:lastModifiedBy>
  <cp:revision>2</cp:revision>
  <dcterms:created xsi:type="dcterms:W3CDTF">2021-02-02T10:36:00Z</dcterms:created>
  <dcterms:modified xsi:type="dcterms:W3CDTF">2021-02-02T10:36:00Z</dcterms:modified>
</cp:coreProperties>
</file>