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23-TA-1368: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3.1.1. specifiskā atbalsta mērķa "Attīstīt ilgtspējīgu, pret klimatu izturīgu, inteliģentu, drošu un vairākveidu TEN-T infrastruktūru" 3.1.1.4. pasākuma "Rīgas pilsētas transporta infrastruktūras attīstība"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iesniedzējs projekta īstenošanai, tai skaitā elastības finansējuma priekšfinansēšanai, var piesaistīt papildu publiskos līdzekļus, piemēram, pašvaldības finansējumu vai pašvaldības aizņēmumu Valsts kasē.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aizņemšanās mērķi un nosacījumi, pamatojoties uz  Likumā par budžetu un finanšu vadību un likumā “Par pašvaldību budžetiem” doto deleģējumu, tiek  noteikti  tikai gadskārtējā valsts budžeta likumā. Līdz ar to, pašvaldībai piesakoties projekta īstenošanai, ir detalizēti jāizvērtē projekta kopējās plānotās izmaksas,  kā arī  sava finanšu situācija un iespējas īstenot projektu, attiecībā uz aizņemšanās iespējām stingri ievērojot  gadskārtējā valsts budžeta likumā noteiktos aizņemšanās mērķus un nosacījumus. Attiecīgi lūdzam izteikt noteikumu projekta 7.punktu piedāvātajā redakcijā un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iesniedzējs projekta īstenošanai, tai skaitā elastības finansējuma priekšfinansēšanai, var piesaistīt papildu publiskos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iesniedzējs projekta īstenošanai, tai skaitā elastības finansējuma priekšfinansēšanai, var piesaistīt papildu publiskos līdzekļus.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 īsteno līdz 2029. gada 31. decembrim, sasniedzot šādus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10.punktā definētos sasniedzamos rādītājus un izvērtēt, vai šie ir nacionālie, vai </w:t>
            </w:r>
            <w:r w:rsidR="00000000" w:rsidRPr="00000000" w:rsidDel="00000000">
              <w:rPr>
                <w:i w:val="1"/>
                <w:rtl w:val="0"/>
              </w:rPr>
              <w:t xml:space="preserve">Eiropas Savienības kohēzijas politikas programmā 2021.–2027.gadam </w:t>
            </w:r>
            <w:r w:rsidR="00000000" w:rsidRPr="00000000" w:rsidDel="00000000">
              <w:rPr>
                <w:rtl w:val="0"/>
              </w:rPr>
              <w:t xml:space="preserve">(turpmāk- Programma) iekļautie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rādītāji nav iekļauti Programmā lūgums tos definēt par "nacionālajiem rādītājiem", dzēšot vārdus "iznākuma" un "rezultāta", ņemot vērā to, ka Kohēzijas politikas fondu vadības informācijas sistēmā nav paredzēts nacionālos rādītājus iedalīt iznākuma un rezultāta rādītājos. Papildus lūgums izvērtēt, vai noteikumu projekta 25.2.apakšpunktā norādītie uzkrājamie dati nav jānorāda kā Programmas rādītājs pie 10.punkta.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10.punkts redakcionāli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noteikumu projekta 25.2.apakšpunktā minētie finansējuma saņēmēja uzkrājamie dati (uzkrāj datus par laika ietaupījumu (dienas/gadā) no uzlabotas transporta infrastruktūras) netiek plānoti, kā sasniedzamais nacionālais rādītājs, jo nav iespējams definēt konkrētu sasniedzamo vērtību, ņemot vērā, ka šobrīd nav pieejami atbilstoši dati/satiksmes mērījumi (pasākuma/projekta ietvaros plānots izbūvēt jaunu infrastruktūru). Noteikumu projekts paredz, ka finansējuma saņēmējs uzkrās atbilstošos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 īsteno līdz 2029. gada 31. decembrim, sasniedzot šādus rādītājus: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ir attiecināmas šādas projekta tiešās attiecināmās izmaksas, kas ir tieši saistītas ar projekta īstenošanu un nepieciešamas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būvdarbu līgumcenas indeksācijas izmaksām, kas veidosies indeksācijas nosacījumu izpildes rezultātā, un atbilstoši anotācijai ir ietveramas projekta tiešajās attiecināmajās izmaksās.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ir attiecināmas šādas projekta tiešās attiecināmās izmaksas, kas ir tieši saistītas ar projekta īstenošanu un nepieciešamas projekta rezultātu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ir attiecināmas šādas projekta tiešās attiecināmās izmaksas, kas ir tieši saistītas ar projekta īstenošanu un nepieciešamas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vienkāršoto izmaksu iespējami plašāku piemērošanu. Ja piemērot vienkāršotās izmaksas nav iespējams, lūdzam sniegt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pasākuma/projekta ietvaros plānotās izbūvējamās infrastruktūras apjomu, tai skaitā arī pieejamo finansējumu, kas paredzēts pasākuma mērķa un rādītāju sasniegšanai, noteikumu projekts neparedz pasākuma/projekta īstenošanā piemērot vienkāršotas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investīciju/finansējuma nepietiekamību pasākuma mērķa sasniegšanai, pasākuma ietvaros nav plānots paredzēt vienkāršotās izmaksas, personāla atlīdzību izmaksu segšanai, jo tas radīs arī papildu finanšu ietekmi finansējuma saņēmējam (nepieciešams papildu līdzekļu aizņemšanās Valsts kasē), tādējādi radot arī papildu ietekmi/slogu valsts budžetam.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ir attiecināmas šādas projekta tiešās attiecināmās izmaksas, kas ir tieši saistītas ar projekta īstenošanu un nepieciešamas projekta rezultātu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zemes iegādes izmaksas, ja zemes iegāde ir tieši nepieciešama projektā paredzētās būvniecības īstenošanai, ne vairāk kā 10 procenti no attiecināmo izmaksu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vadlīniju attiecināmo izmaksu noteikšanai Eiropas Savienības kohēzijas politikas programmas 2021.-2027.gada plānošanas periodā 15.3.apakšpunktā ir noteikts, ka atbildīgā iestāde, izstrādājot MK noteikumus par specifiskā atbalsta mērķa (turpmāk - SAM) īstenošanu, sākotnējās ietekmes izvērtējumā (anotācijā) norāda pamatojumu noteikumu projekta 10.punktā ietverto izmaksu nepieciešamībai SAM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atbilstošu pamatojumu 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pasākuma/projekta ietvaros izbūvējamās infrastruktūras specifiku, proti, ka projekta ietvaros tiks pilnībā no jauna izbūvēta infrastruktūra, nevis pārbūvēta jau esoša finansējuma saņēmēja īpašumā vai valdījumā, vai turējumā esošajās zemes vienībās esošā transporta infrastruktūra, līdz ar to noteikumu projekts paredz noteikt, ka projekta ietvaros ir attiecināmas zemes iegādes izmaksas ne vairāk kā 10 procenti no attiecināmo izmaksu kopsummas, ja zemes iegāde ir tieši nepieciešama projektā paredzētās būvniecības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zemes iegādes izmaksas, ja zemes iegāde ir tieši nepieciešama projektā paredzētās būvniecības īstenošanai, ne vairāk kā 10 procenti no attiecināmo izmaksu kopsummas;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18.16. izdevumi neparedzētu izmaksu segšanai ne vairāk kā 5 procentu apmērā no kopējo tiešo attiecināmo izmaksu 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vadlīniju attiecināmo izmaksu noteikšanai Eiropas Savienības kohēzijas politikas programmas 2021.-2027.gada plānošanas periodā 12.2.apakšpunktā noteikto katrā SAM procentuālais apmērs neparedzētajiem izdevumiem ir jāizvērtē individuāli, atkarībā no tā, cik apjomīgus un sarežģītus projektus paredzēts īstenot attiecīgajā SAM, taču tas kopumā nedrīkst pārsniegt 5 % no kopējo tiešo attiecināmo izmaksu summas. Līdz ar to lūdzam anotācijā iekļaut pamatojumu, kāpēc konkrētajā SAM procentuālais apmērs neparedzētajiem izdevumiem ir noteikts tieši 5%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pasākuma/projekta ietvaros plānotās jaunizbūvējamās infrastruktūras apjomu, tai skaitā arī to, ka pasākuma/projekta īstenošana pārsniegts divu gadu īstenošanas termiņu (projektu plānots īstenot līdz 31.12.2027.), noteikumu projekts paredz, ka finansējuma saņēmējam ir attiecināmi  izdevumi neparedzētu izmaksu segšanai ne vairāk kā 5 procentu apmērā no kopējo tiešo attiecināmo izmaksu summas. Procentuālais neparedzēto izdevumu apmērs ir noteikts balstoties uz lietderības un efektivitātes principiem, kā arī ņemot vērā projekta ietvaros jaunizbūvējamās transporta infrastruktūras specifiku.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18.17. izdevumi neparedzētu izmaksu segšanai ne vairāk kā 5 procentu apmērā no kopējo tiešo attiecināmo izmaksu 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un </w:t>
            </w:r>
            <w:r w:rsidR="00000000" w:rsidRPr="00000000" w:rsidDel="00000000">
              <w:rPr>
                <w:rtl w:val="0"/>
              </w:rPr>
              <w:t xml:space="preserve">18.4. </w:t>
            </w:r>
            <w:r w:rsidR="00000000" w:rsidRPr="00000000" w:rsidDel="00000000">
              <w:rPr>
                <w:rtl w:val="0"/>
              </w:rPr>
              <w:t xml:space="preserve">apakšpunktā</w:t>
            </w:r>
            <w:r w:rsidR="00000000" w:rsidRPr="00000000" w:rsidDel="00000000">
              <w:rPr>
                <w:rtl w:val="0"/>
              </w:rPr>
              <w:t xml:space="preserve"> minētās izmaksas kopā nepārsniedz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vadlīniju attiecināmo izmaksu noteikšanai Eiropas Savienības kohēzijas politikas programmas 2021.-2027.gada plānošanas periodā 10.2.apakšpunktā noteikto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noteikumos par specifiskā atbalsta mērķa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pārskatīt noteikumu projekta 19.punktā norādītās atsauces, aizstājot atsauci uz noteikumu projekta 18.4.apakšpunktu ar atsauci uz noteikumu projekta 18.14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un </w:t>
            </w:r>
            <w:r w:rsidR="00000000" w:rsidRPr="00000000" w:rsidDel="00000000">
              <w:rPr>
                <w:rtl w:val="0"/>
              </w:rPr>
              <w:t xml:space="preserve">18.15. </w:t>
            </w:r>
            <w:r w:rsidR="00000000" w:rsidRPr="00000000" w:rsidDel="00000000">
              <w:rPr>
                <w:rtl w:val="0"/>
              </w:rPr>
              <w:t xml:space="preserve">apakšpunktā</w:t>
            </w:r>
            <w:r w:rsidR="00000000" w:rsidRPr="00000000" w:rsidDel="00000000">
              <w:rPr>
                <w:rtl w:val="0"/>
              </w:rPr>
              <w:t xml:space="preserve"> minētās izmaksas kopā nepārsniedz 10 procentus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Izmaksas, kas saskaņā ar šiem noteikumiem nav iekļaujamas kā attiecināmās izmaksas, ir finansējamas ārpus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attiecināmās izmaksās nav iekļaujamas arī tādas izmaksas, kas pārsniedz noteiktos izmaksu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Izmaksas, kas saskaņā ar šiem noteikumiem nav iekļaujamas kā attiecināmās izmaksas, ir finansējamas ārpus projekta, tai skaitā izmaksas, kas pārsniedz šo noteikumu </w:t>
            </w:r>
            <w:r w:rsidR="00000000" w:rsidRPr="00000000" w:rsidDel="00000000">
              <w:rPr>
                <w:rtl w:val="0"/>
              </w:rPr>
              <w:t xml:space="preserve">18.3. apakšpunktā</w:t>
            </w:r>
            <w:r w:rsidR="00000000" w:rsidRPr="00000000" w:rsidDel="00000000">
              <w:rPr>
                <w:rtl w:val="0"/>
              </w:rPr>
              <w:t xml:space="preserve"> un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minētos izmaksu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uzkrāj datus par laika ietaupījumu (dienas/gadā) no uzlabotas transporta infrastruktūras;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kārtību, kādā plānots uzkrāt 25.2.apakšpunktā minētos datus un, vai atbildīgā iestāde plāno izstrādāt metodiku kā šos datus iegūt un uzskaitīt. Ja jā, tad lūdzam iekļaut anotācijā informāciju par metodiku un tās pieejamību (piem., norādot tīmekļvietni).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atbildīgā iestāde neplāno izstrādāt metodiku noteikumu projekta 25.2.apakšpunktā finansējuma saņēmēja minēto datu (par laika ietaupījumu (dienas/gadā) no uzlabotas transporta infrastruktūras) datu iegūšanai/uzskaitīšanai.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šobrīd ir izstrādāta VSIA “Latvijas valsts ceļi” metodiskie norādījumi autoceļu projektu izmaksu-ieguvumu analīzes veikšanai[1], ko finansējuma saņēmēji (pašvaldības) izmanto nepieciešamo datu uzskaitei un apkopošanai, līdz ar to netiek plānota  papildu/jaunas metodikas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https://lvceli.lv/celu-tikls/tehniskie-noteikumi-metodiskie-noradijumi/metodiskie-noradijumi/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uzkrāj datus par laika ietaupījumu (dienas/gadā) no uzlabotas transporta infrastruktūras;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 nodrošina, ka projekta īstenošanas laikā, transporta infrastruktūra un zeme, kas nepieciešama projekta īstenošanai, ir finansējuma saņēmēja īpašumā, vai arī, būvniecības iecere ir saskaņota ar projekta īstenošanai nepieciešamo zemes īpašumu īpašniekiem, atbilstoši būvniecības jomas normatīvo aktu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noteikumu projekts ir attiecināms uz infrastruktūru, tad noteikumu projektā jāiekļauj nosacījumi par</w:t>
            </w:r>
            <w:r w:rsidR="00000000" w:rsidRPr="00000000" w:rsidDel="00000000">
              <w:rPr>
                <w:b w:val="1"/>
                <w:u w:val="single"/>
                <w:rtl w:val="0"/>
              </w:rPr>
              <w:t xml:space="preserve"> finansējuma saņēmēja tiesībām uz konkrēto objektu vai īpašumu, kurā plānots veikt ieguldījumus</w:t>
            </w:r>
            <w:r w:rsidR="00000000" w:rsidRPr="00000000" w:rsidDel="00000000">
              <w:rPr>
                <w:rtl w:val="0"/>
              </w:rPr>
              <w:t xml:space="preserve"> (īpašumā, ilgtermiņa nomā vai nodibinātas apbūves tiesības, bezatlīdzības lietošanā, valdījumā, turējumā u.c.), un finansējuma saņēmēja tiesībām uz konkrēto objektu vai īpašumu jābūt nostiprinātām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25.8.apakšpunkts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 nodrošina, ka transporta infrastruktūras izbūve paredzēta finansējuma saņēmēja īpašumā vai valdījumā, vai turējumā esošajās zemes vienībās, vai arī, finansējuma saņēmējam ar īpašuma vai zems vienību īpašnieku ir noslēgta atbilstoša vienošanās par īpašuma vai zemes vienību, kurās paredzēta transporta infrastruktūras izbūve, ilgtermiņa nomas vai lietojuma tiesībām, vai apbūves tiesībām, kā arī būvniecības, lietošanas, uzturēšanas un attīstības (tai skaitā modernizēšanas, pārbūves) kārtību. Finansējuma saņēmēja tiesības uz konkrēto objektu vai īpašumu ir nostiprinātas Zemesgrāmatā;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Sadarbības iestāde, ja tai ir pieejami valsts budžeta līdzekļi, pamatojoties uz finansējuma saņēmēja rakstisku avansa pieprasījumu un izvērtējot plānotā avansa apmēru, tā pamatojumu un spēju to izlietot sešu mēnešu laikā (piemēram, projekta iesniedzējam ir pabeigts būvdarbu iepirkums vai noslēgts būvdarbu līgums), var piešķirt finansējuma saņēmējam avansu līdz 50 procentiem no projektam piešķirtā Kohēzijas fonda finansējuma pēc vienošanās par projekta īstenošanu noslēgšanas, ievērojot, ievērojot, ka avansa un starpposma maksājumu kopsumma nepārsniedz 90 procentus no projektam piešķirtā Kohēzijas fonda finansējuma.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2023. gada 25. aprīļa noteikumu Nr. 205 "Valsts budžeta līdzekļu plānošanas kārtība Eiropas Savienības fondu projektu īstenošanai un maksājumu veikšanai 2021.– 2027. gada plānošanas periodā" 10. punktam  maksimālais avansa apjoms nevar pārsniegt 30 % no projektam piešķirtā Eiropas Savienības fonda finansējuma un, ja tas ir paredzēts projektā, valsts budžeta līdzfinansējuma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pamatotos gadījumos uz Ministru kabinetu var virzīt priekšlikumu lemt par lielāka avansa apjoma piešķiršanu, tomēr tad anotācijā jāpamato šāda avansa apmēra nepieciešamība un lietderība.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27. punktā noteikto avansa apmēru (līdz 50 procentiem),</w:t>
            </w:r>
            <w:r w:rsidR="00000000" w:rsidRPr="00000000" w:rsidDel="00000000">
              <w:rPr>
                <w:u w:val="single"/>
                <w:rtl w:val="0"/>
              </w:rPr>
              <w:t xml:space="preserve"> lūdzam sniegt pamatojumu anotācijā šāda avansa apmēra nepieciešamībai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noteikumu projekta 27.punkta redakciju, nosakot, ka avanss ir piešķirams, pamatojoties uz finansējuma saņēmēja rakstisku avansa pieprasījumu un izvērtējot plānotā avansa apmēru, tā pamatojumu un spēju to apgūt 6 mēnešu laikā </w:t>
            </w:r>
            <w:r w:rsidR="00000000" w:rsidRPr="00000000" w:rsidDel="00000000">
              <w:rPr>
                <w:b w:val="1"/>
                <w:rtl w:val="0"/>
              </w:rPr>
              <w:t xml:space="preserve">saimnieciskā gada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27.punkts precizēts, savukārt noteikumu projekta anotācija papildināta ar pamatojumu avansa apmēra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piešķiramā avansa apmērs (līdz 50 procentiem) noteikts kā optimālākais variants, kas nepieciešams Projekta īstenošanai, lai tiktu nodrošināta naudas plūsma Projektā iekļauto darbību ieviešanai, ņemot vērā, ka Projektu iesniedzēji ir pašvaldība, kurai ir ierobežotas budžeta iespējas ES fondu projektu priekšfinansēšanai, kā arī ņemot vērā, ka nepieciešams veicināt investīciju nonākšanu tautsaimniecībā un nodrošināt n+3 principa izpildi. Jāņem vērā, ka avansa apmērs noteikts, ievērojot arī to, ka kopumā būtiski kavējas ES kohēzijas politikas programmas 2021.-2027. gadam specifisko atbalsta mērķu un pasākumu uzsākšana un šī pasākuma ietvaros paredzēts atbalsts augstas gatavības projektam. Vienlaikus projektu iesniedzējiem tiek noteikta prasība reizē ar avansa pieprasījumu iesniegt pamatojumu par spēju avansu izlietot sešu mēnešu laikā. Avansa izlietošanas termiņš noteikts, ņemot vērā pasākuma plānoto atlases laika grafiku un to, ka infrastruktūras būvniecība ir cieši saistīta ar sezonalitāti  - ziemas sezonā ir ierobežota būvdarbu veikšana, kad aktīvi būvdarbi nenotiek, tāpēc nepieciešams plānot ilgāku laiku avansa izlietošanai, iekļaujot arī aktīvās būvdarbu sezonas mēnešus. Avanss finansējuma saņēmējam tiks izmaksāts tikai tad, ja norādītajā termiņā ir iespējams to apgūt, piemēram, projekta iesniedzējam ir pabeigts būvdarbu iepirkums vai noslēgts būvdarbu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Sadarbības iestāde, ja tai ir pieejami valsts budžeta līdzekļi, pamatojoties uz finansējuma saņēmēja rakstisku avansa pieprasījumu un izvērtējot plānotā avansa apmēru un tā pamatojumu, var piešķirt finansējuma saņēmējam avansu pēc vienošanās par projekta īstenošanu noslēgšanas. Finansējuma saņēmējs avansa pieprasījumu sagatavo un sadarbības iestāde apstiprina, ievērojot nosacījumu, ka plānotā avansa apmērs un tā pamatojums atbilst spējai to izlietot sešu mēnešu laikā saimnieciskā gada ietvaros (piemēram, projekta iesniedzējam ir pabeigts būvdarbu iepirkums vai noslēgts būvdarbu līgums). Finansējuma saņēmējam avansu var piešķirt līdz 50 procentiem no projektam piešķirtā Kohēzijas fonda finansējuma, ievērojot, ka avansu var izmaksāt vairākos maksājumos un avansa un starpposma maksājumu kopsumma nepārsniedz 90 procentus no projektam piešķirtā Kohēzijas fonda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2.2.apakšpunktu ar informāciju par tiesību akta nozīmi un pienesumu Latvijas kopējai izaugsmei un tautsaimniecības attīstībai, ņemot vērā Finanšu ministrijas 2023.gada vēstulē Nr. 5.1-24/21/ 1076 “Par Eiropas Savienības fondu un Atveseļošanas fonda investīciju pienesumu tautsaimniecībai” ietverto aicinājumu. Vēršam uzmanību, ka saskaņā ar MK 2021.gada 7.septembra noteikumu Nr.617 “Tiesību akta projekta sākotnējās ietekmes izvērtēšanas kārtība” 14.punktā noteikto, izstrādājot sākotnējās ietekmes novērtējumu (anotāciju), ir jāizvērtē arī normatīvā akta ietekme uz tautsaimniecību, norādot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w:t>
            </w:r>
            <w:r w:rsidR="00000000" w:rsidRPr="00000000" w:rsidDel="00000000">
              <w:rPr>
                <w:rtl w:val="0"/>
              </w:rPr>
              <w:t xml:space="preserve">Latvijas Nacionālajā attīstības plānā noteiktajiem mērķiem, u.c.</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3.1.1.4.pasākuma ietvaros plānots īstenot Projektu (Jāņa Čakstes gatves izbūve), kas ir stratēģiski svarīgs, lai pilnībā savienotu Austrumu maģistrāli ar tās pievedceļiem ostai un Latvijas galveno autoceļu tīkla elementiem, kas apkalpo kravu transportu uz un no ostas, tādejādi novēršot infrastruktūras pārrāvumus pilsētas maģistrālo ielu tīklā, tai skaitā investīcijas nodrošinās alternatīvo maršrutu izveidi TEN-T tīkla tranzīta un kravas transportam, veicinās satiksmes intensitātes caurlaides spēju, augstu satiksmes, gājēju un velobraucēju komforta un drošības līmeni. Kopumā tiks veicināta arī ekoloģiskās (gaisa kvalitāte, trokšņa un vibrāciju izplatība, hidroloģiskā režīma un drenāžas apstākļi un ainaviskā vērtība) un dzīves vides (iedzīvotāju dzīves apstākļi, reģiona attīstība kopumā, sasniedzamības nodrošinājums un velosatiksmes iespējas)  kvalitātes uzlabošanās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izbūvētā transporta infrastruktūra radīs pienesumu arī tautsaimniecībai kopumā, jo veicinās raitākus kravu pārvadājumus, samazināsies laiks, kas cilvēkiem/satiksmes dalībniekiem jāpavada ceļā (gan uz uzlabojamā posma, gan uz atslogojamā), uzlabosies mobilitāte un Rīgas valstspilsētas sasniedzamība. Ieguldījumi transporta infrastruktūrā stiprinās arī Latvijas starptautisko konkurētspēju, jo Rīgas valstspilsēta kā Latvijas galvaspilsēta ir svarīgs TEN-T pilsētmezgls, kā arī radīs pozitīvu ietekmi uz nodarbinātību, galvenokārt transporta infrastruktūras būvniecības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arī Latvijas Nacionālais attīstības plānā 2021. - 2027.gadam” rīcības virziena “Tehnoloģiskā vide un pakalpojumi” 312.uzdevuma/mērķa sasniegšana, proti, attīstot drošu ielu un transporta infrastruktūru, kā arī Projekts sekmēs “Transporta attīstības pamatnostādnēs 2021. – 2027.gadam” 1. rīcības virziena “Multimodāla sabiedriskā transporta tīkla ar dzelzceļu kā sabiedriskā transporta “mugurkaulu” attīstība” 1.2. uzdevuma “Uzlabot reģionālo sasniedzamību un piekļuvi TEN-T autoceļiem” 1.2.3. pasākuma “Pilsētu infrastruktūras sasaiste ar TEN-T tīklu”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horizontālā principa “Vienlīdzība, iekļaušana, nediskriminācija un pamattiesību ievērošana” īstenošanai un uzraudzībai (2021-2027) [1] , lūdzam rast iespēju papildināt sadaļu ar informāciju par vispārīgajām un specifiskajām darbībām, kuras veicinās personu ar invaliditāti vienlīdzīgām iespējām un tiesības un kuras plānots īstenots projektu ietvaros, minot konkrētu darbību piemērus.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pozitīva ietekme uz horizontālā principa “Vienlīdzība, iekļaušana, nediskriminācija un pamattiesību ievērošana” ievērošanu. Noteikumu projektā paredzēts, ka finansējuma saņēmējs uzkrāj datus par projekta ietekmi uz noteiktiem horizontālo principu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tiesības, projektu ietvaros ir tiks īstenotas  vispārīgas un specifiskas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 u.c.tiks nodrošināts, ka informācija publiskajā telpā, t.sk., tīmeklī, ir piekļūstama cilvēkiem ar funkcionāliem traucējumiem, izmantojot vairākus sensoros (redze, dzirde, tauste) kanālus (atbilstoši VARAM vadlīnijām “Tīmekļvietnes izvērtējums atbilstoši digitālās vides piekļūstamības prasībām (WCAG 2.1 AA)” (https://pieklustamiba.varam.gov.lv /,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(attiecīgi pievienojot dokumentus, piem., konsultāciju protokolus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horizontālā principa “Vienlīdzība, iekļaušana, nediskriminācija un pamattiesību ievērošana” īstenošanai un uzraudzībai (2021–2027) vadlīnijām, lūdzam papildināt sadaļu ar informāciju par ietekmi uz horizontālo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horizontālā principa “Vienlīdzība, iekļaušana, nediskriminācija un pamattiesību ievērošana” ievērošanu, tādēļ plānotas vispārīgas horizontālā principa darbības, kas vērstas uz dzimumu līdztiesību, piemēram, projekta vadības un īstenošanas personālam – gan sievietēm, gan vīriešiem nodrošināta vienlīdzīga darba samaksa un vienlīdzīgas karjeras izaugsmes iespējas (t.sk. piemērota vienlīdzīgas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Eiropas Savienības fondu pasākumu īstenošanas Ministru kabineta noteikumu anotācijas aizpildīšanai un, ievērojot vadlīnijās "Horizontālais princips “Vienlīdzība, iekļaušana, nediskriminācija un pamattiesību ievērošana” vadlīnijas īstenošanai un uzraudzībai  (2021-2027)" noteikto, aicinām 8.2. sadaļā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paredzētajiem horizontālā principa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iesniegumu vērtēšanas kritērija veidu, kura ietvaros projekta iesniedzējam ir jāsniedz informācija par šī horizontālā principa ievērošanu, paredzot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informācijas un publicitātes pasākumu nodrošināšanā tiks ievēroti nediskriminācijas principi, nepieļaujot stereotipu veidošanos par kādu no dzimumiem, personām ar invaliditāti, reliģisko pārliecību, vecumu, rasi un etnisko izcelsmi vai seksuālo orientāciju. Informācijas un publicitātes pasākumu nodrošināšana ir jāveic saskaņā ar saistošo normatīvo aktu un citu dokumentu noteiktajām prasībām, tostarp nodrošinot, ka informācijas saturs ir piekļūstams cilvēkiem ar funkcionāliem traucējumiem, izmantojot vairākus sensoros (redze, dzirde, tauste) kanālus.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3.1.1.4. pasākuma projektu iesniegumu vērtēšanas kritēriju komplekts (apstiprināti Uzraudzības komitejas 15.06.23 rakstiskajā procedūrā, </w:t>
            </w:r>
            <w:r w:rsidR="00000000" w:rsidRPr="00000000" w:rsidDel="00000000">
              <w:rPr>
                <w:i w:val="1"/>
                <w:rtl w:val="0"/>
              </w:rPr>
              <w:t xml:space="preserve">https://www.esfondi.lv/profesionaliem/uzraudzibas-komiteja/uk-e-portfelis-2021-2027/2023-06-15-uk-rakstiska-procedura-sm_3114</w:t>
            </w:r>
            <w:r w:rsidR="00000000" w:rsidRPr="00000000" w:rsidDel="00000000">
              <w:rPr>
                <w:rtl w:val="0"/>
              </w:rPr>
              <w:t xml:space="preserve">) paredz/iekļauj specifisko atbilstības kritēriju, kura ietvaros projekta iesniedzējam ir jāsniedz informācija par Projektā paredzētajām darbībām, kas veicina vienlīdzību, iekļaušanu, nediskrimināciju un pamattiesību ievērošanu, proti, projektā plānotas vismaz 3 vispārīgās Horizontālā principa “Vienlīdzība, iekļaušana, nediskriminācija un pamattiesību ievērošana” (turpmāk – HP) darbības un vismaz 3 specifiskās HP darbības, kas risinās identificētās mērķa grupas vajadzības un problēmas un veicinās vienlīdzību, iekļaušanu, nediskrimināciju un pamattiesību ievērošanu (HP vispārīgo un specifisko darbību piemēri un rādītāji noteikti LM izstrādātajā metodikā “Horizontālā principa “Vienlīdzība, iekļaušana, nediskriminācija un pamattiesību ievērošana” īstenošanas un uzraudzības metodika (2021-2027)”.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plānotais kopējais finansējums ir ne mazāks kā 86 941 177 </w:t>
            </w:r>
            <w:r w:rsidR="00000000" w:rsidRPr="00000000" w:rsidDel="00000000">
              <w:rPr>
                <w:i w:val="1"/>
                <w:rtl w:val="0"/>
              </w:rPr>
              <w:t xml:space="preserve">euro</w:t>
            </w:r>
            <w:r w:rsidR="00000000" w:rsidRPr="00000000" w:rsidDel="00000000">
              <w:rPr>
                <w:rtl w:val="0"/>
              </w:rPr>
              <w:t xml:space="preserve"> (tai skaitā elastības finansējuma apjoms – 13 291 762 </w:t>
            </w:r>
            <w:r w:rsidR="00000000" w:rsidRPr="00000000" w:rsidDel="00000000">
              <w:rPr>
                <w:i w:val="1"/>
                <w:rtl w:val="0"/>
              </w:rPr>
              <w:t xml:space="preserve">euro</w:t>
            </w:r>
            <w:r w:rsidR="00000000" w:rsidRPr="00000000" w:rsidDel="00000000">
              <w:rPr>
                <w:rtl w:val="0"/>
              </w:rPr>
              <w:t xml:space="preserve">), tai skaitā Kohēzijas fonda finansējums 71 483 894  </w:t>
            </w:r>
            <w:r w:rsidR="00000000" w:rsidRPr="00000000" w:rsidDel="00000000">
              <w:rPr>
                <w:i w:val="1"/>
                <w:rtl w:val="0"/>
              </w:rPr>
              <w:t xml:space="preserve">euro</w:t>
            </w:r>
            <w:r w:rsidR="00000000" w:rsidRPr="00000000" w:rsidDel="00000000">
              <w:rPr>
                <w:rtl w:val="0"/>
              </w:rPr>
              <w:t xml:space="preserve"> (tai skaitā elastības finansējuma apjoms – 11 297 998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15 457 283 </w:t>
            </w:r>
            <w:r w:rsidR="00000000" w:rsidRPr="00000000" w:rsidDel="00000000">
              <w:rPr>
                <w:i w:val="1"/>
                <w:rtl w:val="0"/>
              </w:rPr>
              <w:t xml:space="preserve">euro</w:t>
            </w:r>
            <w:r w:rsidR="00000000" w:rsidRPr="00000000" w:rsidDel="00000000">
              <w:rPr>
                <w:rtl w:val="0"/>
              </w:rPr>
              <w:t xml:space="preserve"> (tai skaitā elastības finansējuma apjoms 1 993 764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noteikumu projekta 4.punktā noteikt lielāku minimālo pašvaldības līdzfinansējuma likmi par 15%, un gadījumā, ja šāda līdzfinansējuma intensitāte ir objektīvi nepieciešama un pamatota, lūdzam to norādīt anotācijā. Vienlaikus vēršam uzmanību, ka šobrīd noteikumu projektā nav ievērota konsekventa pieeja, jo līdzfinansējuma likme ir atšķirīga pieejamajam un elastības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anotācijā norādīta vēl lielāka pašvaldības līdzfinansējuma daļa projektā un attiecīgi lielāka kopējā projekta īstenošanai nepieciešamā attiecināmo izmaksu summa (indikatīvi 138 820 000 euro, tai skaitā Kohēzijas fonda finansējums 71 483 894 euro un nacionālais finansējums (pašvaldības līdzfinansējums) indikatīvi 67 336 106 euro apmērā). Lai nodrošinātu informācijas izsekojamību, lūdzam papildināt anotāciju ar informāciju, vai projektu pilnā apmērā paredzēts īstenot kā ES fondu projektu, vai arī pašvaldības finansējums papildus noteikumu projektā paredzētajam plānots ārpus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ņemot vērā projekta apjomu un ierobežoto Kohēzijas fonda finansējumu, finansējuma saņēmējs (Rīgas valstspilsētas pašvaldība) var ieguldīt papildu/vairāk savu līdzekļu/līdzfinansējumu, tai skaitā paredzēt lielāku attiecināmo izmaksu kopsummu, nepalielinot Kohēzijas fonda finansējuma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plānotais kopējais finansējums ir ne mazāks kā 84 098 699 </w:t>
            </w:r>
            <w:r w:rsidR="00000000" w:rsidRPr="00000000" w:rsidDel="00000000">
              <w:rPr>
                <w:i w:val="1"/>
                <w:rtl w:val="0"/>
              </w:rPr>
              <w:t xml:space="preserve">euro</w:t>
            </w:r>
            <w:r w:rsidR="00000000" w:rsidRPr="00000000" w:rsidDel="00000000">
              <w:rPr>
                <w:rtl w:val="0"/>
              </w:rPr>
              <w:t xml:space="preserve"> (tai skaitā elastības finansējuma apjoms – 13 291 762 </w:t>
            </w:r>
            <w:r w:rsidR="00000000" w:rsidRPr="00000000" w:rsidDel="00000000">
              <w:rPr>
                <w:i w:val="1"/>
                <w:rtl w:val="0"/>
              </w:rPr>
              <w:t xml:space="preserve">euro</w:t>
            </w:r>
            <w:r w:rsidR="00000000" w:rsidRPr="00000000" w:rsidDel="00000000">
              <w:rPr>
                <w:rtl w:val="0"/>
              </w:rPr>
              <w:t xml:space="preserve">), tai skaitā Kohēzijas fonda finansējums 71 483 894 </w:t>
            </w:r>
            <w:r w:rsidR="00000000" w:rsidRPr="00000000" w:rsidDel="00000000">
              <w:rPr>
                <w:i w:val="1"/>
                <w:rtl w:val="0"/>
              </w:rPr>
              <w:t xml:space="preserve">euro</w:t>
            </w:r>
            <w:r w:rsidR="00000000" w:rsidRPr="00000000" w:rsidDel="00000000">
              <w:rPr>
                <w:rtl w:val="0"/>
              </w:rPr>
              <w:t xml:space="preserve"> (tai skaitā elastības finansējuma apjoms – 11 297 998 </w:t>
            </w:r>
            <w:r w:rsidR="00000000" w:rsidRPr="00000000" w:rsidDel="00000000">
              <w:rPr>
                <w:i w:val="1"/>
                <w:rtl w:val="0"/>
              </w:rPr>
              <w:t xml:space="preserve">euro</w:t>
            </w:r>
            <w:r w:rsidR="00000000" w:rsidRPr="00000000" w:rsidDel="00000000">
              <w:rPr>
                <w:rtl w:val="0"/>
              </w:rPr>
              <w:t xml:space="preserve">) un nacionālais līdzfinansējums (pašvaldību finansējums) – ne mazāks kā 12 614 805 </w:t>
            </w:r>
            <w:r w:rsidR="00000000" w:rsidRPr="00000000" w:rsidDel="00000000">
              <w:rPr>
                <w:i w:val="1"/>
                <w:rtl w:val="0"/>
              </w:rPr>
              <w:t xml:space="preserve">euro</w:t>
            </w:r>
            <w:r w:rsidR="00000000" w:rsidRPr="00000000" w:rsidDel="00000000">
              <w:rPr>
                <w:rtl w:val="0"/>
              </w:rPr>
              <w:t xml:space="preserve"> (tai skaitā elastības finansējuma apjoms 1 993 764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2026. gada 1. janvāra atbildīgā iestāde atbilstoši Eiropas Komisijas lēmumam par vidusposma pārskatu var ierosināt sadarbības iestādei palielināt projektam pieejamo Kohēzijas fonda finansējumu līdz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minētajam apmēram, nepārsniedzot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maksimālo Kohēzijas fonda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8.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Atbildīgā iestāde pēc Eiropas Komisijas lēmuma par vidusposma pārskatu var ierosināt no 2026. gada 1. janvāra palielināt pasākumam pieejamo kopējo finansējumu līdz šo noteikumu 4. punktā minētajam plānotajam kopējam finansējuma apmēram, nepārsniedzot šo noteikumu 5. punktā noteikto maksimālo Kohēzijas fonda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Atbildīgā iestāde pēc Eiropas Komisijas lēmuma par vidusposma pārskatu var ierosināt no 2026. gada 1. janvāra palielināt pasākumam pieejamo kopējo finansējumu līdz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minētajam plānotajam kopējam finansējuma apmēram, nepārsniedzot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maksimālo Kohēzijas fonda finansējuma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minētie rādītāji ir sasniegti, kad tiek pabeigti projektā paredzētie būvdarbi, kas tiek pamatoti ar iesniegtiem būvdarbu pabeigšanu pamatojošiem dokumentiem saskaņā ar būvniecības jomu reglamentējošajos normatīvajos aktos noteikto kārtību un objekti ir nodoti ekspluatācijā normatīvajos aktos noteiktajā kārtībā, un projekts ir pabeigts.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paredz, ka „ (..) objekti ir nodoti ekspluatācijā normatīvajos aktos noteiktajā kārtībā.” Atbilstoši juridiskās tehnikas prasībām tiesību normai ir jābūt skaidrai, lai tās lietotājs un piemērotājs gūtu nepārprotamu priekšstatu par saviem pienākumiem un tiesībām. Līdz ar to noteikumu projekta 11. 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minētie rādītāji ir sasniegti, kad tiek pabeigti projektā paredzētie būvdarbi, kas tiek pamatoti ar iesniegtiem būvdarbu pabeigšanu pamatojošiem dokumentiem un objekti ir nodoti ekspluatācijā saskaņā ar būvniecības jomu reglamentējošajos normatīvajos aktos noteikto kārtību, un projekts ir pabeigts.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izmaksas vides aizsardzības obligāto prasību nodrošināšanai, tostarp ietekmes uz vidi novērtējuma izmaksas, ciktāl to paredz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18.2. apakšpunkts noteic, ka attiecināmās izmaksas ir  "izmaksas vides aizsardzības obligāto prasību nodrošināšanai, tostarp ietekmes uz vidi novērtējuma izmaksas, ciktāl to paredz normatīvo aktu prasības.” Atbilstoši juridiskās tehnikas prasībām tiesību normai ir jābūt skaidrai, lai tās lietotājs un piemērotājs gūtu nepārprotamu priekšstatu par saviem pienākumiem un tiesībām. Līdz ar to noteikumu projekta 18.2. apakšpunktā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izmaksas vides aizsardzības obligāto prasību nodrošināšanai, tostarp ietekmes uz vidi novērtējuma izmaksas, ciktāl to paredz normatīvie akti vides aizsardzības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transportbūvju un ielu kompleksam piegulošo inženiertīklu būvniecības izmaksas. Izmaksas attiecināmas tikai gadījumā, ja tiek nodrošināts sertificēta būvinženiera ekspertīzes atzinums, kurā konstatēts, ka projekta ietvaros veicot plānotos ieguldījumus noteiktās teritorijās, nav iespējams izvairīties no minētās infrastruktūras bojāšanas, pārbūves vai pārcelšanas, un ieguldījumi inženiertīklu pārbūvē tiek veikti nemainot inženiertīklu tehniskos parametrus un neradot priekšrocības to īpašniekiem;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sasaisti ar 6.1.3.1.pasākumu, lūdzam izvērtēt, vai nav nosakāms transportbūvju un ielu kompleksam piegulošo inženiertīklu būvniecības izmaksu procentuālais ierobežojums vai sniegt skaidrojumu anotācijā, kāpēc tas netiek noteikts.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anotācijā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noteikt transportbūvju un ielu kompleksam piegulošo inženiertīklu būvniecības izmaksu procentuālo ierobežojumu, ņemot vērā, ka projekta īstenošanā nebūs iespējams izvairīties no būtiskas inženierkomunikāciju pārbūves, tai skaitā nepieciešams veikt augstsprieguma līnijas pārbūvi – pārcelšanu/pārbīdi u.c. inženierkomunikāciju pārbūves darbus, kā arī transportbūvju un ielu kompleksam piegulošo inženiertīklu būvniecības darbus ir būtiski svarīgi  veikt pilnā apjomā, lai nodrošināta Projekta mērķa un rādītāju sasniegšanu pilnā apmērā. Papildus jāņem vērā, ka nereti projekta atbalstāmo darbību izmaksas pārsniedz noteiktos izmaksu ierobežojumus, kā rezultātā finansējuma saņēmējam ir papildu finanšu slogs un ir sarežģītāka nodrošināt kvalitatīvu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transportbūvju un ielu kompleksam piegulošo inženiertīklu būvniecības izmaksas. Izmaksas attiecināmas tikai gadījumā, ja tiek nodrošināts sertificēta būvinženiera ekspertīzes atzinums, kurā konstatēts, ka projekta ietvaros veicot plānotos ieguldījumus noteiktās teritorijās, nav iespējams izvairīties no minētās infrastruktūras bojāšanas, pārbūves vai pārcelšanas, un ieguldījumi inženiertīklu pārbūvē tiek veikti nemainot inženiertīklu tehniskos parametrus un neradot priekšrocības to īpašniekiem;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18.14. būvuzraudzības un autoruzraudzības izmaksas un attiecīgo būvspeciālistu normatīvajos aktos noteiktās obligātās apdrošināšanas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18.4. apakšpunkts noteic, ka attiecināmās izmaksas ir  "izmaksas un attiecīgo būvspeciālistu normatīvajos aktos noteiktās obligātās apdrošināšanas izmaksas”. Atbilstoši juridiskās tehnikas prasībām tiesību normai ir jābūt skaidrai, lai tās lietotājs un piemērotājs gūtu nepārprotamu priekšstatu par saviem pienākumiem un tiesībām. Līdz ar to noteikumu projekta 18.14. apakšpunktā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18.15. būvuzraudzības un autoruzraudzības izmaksas un attiecīgo būvspeciālistu normatīvajos aktos noteiktās obligātās apdrošināšanas izmaksas atbilstoši normatīvajiem aktiem būvspeciālistu un būvdarbu veicēju civiltiesiskās atbildības obligātās apdrošināšanas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18.15. projekta informācijas un publicitātes pasākumu izmaksas atbilstoši normatīvajiem aktiem par kārtību, kādā Eiropas Savienības fondu ieviešanā 2021.–2027. gada plānošanas periodā nodrošināma komunikācijas un vizuālās identitātes prasību 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Savienības fondu praksē un normatīvajos aktos lietoto terminoloģiju, lūdzam aizstāt noteikumu projekta 18.15. un 25.10. apakšpunktā vārdus "informācijas un publicitātes pasākumu" ar vārdiem "komunikācijas un vizuālās identitātes prasību nodrošināšanas".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noteikumu projekta 18.15. apakšpunktā atsauci uz normatīvo aktu, ņemot vērā, ka attiecīgajā normatīvajā aktā nav iekļautas minēto prasību izmaksas, bet gan to saturs. Lūdzam atbilstoši precizēt arī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18.15. projekta komunikācijas un vizuālās identitātes prasību nodrošināšanas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18.16. projekta komunikācijas un vizuālās identitātes prasību nodrošināšanas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Pievienotās vērtības nodokļa maksājumi, kas tiešā veidā saistīti ar projektu, ir attiecināmās izmaksas, ja tos nevar atgūt atbilstoši normatīvajiem aktiem par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noteikumu projekta 20. punktu aiz vārdiem "ir attiecināmās izmaksas" ar vārdiem uz skaitļiem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rosinām izvērtēt nepieciešamību noteikumu projekta 20. punktā atrunāt minētās regulas saīsinājumu, kuru lietot arī noteikumu projekta 25.10.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Pievienotās vērtības nodokļa maksājumi, kas tiešā veidā saistīti ar projektu, ir attiecināmās izmaksas atbilstoši </w:t>
            </w:r>
            <w:r w:rsidR="00000000" w:rsidRPr="00000000" w:rsidDel="00000000">
              <w:rPr>
                <w:rtl w:val="0"/>
              </w:rPr>
              <w:t xml:space="preserve">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00000000" w:rsidRPr="00000000" w:rsidDel="00000000">
              <w:rPr>
                <w:rtl w:val="0"/>
              </w:rPr>
              <w:t xml:space="preserve"> (turpmāk – Regula 2021/1060), 64. panta 1. punkta “c” apakšpunkta nosacījumiem, ja tos nevar atgūt atbilstoši normatīvajiem aktiem par pievienotās vērtības nodokli.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uzkrāj datus par projektā sasniegto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10.punktā minēti vairāki rādītāji, vai arī papildināt, norādot, par kuru rādītāju finansējuma saņēmējam ir jāuzkrāj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uzkrāj datus par projektā sasniegtajiem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minētajiem rādītājiem;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uzkrāj datus par projekta ietekmi uz horizontālā principa “Vienlīdzība, iekļaušana, nediskriminācija un pamattiesību ievērošana” rādītāju – objektu skaits, kuros Kohēzijas fonda ieguldījumu rezultātā ir nodrošināta vides un informācijas pieejamība – un citiem horizontālo principu rādītājiem (ja attiecināms) un ievēro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25.3.apakšpunktu ar jaunu apakšpunktu, norādot finansējuma saņēmēja pienākumu ievērot principu: energoefektivitāte pirmajā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tekstu, norādot, vai investīcijām būs tieša, netieša, vai nebūs ietekmes uz horizontālo principu “Klimatdrošināšana”, “Energoefektivitāte pirmajā vietā” un "</w:t>
            </w:r>
            <w:r w:rsidR="00000000" w:rsidRPr="00000000" w:rsidDel="00000000">
              <w:rPr>
                <w:rtl w:val="0"/>
              </w:rPr>
              <w:t xml:space="preserve">Nenodarīt būtisku kaitējumu</w:t>
            </w:r>
            <w:r w:rsidR="00000000" w:rsidRPr="00000000" w:rsidDel="00000000">
              <w:rPr>
                <w:rtl w:val="0"/>
              </w:rPr>
              <w:t xml:space="preserve">"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pasākumam nav ietekmes uz horizontālā principa  “Energoefektivitāte pirmajā vietā”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precizēta/papildināta noteikuma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uzkrāj datus par projekta ietekmi uz horizontālā principa “Vienlīdzība, iekļaušana, nediskriminācija un pamattiesību ievērošana” rādītāju – objektu skaits, kuros Kohēzijas fonda ieguldījumu rezultātā ir nodrošināta vides un informācijas pieejamība – un citiem horizontālo principu rādītājiem (ja attiecināms) un ievēro principus: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nodrošina, lai pasākuma ietvaros plānotais atbalsts un attiecināmās izmaksas nepārklātos ar citiem valsts un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25.5. apakšpunktu ar nosacījumu, ka finansējuma saņēmējs nodrošina dubultā finansējuma neiestāšanos.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vārdus "plānotais atbalsts un", nodrošinot vienotas un korektas terminoloģijas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nodrošina, lai pasākuma ietvaros attiecināmās izmaksas nepārklātos ar citiem valsts un ārvalstu finanšu atbalsta instrumentiem un novērš dubultā finansējuma risku;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nodrošina sasniegto rezultātu ilgtspēju vismaz piecus gadus pēc projekta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25.6. apakšpunkts nav pretrunā noteikumu projekta 25.7. apakšpunktā noteiktajam projekta radīto vērtību uzturēšanas termiņam. Nepieciešamības gadījumā lūdzam precizēt 25.6.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kad Finansējuma saņēmējs ir pabeidzis projekta īstenošanu, sasniedzis projektā noteikto mērķi un rezultātus, kā arī saņēmis pēdējo maksājumu, tiek uzsākta projekta ilgtspējas nodrošināšana (noteikumu projekta 25.6.apakšpunkts), kas paredz, ka projekta ietvaros  radīto rezultātu (piemēram, atjaunotās vai no jauna izveidotās infrastruktūras) izmantošana, atbilstoši projektā paredzētajam mērķim, tai skaitā ievērojot Eiropas Parlamenta un Padomes Regula (ES) Nr. 1303/2013 (2013.gada 17.decembris ),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25.7.apakšpunktā minētais nosacījums paredz, ka finansējuma saņēmējs nodrošina projekta īstenošanas rezultātā radīto vērtību uzturēšanu ar savlaicīgu uzturēšanas un periodiskās nodilušo konstrukciju atjaunošanas plānošanu un finansējuma piešķiršanu šiem darbiem turpmākos 20 gadus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projekta 25.6. apakšpunkts nav pretrunā noteikumu projekta 25.7.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nodrošina sasniegto rezultātu ilgtspēju vismaz piecus gadus pēc projekta pabeigšanas;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nodrošina projekta īstenošanas rezultātā radīto vērtību uzturēšanu ar savlaicīgu uzturēšanas un periodiskās nodilušo konstrukciju atjaunošanas plānošanu un finansējuma piešķiršanu šiem darbiem turpmākos divdesmit gadus pēc projekta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25.7. apakšpunktu vai anotāciju, norādot, no kādiem līdzekļiem tiks nodrošināta finansējuma piešķiršana projekta īstenošanas rezultātā radīto vērtību uzturēšanai.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nodrošina projekta īstenošanas rezultātā radīto vērtību uzturēšanu ar savlaicīgu uzturēšanas un periodiskās nodilušo konstrukciju atjaunošanas plānošanu un finansējuma piešķiršanu šiem darbiem turpmākos divdesmit gadus pēc projekta īstenošanas. Attiecīgi finansējuma saņēmējam būs jānodrošina projekta īstenošanas rezultātā radīto vērtību uzturēšanu, gan savlaicīgi plānojot projekta gaitā izbūvēto / atjaunoto objektu uzturēšanu un nodilušo konstrukciju periodisku atjaunošanu, gan piešķirot šiem darbiem finansējumu turamākos 20 gadus pēc projekta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nodrošina projekta īstenošanas rezultātā radīto vērtību uzturēšanu ar savlaicīgu uzturēšanas un periodiskās nodilušo konstrukciju atjaunošanas plānošanu un finansējuma piešķiršanu šiem darbiem turpmākos divdesmit gadus pēc projekta īstenošanas;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nodrošina komunikācijas un vizuālās identitātes prasību pasākumus saskaņā ar Regulas 2021/1060 47. un 50.pantu un normatīvajiem aktiem, kas nosaka kārtību, kādā Eiropas Savienības fondu vadībā iesaistītās institūcijas nodrošina šo fondu ieviešanu 2021.–2027. gada plānošanas periodā, kā arī ne retāk kā vienu reizi ceturksnī savā tīmekļvietnē ievieto aktuālo informāciju par projekta īstenošanu un aktualizē to, tiklīdz pieejama aktuālāka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un dizaina vadlīnijas neparedz tik biežu informācijas publicēšanu, lūdzam izvērtēt prasības informācijas publicēšanai tīmekļvietnē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un aicinām papildināt noteikumu projekta anotāciju ar informāciju, atbilstoši Finanšu ministrijas Nr.3.1. "Eiropas Reģionālās attīstības fonda, Eiropas Sociālā fonda plus, Kohēzijas fonda un Taisnīgas pārkārtošanās fonda projekta iesniegumu atlases metodikai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projektam, sabiedrībai skaidri redzamā vietā plānots uzstādīt vismaz vienu plakātu, kura minimālais izmērs ir A3, vai līdzvērtīgu elektronisku paziņojumu, kurā izklāstīta informācija par projektu un uzsvērts no Eiropas Savienības fondiem saņemtais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projekta iesniegums paredz stratēģiskas nozīmes darbības vai darbības, kuru kopējās izmaksas pārsniedz 10 000 000 EUR, ir paredzēts organizēt vismaz vienu informatīvu pasākumu vai aktivitāti (piemēram, atklāšanas, vidusposma, noslēguma pasākums vai aktivitāte) un savlaicīgi tajā iesaistīt Eiropas Komisiju un/vai Eiropas Komisijas pārstāvniecību Latvijā, kā arī atbildīgo iestādi, vadošo iestādi un sadarbības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25.9.apakšpunkts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nodrošina komunikācijas un vizuālās identitātes prasību pasākumus saskaņā ar </w:t>
            </w:r>
            <w:r w:rsidR="00000000" w:rsidRPr="00000000" w:rsidDel="00000000">
              <w:rPr>
                <w:rtl w:val="0"/>
              </w:rPr>
              <w:t xml:space="preserve">Regulas 2021/1060</w:t>
            </w:r>
            <w:r w:rsidR="00000000" w:rsidRPr="00000000" w:rsidDel="00000000">
              <w:rPr>
                <w:rtl w:val="0"/>
              </w:rPr>
              <w:t xml:space="preserve"> 47. un 50.pantu un normatīvajiem aktiem, kas nosaka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ne retāk kā vienu reizi ceturksnī savā tīmekļvietnē ievieto aktuālo informāciju par projekta īstenošanu un aktualizē to, tiklīdz pieejama aktuālāka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publicitātes vadlīnijas neparedz informācijas publicitātes biežumu, ierosinām apvienot 25.9. un 25.10.apakšpunktus, paredzot informācijas aktualizēšanu tīmekļvietnē tiklīdz pieejama aktuālākā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 izstrādā Iekšējās kontroles sistēmu, ietverot tajā informāciju par interešu konflikta, krāpšanas, korupcijas risku un dubultā finansējuma novēršanas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nosaka finansējuma saņēmēja pienākumu projekta īstenošanas laikā nodrošināt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normatīvo aktu publisko iepirkumu jomā prasībām, un parakstīt interešu konflikta neesamības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papildināt arī anotāciju, tostarp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izstrādā Iekšējās kontroles sistēmu, ietverot tajā informāciju par interešu konflikta, krāpšanas, korupcijas risku un dubultā finansējuma novēršanas mehānismu;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kā arī vides pieejamības un izmantojamības nodrošināšana (zaļais publiskais iepirkums), kur tā ir attiecināma un atbilstoša ieguldījumu specifikai, lai īstenotu sociāli atbildīgu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noteikumu projektā iekļaut informāciju par inovatīva publiskā iepirkuma nosacījumu piemērošanu, vai arī anotācijā norādīt, kāpēc šādus nosacījumus nav iespējams piemērot.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kā arī vides pieejamības un izmantojamības nodrošināšana (zaļais publiskais iepirkums), kur tā ir attiecināma un atbilstoša ieguldījumu specifikai, lai īstenotu sociāli atbildīgu iepirkumu, kā arī piemēro inovatīvā publiskā iepirkuma nosacījumus,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sadaļā “Risinājuma apraksts” (7 lpp., 5 rindkopa) norādīto informāciju, ņemot vērā, ka saskaņā ar likumu Par pašvaldību budžetiem, pašvaldības var saņemt aizņēmumus tikai investīciju īstenošanai (kapitālajiem izdevumiem). Skaidrojam, ka personāla atlīdzības izmaksas nav kapitālie izdevumi un tām nav iespējams saņemt Valsts kases aizdevumu. Tāpat, minētais arguments nav attiecināms arī uz vienkāršoto izmaksu piemērošanu, jo vienkāršoto izmaksu piemērošana nerada priekšnosacījumus negatīvai finanšu ietekmei projektā. Vienlaikus lūdzam arī svītrot anotācijas tekstā "[..], noteikumu projekts neparedz Projekta īstenošanā piemērot vienkāršotās izmaksas (personāla izmaksas)" frāzi "personāla izmaksas", ņemot vērā, ka šajā pasākumā personāla izmaksas nav plānotas.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anotācijā sniegto informāciju par to, ka projekta faktiskās kopējās izmaksas plānotas lielākā apjomā nekā paredz noteikumu projekts, atkārtoti vēlamies vērst uzmanību, ka pašvaldībai piesakoties projekta īstenošanai, ir detalizēti jāizvērtē projekta kopējās plānotās izmaksas,  kā arī sava finanšu situācija un iespējas īstenot projektu, attiecībā uz aizņemšanās iespējām, stingri ievērojot gadskārtējā valsts budžeta likumā noteiktos aizņemšanās mērķus un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informāciju par Austruma maģistrāles būvniecības pašreizējo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Saprotamībai, lūdzam pievienot abreviatūras GRT skaidrojumu - garīga rakstura traucējumi.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ar norādi uz Satiksmes ministriju, kura pildīs atbildīgās iestādes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6.1.apakšpunktā iekļaut informāciju par attiecīgās nozares/ jomas pārstāvošu biedrību, nodibinājumu, nevalstisko organizāciju iesaisti MK noteikumu projekta izstrādē. Vēršam uzmanību uz Ministru Prezidenta 2021.gada 7.septembra rezolūcijā Nr. 2021-1.1.1./50-50 noteikto: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6.4. sadaļa “Cita informācija”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izstrādē tika nodrošināta sabiedrības pārstāvju un nozares/ jomas pārstāvošu biedrību, nodibinājumu, nevalstisko organizāciju iesaiste, nododot noteikumu projektu publiskā apspriešanā (sabiedrības līdzdalības organizēšana), kā arī iespēju sniegt viedokli par noteikumu projektu vienotājā tiesību aktu projektu portālā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23-TA-1368</w:t>
    </w:r>
    <w:r>
      <w:br/>
    </w:r>
    <w:r w:rsidR="00000000" w:rsidRPr="00000000" w:rsidDel="00000000">
      <w:rPr>
        <w:rtl w:val="0"/>
      </w:rPr>
      <w:t xml:space="preserve">23.07.2024. 09.22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23-TA-1368</w:t>
    </w:r>
    <w:r>
      <w:br/>
    </w:r>
    <w:r w:rsidR="00000000" w:rsidRPr="00000000" w:rsidDel="00000000">
      <w:rPr>
        <w:rtl w:val="0"/>
      </w:rPr>
      <w:t xml:space="preserve">23.07.2024. 09.22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Izziņa_23-TA-1368.docx</dc:title>
</cp:coreProperties>
</file>

<file path=docProps/custom.xml><?xml version="1.0" encoding="utf-8"?>
<Properties xmlns="http://schemas.openxmlformats.org/officeDocument/2006/custom-properties" xmlns:vt="http://schemas.openxmlformats.org/officeDocument/2006/docPropsVTypes"/>
</file>