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14. janvāra noteikumos Nr. 40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03.10.2025. 13:29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Ministru kabineta noteikumiem noformēt atbilstoši juridiskās tehniskas prasībām, norādot arī šo noteikumu nosaukumu, piem.: Ministru kabineta 2023. gada 25. aprīļa noteikumi Nr. 205 "Valsts budžeta līdzekļu plānošanas kārtība Eiropas Savienības fondu projektu īstenošanai un maksājumu veikšanai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atsauces uz Ministru kabineta noteikumiem ir noformētas atbilstoši juridiskās tehnikas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Ministru kabineta 2025. gada 14. janvāra noteikumos Nr. 40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 (turpmāk - noteikumi Nr. 40), būs nepieciešams veikt grozījumus arī līgumā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ka noteikumu projekts neietekmē līgumā par projekta īstenošanu iekļautos nosacījumus, līdz ar to pēc noteikumu projekta stāšanās spēkā minētajā līgumā nav nepieciešams veikt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konstatēto sasaisti starp Eiropas Savienības fondu 2021.-2027.gada plānošanas perioda 4.2.2.6.pasākumu “Cikliskas institucionālās akreditācijas ieviešana augstākajā izglītībā” un Atveseļošanas un noturības mehānisma (turpmāk - AF) plāna 5.2.1.r. reformu “Augstākās izglītības un zinātnes izcilības un pārvaldības reforma”, kā arī pēdējās aktuālākās diskusijas ar Eiropas Komisiju par reformas īstenošanu AF kontekstā, t.sk. pienākumu veikt pilotprojektus, lūdzam no Izglītības un zinātnes ministrijas puses sadarbībā ar kolēģiem kritiski izvērtēt noteikumus Nr.40, vai tajos ir ietverti visi AF saistību izpildei nepieciešamie nosacījumi un pienākumi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nepieciešamības gadījumā papildināt noteikumu projektu ar nosacījumiem/pienākumiem finansējuma saņēmējam nodrošināt visas nepieciešamās darbības AF mērķu sasniegšanai un Latvijas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informāciju, ka MK noteikumu Nr. 40 18.5. apakšpunktā minētās cikliskas institucionālās akreditācijas aprobācija, tai skaitā pilotakreditāciju īstenošana, tiks uzsākta līdz 2026. gada augusta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saņēmējam paredzēto avansu var izmaksāt pa daļām. Maksimālais avansa apjoms nepārsniedz 30 procentus no projektam piešķirtā ESF+ finansējuma un valsts budžeta līdzfinansējuma kopsummas. Avansa un starpposma maksājumu kopsumma nepārsniedz 90 procentus no projektam piešķirtā ESF+ un valsts budžeta līdzfinansējuma kopsummas. Avansā neietilpst finansējums šo noteikumu </w:t>
            </w:r>
            <w:r w:rsidR="00000000" w:rsidRPr="00000000" w:rsidDel="00000000">
              <w:rPr>
                <w:rtl w:val="0"/>
              </w:rPr>
              <w:t xml:space="preserve">18.4. </w:t>
            </w:r>
            <w:r w:rsidR="00000000" w:rsidRPr="00000000" w:rsidDel="00000000">
              <w:rPr>
                <w:rtl w:val="0"/>
              </w:rPr>
              <w:t xml:space="preserve">apakšpunktā</w:t>
            </w:r>
            <w:r w:rsidR="00000000" w:rsidRPr="00000000" w:rsidDel="00000000">
              <w:rPr>
                <w:rtl w:val="0"/>
              </w:rPr>
              <w:t xml:space="preserve"> noteiktajai atbalstāmajai darbībai, ko īsteno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minētais sadarbības partneris.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minētais sadarbības partneris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minētā finansējuma ietvaros maksājumus veic no līdzekļiem, kas projekta īstenošanai paredzēti Izglītības un zinātnes ministrijas budžetā atbilstoši sadarbības līgumam, kas noslēgts ar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Nr. 40 25. punkta plānoto grozījumu nepieciešamību. Proti, aicinām izvērtēt, vai nosacījumi par sadarbības partnera rīcībā esošo finansējumu nebūtu iekļaujami tikai starp finansējuma saņēmēju un sadarbības partneri noslēgtajā sadarbības līgumā, šos nosacījumus nedublējot noteikumos Nr. 40, tostarp ņemot vērā Ministru kabineta 2023. gada 13. jūlija noteikumu Nr. 408 "Kārtība, kādā Eiropas Savienības fondu vadībā iesaistītās institūcijas nodrošina šo fondu ieviešanu 2021.–2027. gada plānošanas periodā" 6. punktā noteikto par sadarbības līgumā minimāli iekļaujamo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izvērtējusi noteikumu Nr. 40 25. punkta plānoto grozījumu nepieciešamību un informē, ka noteikumu projekta sagatavošanas procesā IZM konsultējās ar Finanšu ministrijas Budžeta politikas attīstības departamenta Budžeta metodoloģijas nodaļas kolēģiem par nepieciešamību finansēšanas nosacījumus iekļaut ne tikai sadarbības līgumā, bet arī noteikumos. Tā rezultātā tika atzīts, ka finansēšanas plūsmas skaidri jāatrunā noteikumos Nr. 40. Skaidrojam, ka noteikumu Nr. 40 25. punkta grozījumi paredz specifiskus finansēšanas nosacījumus, kas attiecas ne tikai finansējuma saņēmēju un sadarbības partneri, bet arī Centrālo finanšu un līgumu aģentūru, kas tai skaitā nodrošinās minētā punkta izpildi.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saņēmējam paredzēto avansu var izmaksāt pa daļām. Maksimālais avansa apjoms nepārsniedz 30 procentus no projektam piešķirtā ESF+ finansējuma un valsts budžeta līdzfinansējuma kopsummas. Avansa un starpposma maksājumu kopsumma nepārsniedz 90 procentus no projektam piešķirtā ESF+ un valsts budžeta līdzfinansējuma kopsummas. Avansā neietilpst finansējums šo noteikumu </w:t>
            </w:r>
            <w:r w:rsidR="00000000" w:rsidRPr="00000000" w:rsidDel="00000000">
              <w:rPr>
                <w:rtl w:val="0"/>
              </w:rPr>
              <w:t xml:space="preserve">18.4. </w:t>
            </w:r>
            <w:r w:rsidR="00000000" w:rsidRPr="00000000" w:rsidDel="00000000">
              <w:rPr>
                <w:rtl w:val="0"/>
              </w:rPr>
              <w:t xml:space="preserve">apakšpunktā</w:t>
            </w:r>
            <w:r w:rsidR="00000000" w:rsidRPr="00000000" w:rsidDel="00000000">
              <w:rPr>
                <w:rtl w:val="0"/>
              </w:rPr>
              <w:t xml:space="preserve"> noteiktajai atbalstāmajai darbībai, ko īsteno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minētais sadarbības partneris.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minētais sadarbības partneris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minētā finansējuma ietvaros maksājumus veic no līdzekļiem, kas projekta īstenošanai paredzēti Izglītības un zinātnes ministrijas budžetā atbilstoši sadarbības līgumam, kas noslēgts ar finansējuma saņēmēju.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un sadarbības partneris projekta īstenošanas laikā nodrošina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panta prasībām un publisko iepirkumu reglamentējošajiem normatīvajiem aktiem,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Nr. 40 40. punkta nepieciešamību, ņemot vērā konkrētā specifiskā atbalsta mērķa projekta veidu un to, ka Eiropas Parlamenta un Padomes 2024. gada 23. septembra Regulas (ES, Euratom) 2024/2509 par finanšu noteikumiem, ko piemēro Savienības vispārējam budžetam (pārstrādātā redakcija) (turpmāk - Regula 2024/2509) 61. panta prasības ir tieši piemērojamas tādiem projektiem, kas saistīti ar Eiropas Savienības fondu atbalsta saņemšanu un vienlaikus kuros atbilstoši specifiskā atbalsta mērķim finansējuma saņēmējs atlases kārtībā Eiropas Savienības fondu projekta dalībniekiem vai gala saņēmējiem sniedz finansiālu atbalstu (t.s. </w:t>
            </w:r>
            <w:r w:rsidR="00000000" w:rsidRPr="00000000" w:rsidDel="00000000">
              <w:rPr>
                <w:u w:val="single"/>
                <w:rtl w:val="0"/>
              </w:rPr>
              <w:t xml:space="preserve">daudzpakāpju projekti</w:t>
            </w:r>
            <w:r w:rsidR="00000000" w:rsidRPr="00000000" w:rsidDel="00000000">
              <w:rPr>
                <w:rtl w:val="0"/>
              </w:rPr>
              <w:t xml:space="preserve">). Turklāt vēršam uzmanību, ka publiskos iepirkumus regulējošajos normatīvajos aktos ir regulēts, kuriem subjektiem ir pienākums nodrošināt interešu konflikta neesību.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2024. gada 30. septembrī stājusies spēkā jaunā “Finanšu regula”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konsolidētajā versijā 40. punkts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un sadarbības partneris projekta īstenošanas laikā nodrošina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panta prasībām un publisko iepirkumu reglamentējošajiem normatīvajiem aktiem, kā arī paraksta interešu konflikta neesības apliecinājumu.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un sadarbības partneris projekta īstenošanas laikā nodrošina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panta prasībām un publisko iepirkumu reglamentējošajiem normatīvajiem aktiem,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noteikumu projekta 40. punktā precizēt regulas atsauci, norādot atsauci uz Regulu 2024/2509.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konsolidētajā versijā 40. punkts ir svītrots, ņemot vērā Finanšu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un sadarbības partneris projekta īstenošanas laikā nodrošina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panta prasībām un publisko iepirkumu reglamentējošajiem normatīvajiem aktiem, kā arī paraksta interešu konflikta neesības apliecinājumu.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25-TA-2184</w:t>
    </w:r>
    <w:r>
      <w:br/>
    </w:r>
    <w:r w:rsidR="00000000" w:rsidRPr="00000000" w:rsidDel="00000000">
      <w:rPr>
        <w:rtl w:val="0"/>
      </w:rPr>
      <w:t xml:space="preserve">06.11.2025. 17.48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25-TA-2184</w:t>
    </w:r>
    <w:r>
      <w:br/>
    </w:r>
    <w:r w:rsidR="00000000" w:rsidRPr="00000000" w:rsidDel="00000000">
      <w:rPr>
        <w:rtl w:val="0"/>
      </w:rPr>
      <w:t xml:space="preserve">06.11.2025. 17.48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Izziņa_25-TA-2184.docx</dc:title>
</cp:coreProperties>
</file>

<file path=docProps/custom.xml><?xml version="1.0" encoding="utf-8"?>
<Properties xmlns="http://schemas.openxmlformats.org/officeDocument/2006/custom-properties" xmlns:vt="http://schemas.openxmlformats.org/officeDocument/2006/docPropsVTypes"/>
</file>