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25-TA-313: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29. marta noteikumos Nr. 245 "Noteikumi par speciālo atļauju (licenci) patērētāju kreditēšanas pakalpojumu sniegšanai"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Kapitālsabiedrībai ir jānodrošina atbilstība noteikumos noteiktajām prasībām visā speciālās atļaujas (licences) spēkā esamības un izsniegtā kredītportfeļa apkalpošanas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"Grozījumi Ministru kabineta 2011.gada 29.marta noteikumos Nr.245 "Noteikumi par speciālo atļauju (licenci) patērētāju kreditēšanas pakalpojumu sniegšanai"" (turpmāk – projekts) sākotnējās ietekmes (ex-ante) novērtējuma ziņojumu (anotāciju) (turpmāk – anotācija). Proti, lūdzam anotācijā pamatot, kā projekta 1.punktā ietvertā 7.</w:t>
            </w:r>
            <w:r w:rsidR="00000000" w:rsidRPr="00000000" w:rsidDel="00000000">
              <w:rPr>
                <w:vertAlign w:val="superscript"/>
                <w:rtl w:val="0"/>
              </w:rPr>
              <w:t xml:space="preserve">2</w:t>
            </w:r>
            <w:r w:rsidR="00000000" w:rsidRPr="00000000" w:rsidDel="00000000">
              <w:rPr>
                <w:rtl w:val="0"/>
              </w:rPr>
              <w:t xml:space="preserve"> punkta regulējums attiecībā uz to, ka kapitālsabiedrībai ir jānodrošina atbilstība noteikumos noteiktajām prasībām visā izsniegtā kredītportfeļa apkalpošanas laikā, atbilst Ministru kabinetam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Patērētāju tiesību aizsardzības likuma 8. panta 1.</w:t>
            </w:r>
            <w:r w:rsidR="00000000" w:rsidRPr="00000000" w:rsidDel="00000000">
              <w:rPr>
                <w:vertAlign w:val="superscript"/>
                <w:rtl w:val="0"/>
              </w:rPr>
              <w:t xml:space="preserve">3</w:t>
            </w:r>
            <w:r w:rsidR="00000000" w:rsidRPr="00000000" w:rsidDel="00000000">
              <w:rPr>
                <w:rtl w:val="0"/>
              </w:rPr>
              <w:t xml:space="preserve"> daļas izriet, ka Ministru kabinets nosaka speciālās atļaujas (licences) izsniegšanas, anulēšanas un darbības apturēšanas kārtību, prasības, kādām jāatbilst kapitālsabiedrībai, lai tā varētu saņemt speciālo atļauju (licenci), tajā skaitā prasības par pamatkapitālu, kā arī prasības attiecībā uz kapitālsabiedrības padomes un valdes locekļiem, valsts nodevas apmēru par speciālās atļaujas (licences) izsniegšanu un ikgadējās valsts nodevas apmēru par kreditēšanas pakalpojumu sniedzēja darbības uzraudzību un maksāšanas kārtību. No minētā pilnvarojuma Ministru kabinetam neizriet noteikt prasības kapitālsabiedrībai pēc speciālās atļaujas (licences) anulēšanas.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punktā iekļautā prasība pārnesta uz likumprojektu Grozījumi Patērētāju tiesību aizsardzības likumā (24-TA-3045)  - iekļaujot to kā 8.panta 1</w:t>
            </w:r>
            <w:r w:rsidR="00000000" w:rsidRPr="00000000" w:rsidDel="00000000">
              <w:rPr>
                <w:vertAlign w:val="superscript"/>
                <w:rtl w:val="0"/>
              </w:rPr>
              <w:t xml:space="preserve">5</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ieskatā tiesību akta projekts paredz atkāpi no Ministru kabineta 2011. gada 29. marta noteikumos Nr. 245 "Noteikumi par speciālo atļauju (licenci) patērētāju kreditēšanas pakalpojumu sniegšanai" noteiktās valsts nodevas maksāšanas kārtības, tādēļ aicinām pārliecināties, ka tiesību akta projektam nebūs ietekme uz valsts budžetu, un attiecīgi vērtējams, vai jāaizpilda tiesību akta projekta anotācijas 3.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secinām, ka ietekmes uz budžetu nebūs, ņemot vērā, ka jau šobrīd, ja netiek samaksāta nodeva, licence ir jāanulē. Ņemot vērā augsto licences maksu, šis ir starpposms, ļaujot komersantiem nokārtot savas saistības, lai licence nebūtu uzreiz jāanulē un komersantam licences saņemšanas process nebūtu jāuzsāk no jauna.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šo noteikumu </w:t>
            </w:r>
            <w:r w:rsidR="00000000" w:rsidRPr="00000000" w:rsidDel="00000000">
              <w:rPr>
                <w:rtl w:val="0"/>
              </w:rPr>
              <w:t xml:space="preserve">12.</w:t>
            </w:r>
            <w:r w:rsidR="00000000" w:rsidRPr="00000000" w:rsidDel="00000000">
              <w:rPr>
                <w:rtl w:val="0"/>
              </w:rPr>
              <w:t xml:space="preserve">punktā minēto iesniegumu iesniedz elektroniska dokumenta formā, kapitālsabiedrība iesniegumu un tam pievienoto dokumentu elektroniskās kopijas apliecina ar drošu elektronisko parakstu un laika zīmogu atbilstoši normatīvajiem aktiem par elektronisko dokumentu noformēšanu.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2.punktā ietverto 15.punktu.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Elektronisko dokumentu likuma 3.panta pirmo daļu prasība pēc dokumenta rakstveida formas attiecībā uz elektronisko dokumentu ir izpildīta, ja elektroniskajam dokumentam ir elektroniskais paraksts un elektroniskais dokuments atbilst citām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Elektronisko dokumentu likuma 5.panta otrās daļas izriet, ka papīra dokumenta elektroniskajai kopijai, norakstam vai izrakstam ir tāds pats juridiskais spēks kā oriģinālam, ja persona, kurai saskaņā ar normatīvo aktu prasībām ir tiesības apliecināt dokumentu oriģinālu kopijas, norakstus vai izrakstus, ir apliecinājusi tā pareizību ar drošu elektronisko parakstu un laika zīmogu.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projekta 2.punktā ietvertais 15.punkts ir lieks, jo Ministru kabineta 2011.gada 29.marta noteikumu Nr.245 "Noteikumi par speciālo atļauju (licenci) patērētāju kreditēšanas pakalpojumu sniegšanai" 12.punktā ietvertais regulējums ir attiecināms arī uz elektroniskajiem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šo noteikumu </w:t>
            </w:r>
            <w:r w:rsidR="00000000" w:rsidRPr="00000000" w:rsidDel="00000000">
              <w:rPr>
                <w:rtl w:val="0"/>
              </w:rPr>
              <w:t xml:space="preserve">12.</w:t>
            </w:r>
            <w:r w:rsidR="00000000" w:rsidRPr="00000000" w:rsidDel="00000000">
              <w:rPr>
                <w:rtl w:val="0"/>
              </w:rPr>
              <w:t xml:space="preserve">punktā minēto iesniegumu iesniedz elektroniska dokumenta formā, kapitālsabiedrība iesniegumu un tam pievienoto dokumentu elektroniskās kopijas apliecina ar drošu elektronisko parakstu un laika zīmogu atbilstoši normatīvajiem aktiem par elektronisko dokumentu noformēšanu.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 Patērētāju tiesību aizsardzības centra rīcībā ir informācija par speciālās atļaujas (licences) darbības laikā kapitālsabiedrības vai kapitālsabiedrības padomes (ja tāda izveidota) vai valdes locekļa, prokūrista vai atbildīgās personas pieļautiem pārkāpumiem komercdarbības, nodokļu, patērētāju tiesību aizsardzības, fizisko personu datu aizsardzības vai noziedzīgi iegūtu līdzekļu legalizācijas un terorisma un proliferācijas finansēšanas novēršanas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paredz Ministru kabineta 2011. gada 29. marta noteikumu Nr. 245 "Noteikumi par speciālo atļauju (licenci) patērētāju kreditēšanas pakalpojumu sniegšanai" 38.8. apakšpunktu izteikt jaunā redakcijā, papildinot to ar normu, kas Patērētāju tiesību aizsardzības centram (turpmāk - PTAC) dod tiesības pieņemt lēmumu par kapitālsabiedrībai izsniegtās speciālās atļaujas (licences) darbības apturēšanu uz laiku līdz sešiem mēnešiem, ja PTAC rīcībā ir informācija par speciālās atļaujas (licences) darbības laikā </w:t>
            </w:r>
            <w:r w:rsidR="00000000" w:rsidRPr="00000000" w:rsidDel="00000000">
              <w:rPr>
                <w:u w:val="single"/>
                <w:rtl w:val="0"/>
              </w:rPr>
              <w:t xml:space="preserve">kapitālsabiedrības vai kapitālsabiedrības padomes (ja tāda izveidota) vai valdes locekļa, prokūrista vai atbildīgās personas pieļautiem pārkāpumiem nodokļu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projekta anotācijā skaidrot par kādiem tieši pārkāpumiem nodokļu jomā noteikumu projektā tiek runāts (piemēram, Krimināllikumā noteiktajiem pārkāpumiem nodokļu jomā, Administratīvās atbildības likumā paredzētajiem administratīvajiem pārkāpumiem vai nodokļu auditā konstatētiem nodokļu pārkāpumiem,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 Patērētāju tiesību aizsardzības centra rīcībā ir informācija par speciālās atļaujas (licences) darbības laikā kapitālsabiedrības vai kapitālsabiedrības padomes (ja tāda izveidota) vai valdes locekļa, prokūrista vai atbildīgās personas pieļautiem pārkāpumiem komercdarbības, nodokļu, patērētāju tiesību aizsardzības, fizisko personu datu aizsardzības vai noziedzīgi iegūtu līdzekļu legalizācijas un terorisma un proliferācijas finansēšanas novēršanas jomā.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25-TA-313</w:t>
    </w:r>
    <w:r>
      <w:br/>
    </w:r>
    <w:r w:rsidR="00000000" w:rsidRPr="00000000" w:rsidDel="00000000">
      <w:rPr>
        <w:rtl w:val="0"/>
      </w:rPr>
      <w:t xml:space="preserve">18.07.2025. 19.40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25-TA-313</w:t>
    </w:r>
    <w:r>
      <w:br/>
    </w:r>
    <w:r w:rsidR="00000000" w:rsidRPr="00000000" w:rsidDel="00000000">
      <w:rPr>
        <w:rtl w:val="0"/>
      </w:rPr>
      <w:t xml:space="preserve">18.07.2025. 19.40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Izziņa_25-TA-313.docx</dc:title>
</cp:coreProperties>
</file>

<file path=docProps/custom.xml><?xml version="1.0" encoding="utf-8"?>
<Properties xmlns="http://schemas.openxmlformats.org/officeDocument/2006/custom-properties" xmlns:vt="http://schemas.openxmlformats.org/officeDocument/2006/docPropsVTypes"/>
</file>