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71407" w14:textId="54561B7E" w:rsidR="00D55642" w:rsidRPr="00D55642" w:rsidRDefault="00F029DE"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anchorId="2256CFB6" wp14:editId="05958684">
                <wp:simplePos x="0" y="0"/>
                <wp:positionH relativeFrom="column">
                  <wp:align>center</wp:align>
                </wp:positionH>
                <wp:positionV relativeFrom="paragraph">
                  <wp:posOffset>1022985</wp:posOffset>
                </wp:positionV>
                <wp:extent cx="5039995" cy="0"/>
                <wp:effectExtent l="10160" t="13335" r="7620" b="5715"/>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56B46"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strokeweight=".25pt">
                <w10:wrap type="square"/>
              </v:shape>
            </w:pict>
          </mc:Fallback>
        </mc:AlternateContent>
      </w:r>
      <w:r>
        <w:rPr>
          <w:noProof/>
        </w:rPr>
        <w:drawing>
          <wp:anchor distT="0" distB="0" distL="114300" distR="114300" simplePos="0" relativeHeight="251657216" behindDoc="1" locked="0" layoutInCell="1" allowOverlap="1" wp14:anchorId="776B4DB5" wp14:editId="777ACCF9">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84175"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6AE41B84" w14:textId="77777777" w:rsidR="00D55642" w:rsidRPr="006B01C5" w:rsidRDefault="00D55642" w:rsidP="00D55642">
      <w:pPr>
        <w:pStyle w:val="Header"/>
        <w:jc w:val="center"/>
        <w:rPr>
          <w:rFonts w:ascii="Times New Roman" w:hAnsi="Times New Roman"/>
        </w:rPr>
      </w:pPr>
    </w:p>
    <w:p w14:paraId="4C007417" w14:textId="77777777" w:rsidR="00D55642" w:rsidRPr="006B01C5" w:rsidRDefault="00D55642" w:rsidP="00D55642">
      <w:pPr>
        <w:spacing w:after="0" w:line="240" w:lineRule="auto"/>
        <w:jc w:val="center"/>
        <w:rPr>
          <w:rFonts w:ascii="Times New Roman" w:hAnsi="Times New Roman"/>
        </w:rPr>
      </w:pPr>
    </w:p>
    <w:p w14:paraId="487267CD"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68050E51"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C517D6" w14:paraId="030E8BD5" w14:textId="77777777" w:rsidTr="00735284">
        <w:tc>
          <w:tcPr>
            <w:tcW w:w="3227" w:type="dxa"/>
            <w:hideMark/>
          </w:tcPr>
          <w:p w14:paraId="25033A61"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16.04.2021</w:t>
            </w:r>
          </w:p>
        </w:tc>
        <w:tc>
          <w:tcPr>
            <w:tcW w:w="3260" w:type="dxa"/>
            <w:hideMark/>
          </w:tcPr>
          <w:p w14:paraId="07E365DF"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1-57/1000</w:t>
            </w:r>
          </w:p>
        </w:tc>
        <w:tc>
          <w:tcPr>
            <w:tcW w:w="3260" w:type="dxa"/>
            <w:hideMark/>
          </w:tcPr>
          <w:p w14:paraId="39C7CC31"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Ekonomikas ministrija</w:t>
            </w:r>
          </w:p>
          <w:p w14:paraId="40F145C6" w14:textId="77777777" w:rsidR="00735284" w:rsidRDefault="00735284">
            <w:pPr>
              <w:spacing w:after="0" w:line="240" w:lineRule="auto"/>
              <w:jc w:val="both"/>
              <w:rPr>
                <w:rFonts w:ascii="Times New Roman" w:hAnsi="Times New Roman"/>
                <w:sz w:val="28"/>
                <w:szCs w:val="24"/>
              </w:rPr>
            </w:pPr>
          </w:p>
        </w:tc>
      </w:tr>
      <w:tr w:rsidR="00C517D6" w14:paraId="6CBE4D07" w14:textId="77777777" w:rsidTr="00735284">
        <w:tc>
          <w:tcPr>
            <w:tcW w:w="3227" w:type="dxa"/>
            <w:hideMark/>
          </w:tcPr>
          <w:p w14:paraId="6017281E" w14:textId="77777777" w:rsidR="00735284" w:rsidRDefault="00735284" w:rsidP="00782EFF">
            <w:pPr>
              <w:spacing w:after="0" w:line="240" w:lineRule="auto"/>
              <w:jc w:val="both"/>
              <w:rPr>
                <w:rFonts w:ascii="Times New Roman" w:hAnsi="Times New Roman"/>
                <w:sz w:val="28"/>
                <w:szCs w:val="24"/>
              </w:rPr>
            </w:pPr>
            <w:r>
              <w:rPr>
                <w:rFonts w:ascii="Times New Roman" w:hAnsi="Times New Roman"/>
                <w:sz w:val="28"/>
                <w:szCs w:val="24"/>
              </w:rPr>
              <w:t xml:space="preserve">Uz </w:t>
            </w:r>
          </w:p>
        </w:tc>
        <w:tc>
          <w:tcPr>
            <w:tcW w:w="3260" w:type="dxa"/>
            <w:hideMark/>
          </w:tcPr>
          <w:p w14:paraId="736AFA83" w14:textId="77777777" w:rsidR="00735284" w:rsidRDefault="00735284" w:rsidP="00782EFF">
            <w:pPr>
              <w:spacing w:after="0" w:line="240" w:lineRule="auto"/>
              <w:jc w:val="both"/>
              <w:rPr>
                <w:rFonts w:ascii="Times New Roman" w:hAnsi="Times New Roman"/>
                <w:sz w:val="28"/>
                <w:szCs w:val="24"/>
              </w:rPr>
            </w:pPr>
            <w:r>
              <w:rPr>
                <w:rFonts w:ascii="Times New Roman" w:hAnsi="Times New Roman"/>
                <w:sz w:val="28"/>
                <w:szCs w:val="24"/>
              </w:rPr>
              <w:t>Nr.</w:t>
            </w:r>
            <w:r w:rsidR="00782EFF">
              <w:rPr>
                <w:rFonts w:ascii="Times New Roman" w:hAnsi="Times New Roman"/>
                <w:sz w:val="28"/>
                <w:szCs w:val="24"/>
              </w:rPr>
              <w:t>13, 3.§</w:t>
            </w:r>
          </w:p>
        </w:tc>
        <w:tc>
          <w:tcPr>
            <w:tcW w:w="3260" w:type="dxa"/>
          </w:tcPr>
          <w:p w14:paraId="6A196ED8" w14:textId="77777777" w:rsidR="00735284" w:rsidRDefault="00735284">
            <w:pPr>
              <w:spacing w:after="0" w:line="240" w:lineRule="auto"/>
              <w:jc w:val="both"/>
              <w:rPr>
                <w:rFonts w:ascii="Times New Roman" w:hAnsi="Times New Roman"/>
                <w:sz w:val="28"/>
                <w:szCs w:val="24"/>
              </w:rPr>
            </w:pPr>
          </w:p>
        </w:tc>
      </w:tr>
    </w:tbl>
    <w:p w14:paraId="5B9DE959" w14:textId="77777777" w:rsidR="00735284" w:rsidRDefault="00735284" w:rsidP="00735284">
      <w:pPr>
        <w:spacing w:after="0" w:line="240" w:lineRule="auto"/>
        <w:jc w:val="both"/>
        <w:rPr>
          <w:rFonts w:ascii="Times New Roman" w:hAnsi="Times New Roman"/>
          <w:sz w:val="24"/>
          <w:szCs w:val="24"/>
        </w:rPr>
      </w:pPr>
    </w:p>
    <w:p w14:paraId="540DD312" w14:textId="77777777" w:rsidR="00735284" w:rsidRDefault="00735284" w:rsidP="00735284">
      <w:pPr>
        <w:spacing w:after="0" w:line="240" w:lineRule="auto"/>
        <w:rPr>
          <w:rFonts w:ascii="Times New Roman" w:hAnsi="Times New Roman"/>
          <w:sz w:val="28"/>
          <w:szCs w:val="28"/>
        </w:rPr>
      </w:pPr>
    </w:p>
    <w:p w14:paraId="31674E47" w14:textId="77777777" w:rsidR="00782EFF" w:rsidRPr="00782EFF" w:rsidRDefault="00735284" w:rsidP="00735284">
      <w:pPr>
        <w:widowControl/>
        <w:tabs>
          <w:tab w:val="left" w:pos="-1701"/>
        </w:tabs>
        <w:spacing w:after="0" w:line="240" w:lineRule="auto"/>
        <w:rPr>
          <w:rFonts w:ascii="Times New Roman" w:eastAsia="Times New Roman" w:hAnsi="Times New Roman"/>
          <w:noProof/>
          <w:sz w:val="28"/>
          <w:szCs w:val="28"/>
        </w:rPr>
      </w:pPr>
      <w:r w:rsidRPr="00782EFF">
        <w:rPr>
          <w:rFonts w:ascii="Times New Roman" w:eastAsia="Times New Roman" w:hAnsi="Times New Roman"/>
          <w:noProof/>
          <w:sz w:val="28"/>
          <w:szCs w:val="28"/>
        </w:rPr>
        <w:t xml:space="preserve">Par likumprojektu </w:t>
      </w:r>
    </w:p>
    <w:p w14:paraId="6332D37B" w14:textId="77777777" w:rsidR="00782EFF" w:rsidRDefault="00782EFF"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w:t>
      </w:r>
      <w:r w:rsidR="00735284" w:rsidRPr="00782EFF">
        <w:rPr>
          <w:rFonts w:ascii="Times New Roman" w:eastAsia="Times New Roman" w:hAnsi="Times New Roman"/>
          <w:noProof/>
          <w:sz w:val="28"/>
          <w:szCs w:val="28"/>
        </w:rPr>
        <w:t>Grozījumi Enerģētikas liku</w:t>
      </w:r>
      <w:r>
        <w:rPr>
          <w:rFonts w:ascii="Times New Roman" w:eastAsia="Times New Roman" w:hAnsi="Times New Roman"/>
          <w:noProof/>
          <w:sz w:val="28"/>
          <w:szCs w:val="28"/>
        </w:rPr>
        <w:t>mā”</w:t>
      </w:r>
      <w:r w:rsidR="00735284" w:rsidRPr="00782EFF">
        <w:rPr>
          <w:rFonts w:ascii="Times New Roman" w:eastAsia="Times New Roman" w:hAnsi="Times New Roman"/>
          <w:noProof/>
          <w:sz w:val="28"/>
          <w:szCs w:val="28"/>
        </w:rPr>
        <w:t xml:space="preserve"> </w:t>
      </w:r>
    </w:p>
    <w:p w14:paraId="2FE7FFC9" w14:textId="77777777" w:rsidR="00735284" w:rsidRDefault="00735284" w:rsidP="00735284">
      <w:pPr>
        <w:widowControl/>
        <w:tabs>
          <w:tab w:val="left" w:pos="-1701"/>
        </w:tabs>
        <w:spacing w:after="0" w:line="240" w:lineRule="auto"/>
        <w:rPr>
          <w:rFonts w:ascii="Times New Roman" w:eastAsia="Times New Roman" w:hAnsi="Times New Roman"/>
          <w:noProof/>
          <w:sz w:val="28"/>
          <w:szCs w:val="28"/>
        </w:rPr>
      </w:pPr>
      <w:r w:rsidRPr="00782EFF">
        <w:rPr>
          <w:rFonts w:ascii="Times New Roman" w:eastAsia="Times New Roman" w:hAnsi="Times New Roman"/>
          <w:noProof/>
          <w:sz w:val="28"/>
          <w:szCs w:val="28"/>
        </w:rPr>
        <w:t>(VSS-307</w:t>
      </w:r>
      <w:r w:rsidR="00782EFF" w:rsidRPr="00782EFF">
        <w:rPr>
          <w:rFonts w:ascii="Times New Roman" w:eastAsia="Times New Roman" w:hAnsi="Times New Roman"/>
          <w:noProof/>
          <w:sz w:val="28"/>
          <w:szCs w:val="28"/>
        </w:rPr>
        <w:t>)</w:t>
      </w:r>
    </w:p>
    <w:p w14:paraId="724C7D49" w14:textId="77777777" w:rsidR="00782EFF" w:rsidRDefault="00782EFF" w:rsidP="00735284">
      <w:pPr>
        <w:widowControl/>
        <w:tabs>
          <w:tab w:val="left" w:pos="-1701"/>
        </w:tabs>
        <w:spacing w:after="0" w:line="240" w:lineRule="auto"/>
        <w:rPr>
          <w:rFonts w:ascii="Times New Roman" w:eastAsia="Times New Roman" w:hAnsi="Times New Roman"/>
          <w:noProof/>
          <w:sz w:val="28"/>
          <w:szCs w:val="28"/>
        </w:rPr>
      </w:pPr>
    </w:p>
    <w:p w14:paraId="7B6F4D5B"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Iekšlietu ministrija ir izvērtējusi likumprojektu “Grozījumi Enerģētikas likumā” (turpmāk – likumprojekts) un atbalsta tā tālāko virzību, izsakot šādus iebildumus.</w:t>
      </w:r>
    </w:p>
    <w:p w14:paraId="77F7955D" w14:textId="77777777" w:rsidR="00782EFF" w:rsidRPr="00782EFF" w:rsidRDefault="00782EFF" w:rsidP="00782EFF">
      <w:pPr>
        <w:widowControl/>
        <w:numPr>
          <w:ilvl w:val="0"/>
          <w:numId w:val="12"/>
        </w:numPr>
        <w:tabs>
          <w:tab w:val="left" w:pos="-1701"/>
          <w:tab w:val="left" w:pos="709"/>
          <w:tab w:val="left" w:pos="1134"/>
        </w:tabs>
        <w:spacing w:after="0" w:line="240" w:lineRule="auto"/>
        <w:ind w:left="0"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Precizēt likumprojekta 13. pantu atbilstoši Ministru kabineta 2009. gada 3. februāra noteikumu Nr. 108 “Normatīvo aktu projektu sagatavošanas noteikumi” 153. punktam, ievērojot to, ka vārdi “Drošības policija” Enerģētikas likuma 20.</w:t>
      </w:r>
      <w:r w:rsidRPr="00782EFF">
        <w:rPr>
          <w:rFonts w:ascii="Times New Roman" w:eastAsia="Times New Roman" w:hAnsi="Times New Roman"/>
          <w:noProof/>
          <w:sz w:val="28"/>
          <w:szCs w:val="28"/>
          <w:vertAlign w:val="superscript"/>
        </w:rPr>
        <w:t>3</w:t>
      </w:r>
      <w:r w:rsidRPr="00782EFF">
        <w:rPr>
          <w:rFonts w:ascii="Times New Roman" w:eastAsia="Times New Roman" w:hAnsi="Times New Roman"/>
          <w:noProof/>
          <w:sz w:val="28"/>
          <w:szCs w:val="28"/>
        </w:rPr>
        <w:t> panta ceturtajā daļā lietoti dažādos locījumos.</w:t>
      </w:r>
    </w:p>
    <w:p w14:paraId="702A13FB" w14:textId="77777777" w:rsidR="00782EFF" w:rsidRPr="00782EFF" w:rsidRDefault="00782EFF" w:rsidP="00782EFF">
      <w:pPr>
        <w:widowControl/>
        <w:numPr>
          <w:ilvl w:val="0"/>
          <w:numId w:val="12"/>
        </w:numPr>
        <w:tabs>
          <w:tab w:val="left" w:pos="-1701"/>
          <w:tab w:val="left" w:pos="709"/>
          <w:tab w:val="left" w:pos="1134"/>
        </w:tabs>
        <w:spacing w:after="0" w:line="240" w:lineRule="auto"/>
        <w:ind w:left="0"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Likumprojekta 14. panta otrā daļa paredz papildināt Enerģētikas likuma 23. pantu ar jaunu ceturto daļu, nosakot, ka 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194D867D"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Saskaņā ar likuma “Par policiju” 12. panta pirmās daļas 16. punktu policijas darbiniekam, pildot viņam uzliktos pienākumus atbilstoši dienesta kompetencei, ir tiesības jebkurā diennakts laikā:</w:t>
      </w:r>
    </w:p>
    <w:p w14:paraId="4E2D1817"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lastRenderedPageBreak/>
        <w:t>- iekļūt dzīvoklī bez tajā dzīvojošo atļaujas (ja nepieciešams, lietojot fizisku spēku) gadījumos, kad persona aizturama nozieguma vietā vai apdraudēta citu personu dzīvība;</w:t>
      </w:r>
    </w:p>
    <w:p w14:paraId="33020A6A"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 iekļūt nedzīvojamās telpās un zemes gabalu teritorijā (ja nepieciešams, lietojot fizisku spēku), izņemot tās nedzīvojamās telpas un zemes gabalu teritoriju, kam ir eksteritoriāls vai speciālā režīma statuss, gadījumos,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w:t>
      </w:r>
    </w:p>
    <w:p w14:paraId="70565919"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Jebkurā citā gadījumā iekļūšana dzīvojamās un citās telpās ir pieļaujama tikai likumā noteiktajos gadījumos uz tiesneša lēmuma pamata vai neatliekamos gadījumos ar prokurora piekrišanu kratīšanas izdarīšanai. Tāpat šī likuma norma noteic, ka ikreiz, kad policijas darbinieki šajā pantā paredzētajos gadījumos ir iekļuvuši personu dzīvoklī pret iemītnieku gribu vai lietojot fizisku spēku, par to nekavējoties, bet ne vēlāk kā 24 stundu laikā rakstveidā jāziņo prokuroram.</w:t>
      </w:r>
    </w:p>
    <w:p w14:paraId="3BA5170F"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Līdz ar to, ievērojot likumā “Par policiju” ietverto tiesisko regulējumu, norādām, ka Valsts policijai likumprojektā minētajos gadījumos nav tiesību veikt darbības, lai nodrošinātu piespiedu iekļūšanu telpās (piemēram, lauzt dzīvokļa durvis). Policijas darbinieks likumprojektā minētajā gadījumā var tikt pieaicināts tikai sabiedriskās kārtības nodrošināšanai.</w:t>
      </w:r>
    </w:p>
    <w:p w14:paraId="47726168"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Ņemot vērā minēto, aizstāt likumprojekta 14. panta otrajā daļā vārdus “piesaistot Valsts policiju” ar vārdiem “sabiedriskās kārtības nodrošināšanai pieaicinot Valsts policijas pārstāvi”, līdzīgi kā tas ir noteikts Civilprocesa likuma 575. panta pirmajā daļā attiecībā uz tiesu izpildītāju iekļūšanu telpā</w:t>
      </w:r>
      <w:r w:rsidR="0094772E">
        <w:rPr>
          <w:rFonts w:ascii="Times New Roman" w:eastAsia="Times New Roman" w:hAnsi="Times New Roman"/>
          <w:noProof/>
          <w:sz w:val="28"/>
          <w:szCs w:val="28"/>
        </w:rPr>
        <w:t xml:space="preserve">s, kā arī izslēgt likumprojektā ietvertā </w:t>
      </w:r>
      <w:r w:rsidRPr="00782EFF">
        <w:rPr>
          <w:rFonts w:ascii="Times New Roman" w:eastAsia="Times New Roman" w:hAnsi="Times New Roman"/>
          <w:noProof/>
          <w:sz w:val="28"/>
          <w:szCs w:val="28"/>
        </w:rPr>
        <w:t>Enerģētikas likuma 23. panta ceturtās daļas otro teikumu.</w:t>
      </w:r>
    </w:p>
    <w:p w14:paraId="0A0FAD26"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 xml:space="preserve">Vienlaikus, lai nodrošinātu likumprojektā ietvertā regulējuma skaidru un viennozīmīgu piemērošanu, papildināt likumprojekta sākotnējās ietekmes novērtējuma ziņojuma (anotācijas) I sadaļas 2. punktu ar pamatojumu nepieciešamībai piesaistīt Valsts policiju gadījumos, kad dabasgāzes sadales sistēmas operators vai dabasgāzes pārvades un uzglabāšanas sistēmas operators izmanto likumprojektā paredzētās tiesības iekļūt objektā vai nekustamajā īpašumā, neievērojot gazificētā objekta vai nekustamā īpašuma īpašnieka vai valdītāja gribu, kā arī ar skaidrojumu par Valsts policijas lomu minētajos gadījumos. </w:t>
      </w:r>
    </w:p>
    <w:p w14:paraId="16724088"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noProof/>
          <w:sz w:val="28"/>
          <w:szCs w:val="28"/>
        </w:rPr>
        <w:t>Tāpat</w:t>
      </w:r>
      <w:r w:rsidRPr="00782EFF">
        <w:rPr>
          <w:rFonts w:ascii="Times New Roman" w:eastAsia="Times New Roman" w:hAnsi="Times New Roman"/>
          <w:bCs/>
          <w:noProof/>
          <w:sz w:val="28"/>
          <w:szCs w:val="28"/>
        </w:rPr>
        <w:t xml:space="preserve">, ņemot vērā personas privātās dzīves un mājokļa neaizskaramības aspektus, izvērtēt iespējamību paredzēt, ka likumprojekta 14. panta otrajā daļā minētajos gadījumos dabasgāzes sadales sistēmas operators vai dabasgāzes pārvades un uzglabāšanas sistēmas operators iekļūst </w:t>
      </w:r>
      <w:r w:rsidRPr="00782EFF">
        <w:rPr>
          <w:rFonts w:ascii="Times New Roman" w:eastAsia="Times New Roman" w:hAnsi="Times New Roman"/>
          <w:noProof/>
          <w:sz w:val="28"/>
          <w:szCs w:val="28"/>
        </w:rPr>
        <w:t>gazificētajā objektā vai nekustamajā īpašumā, neievērojot gazificētā objekta vai nekustamā īpašuma īpašnieka vai valdītāja gribu, pamatojoties uz tiesneša lēmumu.</w:t>
      </w:r>
    </w:p>
    <w:p w14:paraId="38225DF3"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lastRenderedPageBreak/>
        <w:t>Savukārt, ievērojot to, ka pienākumu nodrošināt sabiedrisko kārtību likums “Par policiju” nosaka ne tikai Valsts policijai, bet arī pašvaldības policijai, rosinām likumprojektā ietvertajā Enerģētikas likuma 23. panta ceturtajā daļā paredzēt, ka sabiedriskās kārtības nodrošināšanai var piesaistīt ne tikai Valsts policiju, bet arī pašvaldības policiju.</w:t>
      </w:r>
    </w:p>
    <w:p w14:paraId="197B0421" w14:textId="77777777" w:rsidR="00782EFF" w:rsidRPr="00782EFF" w:rsidRDefault="00782EFF" w:rsidP="00782EFF">
      <w:pPr>
        <w:widowControl/>
        <w:numPr>
          <w:ilvl w:val="0"/>
          <w:numId w:val="12"/>
        </w:numPr>
        <w:tabs>
          <w:tab w:val="left" w:pos="-1701"/>
          <w:tab w:val="left" w:pos="709"/>
          <w:tab w:val="left" w:pos="1134"/>
        </w:tabs>
        <w:spacing w:after="0" w:line="240" w:lineRule="auto"/>
        <w:ind w:left="0" w:firstLine="709"/>
        <w:jc w:val="both"/>
        <w:rPr>
          <w:rFonts w:ascii="Times New Roman" w:eastAsia="Times New Roman" w:hAnsi="Times New Roman"/>
          <w:b/>
          <w:bCs/>
          <w:noProof/>
          <w:sz w:val="28"/>
          <w:szCs w:val="28"/>
        </w:rPr>
      </w:pPr>
      <w:r w:rsidRPr="00782EFF">
        <w:rPr>
          <w:rFonts w:ascii="Times New Roman" w:eastAsia="Times New Roman" w:hAnsi="Times New Roman"/>
          <w:noProof/>
          <w:sz w:val="28"/>
          <w:szCs w:val="28"/>
        </w:rPr>
        <w:t>N</w:t>
      </w:r>
      <w:r w:rsidRPr="00782EFF">
        <w:rPr>
          <w:rFonts w:ascii="Times New Roman" w:eastAsia="Times New Roman" w:hAnsi="Times New Roman"/>
          <w:bCs/>
          <w:noProof/>
          <w:sz w:val="28"/>
          <w:szCs w:val="28"/>
        </w:rPr>
        <w:t>o likumprojektā ietvertās Enerģētikas likuma 124. panta trešās daļas izriet, ka Valsts policija regulatoram nodrošina palīdzību visu šā panta minēto darbību izpildē, proti, nodrošina palīdzību, kad regulators: 1) uzaicina personas ierasties regulatorā paskaidrojumu sniegšanai; 2) uzdod tirgus dalībniekam saglabāt regulatora noteiktu informāciju un datus, 3) ierodas pie tirgus dalībnieka (arī bez iepriekšēja brīdinājuma) pārbaudes veikšanai; 4) pamatojoties uz tiesneša lēmumu bez iepriekšēja brīdinājuma iekļūst tirgus dalībnieka un šā tirgus dalībnieka darbinieku īpašumā, valdījumā vai lietošanā esošajos kustamos un nekustamos objektos, atverot tos un tajos esošās glabātavas, veic šo objektu un tajos esošo glabātavu piespiedu pārmeklēšanu un tajos esošo mantu un dokumentu apskati; 5) pamatojoties uz tiesneša lēmumu veic pārmeklēšanas un apskates darbības citu personu īpašumā, valdījumā vai lietošanā esošajos kustamos un nekustamos objektos, ja pastāv pamatotas aizdomas, ka pie šīm personām tiek glabāti dokumenti vai mantas, kas varētu kalpot par pierādījumu Regulas Nr.1227/2011 prasību neievērošanā; 6) pieprasa, lai elektronisko sakaru komersants atklāj un izsniedz Elektronisko sakaru likumā noteiktajā kārtībā saglabājamos datus; 7) pieprasa, lai kredītiestāde sniedz tās rīcībā esošās neizpaužamās ziņas; 8) lūdz tiesai lemt par tirgus dalībnieka aktīvu iesaldēšanu.</w:t>
      </w:r>
    </w:p>
    <w:p w14:paraId="1F5A1917"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bCs/>
          <w:noProof/>
          <w:sz w:val="28"/>
          <w:szCs w:val="28"/>
        </w:rPr>
        <w:t>Vēršam</w:t>
      </w:r>
      <w:r w:rsidR="00AC053E">
        <w:rPr>
          <w:rFonts w:ascii="Times New Roman" w:eastAsia="Times New Roman" w:hAnsi="Times New Roman"/>
          <w:bCs/>
          <w:noProof/>
          <w:sz w:val="28"/>
          <w:szCs w:val="28"/>
        </w:rPr>
        <w:t>a</w:t>
      </w:r>
      <w:r w:rsidRPr="00782EFF">
        <w:rPr>
          <w:rFonts w:ascii="Times New Roman" w:eastAsia="Times New Roman" w:hAnsi="Times New Roman"/>
          <w:bCs/>
          <w:noProof/>
          <w:sz w:val="28"/>
          <w:szCs w:val="28"/>
        </w:rPr>
        <w:t xml:space="preserve"> uzmanība uz to, ka Valsts policijas klātbūtne un palīdzība regulatora darbiniekiem var izpausties</w:t>
      </w:r>
      <w:r w:rsidR="00AC053E">
        <w:rPr>
          <w:rFonts w:ascii="Times New Roman" w:eastAsia="Times New Roman" w:hAnsi="Times New Roman"/>
          <w:bCs/>
          <w:noProof/>
          <w:sz w:val="28"/>
          <w:szCs w:val="28"/>
        </w:rPr>
        <w:t xml:space="preserve"> tikai kā sabiedriskās kārtības</w:t>
      </w:r>
      <w:r w:rsidRPr="00782EFF">
        <w:rPr>
          <w:rFonts w:ascii="Times New Roman" w:eastAsia="Times New Roman" w:hAnsi="Times New Roman"/>
          <w:bCs/>
          <w:noProof/>
          <w:sz w:val="28"/>
          <w:szCs w:val="28"/>
        </w:rPr>
        <w:t xml:space="preserve"> nodrošināšana, lai regulatora darbinieki varētu netraucēti veikt normatīvajos aktos noteikto pienākumu izpildi. No šā aspekta raugoties, Valsts policijas klātbūtne un palīdzība visu likumprojektā noteikto regulatora darbību izpildē nav nedz pamatota, nedz nepieciešama un līdz ar to nav atbalstāma.</w:t>
      </w:r>
    </w:p>
    <w:p w14:paraId="5E815C8C"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bCs/>
          <w:noProof/>
          <w:sz w:val="28"/>
          <w:szCs w:val="28"/>
        </w:rPr>
        <w:t xml:space="preserve">Ievērojot minēto, izslēgt likumprojektā ietverto Enerģētikas likuma 124. panta trešo daļu, kā arī papildināt likumprojekta sākotnējās ietekmes novērtējuma ziņojuma (anotācijas) I sadaļas 2. punktu, pamatojot likumprojektā paredzēto pienākumu policijai piedalīties likumprojektā ietvertajā Enerģētikas likuma 124. panta pirmās daļas 4. un 5. punktā norādītajās procesuālajās darbībās, kā arī skaidrojot policijas lomu tajās, proti, norādīt, ka </w:t>
      </w:r>
      <w:r w:rsidRPr="00782EFF">
        <w:rPr>
          <w:rFonts w:ascii="Times New Roman" w:eastAsia="Times New Roman" w:hAnsi="Times New Roman"/>
          <w:noProof/>
          <w:sz w:val="28"/>
          <w:szCs w:val="28"/>
        </w:rPr>
        <w:t>policija ar savu klātbūtni nodrošina sabiedrisko kārtību un drošību, lai regulators netraucēti varētu veikt normatīvajos aktos noteikto pienākumu izpildi.</w:t>
      </w:r>
    </w:p>
    <w:p w14:paraId="23C854DB"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p>
    <w:p w14:paraId="576C21E9"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Vienlaikus iesakām izvērtēt šādu priekšlikumu.</w:t>
      </w:r>
    </w:p>
    <w:p w14:paraId="6A5DC501"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noProof/>
          <w:sz w:val="28"/>
          <w:szCs w:val="28"/>
        </w:rPr>
        <w:t xml:space="preserve">Mājokļa neaizskaramība ir viena no Latvijas Republikas Satversmē (turpmāk – Satversme) nostiprinātajām cilvēka pamattiesībām. Saskaņā ar Satversmes 96. pantu ikvienam ir tiesības uz privātās dzīves, mājokļa un korespondences neaizskaramību. Arī Eiropas Cilvēka tiesību un pamatbrīvību </w:t>
      </w:r>
      <w:r w:rsidRPr="00782EFF">
        <w:rPr>
          <w:rFonts w:ascii="Times New Roman" w:eastAsia="Times New Roman" w:hAnsi="Times New Roman"/>
          <w:noProof/>
          <w:sz w:val="28"/>
          <w:szCs w:val="28"/>
        </w:rPr>
        <w:lastRenderedPageBreak/>
        <w:t xml:space="preserve">aizsardzības konvencijas 8. pants noteic, ka ikvienam ir tiesības uz savas privātās un ģimenes dzīves, dzīvokļa un korespondences neaizskaramību. </w:t>
      </w:r>
    </w:p>
    <w:p w14:paraId="2A5B9DA4"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noProof/>
          <w:sz w:val="28"/>
          <w:szCs w:val="28"/>
        </w:rPr>
      </w:pPr>
      <w:r w:rsidRPr="00782EFF">
        <w:rPr>
          <w:rFonts w:ascii="Times New Roman" w:eastAsia="Times New Roman" w:hAnsi="Times New Roman"/>
          <w:bCs/>
          <w:noProof/>
          <w:sz w:val="28"/>
          <w:szCs w:val="28"/>
        </w:rPr>
        <w:t>Saskaņā ar Satversmes 116. pantu šīs tiesības var ierobežot likumā paredzētajos gadījumos, lai aizsargātu citu cilvēku tiesības, demokrātisko valsts iekārtu, sabiedrisko drošību, labklājību un tikumību, līdz ar to tiesības uz mājokļa neaizskaramību nav absolūtas.</w:t>
      </w:r>
    </w:p>
    <w:p w14:paraId="17BB7419"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bCs/>
          <w:noProof/>
          <w:sz w:val="28"/>
          <w:szCs w:val="28"/>
        </w:rPr>
        <w:t xml:space="preserve">Savukārt gadījumos, kad tiesības uz mājokļa neaizskaramību tiek ierobežotas, ir jāievēro vispārējie cilvēktiesību ierobežošanas priekšnoteikumi. Proti, šādam ierobežojumam ir jābūt noteiktam ar pienācīgā kārtā pieņemtu likumu, tam ir jābūt leģitīmam mērķim un jābūt samērīgam. </w:t>
      </w:r>
    </w:p>
    <w:p w14:paraId="0D619C8E"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bCs/>
          <w:noProof/>
          <w:sz w:val="28"/>
          <w:szCs w:val="28"/>
        </w:rPr>
        <w:t>Atbilstoši Satversmes tiesas atziņām, izvērtējot pamattiesību ierobežojuma samērīgumu, ir jāpārbauda: 1) vai izraudzītie līdzekļi ir piemēroti leģitīmā mērķa sasniegšanai jeb vai ar izraudzīto līdzekli var sasniegt leģitīmo mērķi; 2) vai šāda rīcība ir nepieciešama jeb vai leģitīmo mērķi nevar sasniegt ar indivīda tiesības mazāk ierobežojošiem līdzekļiem; 3) vai ierobežojums ir atbilstošs jeb vai labums, ko iegūst sabiedrība, ir lielāks par indivīda tiesībām nodarīto kaitējumu (</w:t>
      </w:r>
      <w:r w:rsidRPr="00782EFF">
        <w:rPr>
          <w:rFonts w:ascii="Times New Roman" w:eastAsia="Times New Roman" w:hAnsi="Times New Roman"/>
          <w:bCs/>
          <w:i/>
          <w:noProof/>
          <w:sz w:val="28"/>
          <w:szCs w:val="28"/>
        </w:rPr>
        <w:t>sk. Satversmes tiesas 2017. gada 24. novembra sprieduma lietā Nr. 2017-07-01 secinājumu daļas 17. punktu).</w:t>
      </w:r>
    </w:p>
    <w:p w14:paraId="74BFB346" w14:textId="77777777" w:rsidR="00782EFF"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bCs/>
          <w:noProof/>
          <w:sz w:val="28"/>
          <w:szCs w:val="28"/>
        </w:rPr>
        <w:t>Satversmes tiesa 2017. gada 24. novembra spriedumā lietā Nr. 2017-07-01 ir norādījusi, ka pamattiesību ierobežojums ir nepieciešams, ja nepastāv citi līdzekļi, kuri būtu tikpat iedarbīgi un kurus izvēloties personu pamattiesības tiktu ierobežotas mazāk. Konstatējot, ka ir kaut viens pamattiesības mazāk ierobežojošs līdzeklis, ir pamats atzīt, ka apstrīdētā norma neatbilst samērīguma principam (</w:t>
      </w:r>
      <w:r w:rsidRPr="00782EFF">
        <w:rPr>
          <w:rFonts w:ascii="Times New Roman" w:eastAsia="Times New Roman" w:hAnsi="Times New Roman"/>
          <w:bCs/>
          <w:i/>
          <w:noProof/>
          <w:sz w:val="28"/>
          <w:szCs w:val="28"/>
        </w:rPr>
        <w:t xml:space="preserve">sk. Satversmes tiesas 2009. gada 23. aprīļa sprieduma lietā Nr. 2008-42-01 secinājumu daļas 17.2. punktu). </w:t>
      </w:r>
      <w:r w:rsidRPr="00782EFF">
        <w:rPr>
          <w:rFonts w:ascii="Times New Roman" w:eastAsia="Times New Roman" w:hAnsi="Times New Roman"/>
          <w:bCs/>
          <w:noProof/>
          <w:sz w:val="28"/>
          <w:szCs w:val="28"/>
        </w:rPr>
        <w:t>Tāpat, ir atzīts, ka saudzējošākais līdzeklis ir nevis jebkurš cits, bet tikai tāds līdzeklis, ar kuru var sasniegt leģitīmo mērķi vismaz tādā pašā kvalitātē (</w:t>
      </w:r>
      <w:r w:rsidRPr="00782EFF">
        <w:rPr>
          <w:rFonts w:ascii="Times New Roman" w:eastAsia="Times New Roman" w:hAnsi="Times New Roman"/>
          <w:bCs/>
          <w:i/>
          <w:noProof/>
          <w:sz w:val="28"/>
          <w:szCs w:val="28"/>
        </w:rPr>
        <w:t>sk. Satversmes tiesas 2010. gada 7. oktobra sprieduma lietā Nr. 2010-01-01 secinājumu daļas 14 .punktu</w:t>
      </w:r>
      <w:r w:rsidRPr="00782EFF">
        <w:rPr>
          <w:rFonts w:ascii="Times New Roman" w:eastAsia="Times New Roman" w:hAnsi="Times New Roman"/>
          <w:bCs/>
          <w:noProof/>
          <w:sz w:val="28"/>
          <w:szCs w:val="28"/>
        </w:rPr>
        <w:t>).</w:t>
      </w:r>
    </w:p>
    <w:p w14:paraId="794D6D67" w14:textId="77777777" w:rsidR="00735284" w:rsidRPr="00782EFF" w:rsidRDefault="00782EFF" w:rsidP="00782EFF">
      <w:pPr>
        <w:widowControl/>
        <w:tabs>
          <w:tab w:val="left" w:pos="-1701"/>
          <w:tab w:val="left" w:pos="709"/>
          <w:tab w:val="left" w:pos="1134"/>
        </w:tabs>
        <w:spacing w:after="0" w:line="240" w:lineRule="auto"/>
        <w:ind w:firstLine="709"/>
        <w:jc w:val="both"/>
        <w:rPr>
          <w:rFonts w:ascii="Times New Roman" w:eastAsia="Times New Roman" w:hAnsi="Times New Roman"/>
          <w:bCs/>
          <w:noProof/>
          <w:sz w:val="28"/>
          <w:szCs w:val="28"/>
        </w:rPr>
      </w:pPr>
      <w:r w:rsidRPr="00782EFF">
        <w:rPr>
          <w:rFonts w:ascii="Times New Roman" w:eastAsia="Times New Roman" w:hAnsi="Times New Roman"/>
          <w:bCs/>
          <w:noProof/>
          <w:sz w:val="28"/>
          <w:szCs w:val="28"/>
        </w:rPr>
        <w:t>Ievērojot minēto, aicinām papildināt likumprojekta sākotnējās ietekmes novērtējuma ziņojuma (anotācijas) I sadaļas 2. punktu ar likumprojekta 14. panta otrajā daļā ietvertā tiesiskā regulējuma mērķi, pamatotību un samērīgumu.</w:t>
      </w:r>
    </w:p>
    <w:p w14:paraId="2A6AF4B1" w14:textId="77777777" w:rsidR="00735284" w:rsidRDefault="00735284" w:rsidP="00735284">
      <w:pPr>
        <w:spacing w:after="0" w:line="240" w:lineRule="auto"/>
        <w:rPr>
          <w:rFonts w:ascii="Times New Roman" w:hAnsi="Times New Roman"/>
          <w:sz w:val="28"/>
          <w:szCs w:val="28"/>
        </w:rPr>
      </w:pPr>
    </w:p>
    <w:p w14:paraId="6439EFE8" w14:textId="77777777" w:rsidR="00735284" w:rsidRDefault="00735284"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C517D6" w14:paraId="3DBAD98F" w14:textId="77777777" w:rsidTr="00735284">
        <w:tc>
          <w:tcPr>
            <w:tcW w:w="4650" w:type="dxa"/>
            <w:hideMark/>
          </w:tcPr>
          <w:p w14:paraId="1DB58DAC" w14:textId="77777777" w:rsidR="00735284" w:rsidRDefault="00782EFF">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14:paraId="5908B2A9" w14:textId="77777777"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44390676" w14:textId="77777777" w:rsidR="00735284" w:rsidRDefault="00735284" w:rsidP="00735284">
      <w:pPr>
        <w:spacing w:after="0" w:line="240" w:lineRule="auto"/>
        <w:rPr>
          <w:rFonts w:ascii="Times New Roman" w:hAnsi="Times New Roman"/>
          <w:sz w:val="28"/>
          <w:szCs w:val="28"/>
        </w:rPr>
      </w:pPr>
    </w:p>
    <w:p w14:paraId="5AB9A998" w14:textId="77777777" w:rsidR="00735284" w:rsidRDefault="00735284" w:rsidP="00735284">
      <w:pPr>
        <w:spacing w:after="0" w:line="240" w:lineRule="auto"/>
        <w:rPr>
          <w:rFonts w:ascii="Times New Roman" w:hAnsi="Times New Roman"/>
          <w:sz w:val="28"/>
          <w:szCs w:val="28"/>
        </w:rPr>
      </w:pPr>
    </w:p>
    <w:p w14:paraId="1FAC060F" w14:textId="77777777" w:rsidR="00735284" w:rsidRDefault="00735284" w:rsidP="00735284">
      <w:pPr>
        <w:spacing w:after="0" w:line="240" w:lineRule="auto"/>
        <w:rPr>
          <w:rFonts w:ascii="Times New Roman" w:hAnsi="Times New Roman"/>
          <w:sz w:val="28"/>
          <w:szCs w:val="28"/>
        </w:rPr>
      </w:pPr>
    </w:p>
    <w:p w14:paraId="25713F1F" w14:textId="77777777" w:rsidR="00EF39F9" w:rsidRPr="00782EFF" w:rsidRDefault="00EF39F9" w:rsidP="00EF39F9">
      <w:pPr>
        <w:spacing w:after="0" w:line="240" w:lineRule="auto"/>
        <w:rPr>
          <w:rFonts w:ascii="Times New Roman" w:hAnsi="Times New Roman"/>
          <w:sz w:val="16"/>
          <w:szCs w:val="16"/>
        </w:rPr>
      </w:pPr>
      <w:r w:rsidRPr="00782EFF">
        <w:rPr>
          <w:rFonts w:ascii="Times New Roman" w:hAnsi="Times New Roman"/>
          <w:noProof/>
          <w:sz w:val="16"/>
          <w:szCs w:val="16"/>
        </w:rPr>
        <w:t>Ieva Skirusa</w:t>
      </w:r>
      <w:r w:rsidRPr="00782EFF">
        <w:rPr>
          <w:rFonts w:ascii="Times New Roman" w:hAnsi="Times New Roman"/>
          <w:sz w:val="16"/>
          <w:szCs w:val="16"/>
        </w:rPr>
        <w:t xml:space="preserve">, </w:t>
      </w:r>
      <w:r w:rsidRPr="00782EFF">
        <w:rPr>
          <w:rFonts w:ascii="Times New Roman" w:hAnsi="Times New Roman"/>
          <w:noProof/>
          <w:sz w:val="16"/>
          <w:szCs w:val="16"/>
        </w:rPr>
        <w:t>67219417</w:t>
      </w:r>
    </w:p>
    <w:p w14:paraId="048F61A8" w14:textId="77777777" w:rsidR="00EF39F9" w:rsidRPr="00782EFF" w:rsidRDefault="00EF39F9" w:rsidP="00EF39F9">
      <w:pPr>
        <w:spacing w:after="0" w:line="240" w:lineRule="auto"/>
        <w:rPr>
          <w:rFonts w:ascii="Times New Roman" w:hAnsi="Times New Roman"/>
          <w:sz w:val="16"/>
          <w:szCs w:val="16"/>
        </w:rPr>
      </w:pPr>
      <w:r w:rsidRPr="00782EFF">
        <w:rPr>
          <w:rFonts w:ascii="Times New Roman" w:hAnsi="Times New Roman"/>
          <w:noProof/>
          <w:sz w:val="16"/>
          <w:szCs w:val="16"/>
        </w:rPr>
        <w:t>ieva.skirusa@iem.gov.lv</w:t>
      </w:r>
    </w:p>
    <w:p w14:paraId="0BA211E6" w14:textId="77777777" w:rsidR="00735284" w:rsidRDefault="00735284" w:rsidP="00735284">
      <w:pPr>
        <w:spacing w:after="0" w:line="240" w:lineRule="auto"/>
        <w:rPr>
          <w:rFonts w:ascii="Times New Roman" w:hAnsi="Times New Roman"/>
          <w:sz w:val="28"/>
          <w:szCs w:val="28"/>
        </w:rPr>
      </w:pPr>
    </w:p>
    <w:p w14:paraId="639549F1" w14:textId="77777777" w:rsidR="00782EFF" w:rsidRDefault="00782EFF" w:rsidP="00782EFF">
      <w:pPr>
        <w:spacing w:after="0" w:line="240" w:lineRule="auto"/>
        <w:jc w:val="center"/>
        <w:rPr>
          <w:rFonts w:ascii="Times New Roman" w:hAnsi="Times New Roman"/>
          <w:sz w:val="28"/>
          <w:szCs w:val="28"/>
        </w:rPr>
      </w:pPr>
    </w:p>
    <w:p w14:paraId="714294E3" w14:textId="77777777" w:rsidR="00651581" w:rsidRPr="00782EFF" w:rsidRDefault="00735284" w:rsidP="00782EFF">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sectPr w:rsidR="00651581" w:rsidRPr="00782EFF" w:rsidSect="0074324D">
      <w:headerReference w:type="default" r:id="rId9"/>
      <w:headerReference w:type="first" r:id="rId1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5E440" w14:textId="77777777" w:rsidR="00C40D6D" w:rsidRDefault="00C40D6D">
      <w:pPr>
        <w:spacing w:after="0" w:line="240" w:lineRule="auto"/>
      </w:pPr>
      <w:r>
        <w:separator/>
      </w:r>
    </w:p>
  </w:endnote>
  <w:endnote w:type="continuationSeparator" w:id="0">
    <w:p w14:paraId="7A4EF7AF" w14:textId="77777777" w:rsidR="00C40D6D" w:rsidRDefault="00C4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C3353" w14:textId="77777777" w:rsidR="00C40D6D" w:rsidRDefault="00C40D6D">
      <w:pPr>
        <w:spacing w:after="0" w:line="240" w:lineRule="auto"/>
      </w:pPr>
      <w:r>
        <w:separator/>
      </w:r>
    </w:p>
  </w:footnote>
  <w:footnote w:type="continuationSeparator" w:id="0">
    <w:p w14:paraId="180D5B30" w14:textId="77777777" w:rsidR="00C40D6D" w:rsidRDefault="00C4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53C65" w14:textId="77777777" w:rsidR="00782EFF" w:rsidRDefault="00782EFF">
    <w:pPr>
      <w:pStyle w:val="Header"/>
      <w:jc w:val="center"/>
    </w:pPr>
    <w:r>
      <w:fldChar w:fldCharType="begin"/>
    </w:r>
    <w:r>
      <w:instrText xml:space="preserve"> PAGE   \* MERGEFORMAT </w:instrText>
    </w:r>
    <w:r>
      <w:fldChar w:fldCharType="separate"/>
    </w:r>
    <w:r w:rsidR="00AC053E">
      <w:rPr>
        <w:noProof/>
      </w:rPr>
      <w:t>4</w:t>
    </w:r>
    <w:r>
      <w:rPr>
        <w:noProof/>
      </w:rPr>
      <w:fldChar w:fldCharType="end"/>
    </w:r>
  </w:p>
  <w:p w14:paraId="2C3ACCE1" w14:textId="77777777" w:rsidR="00782EFF" w:rsidRDefault="00782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46550"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7945ADA"/>
    <w:multiLevelType w:val="hybridMultilevel"/>
    <w:tmpl w:val="F5CAD514"/>
    <w:lvl w:ilvl="0" w:tplc="14242B0A">
      <w:start w:val="1"/>
      <w:numFmt w:val="decimal"/>
      <w:lvlText w:val="%1."/>
      <w:lvlJc w:val="left"/>
      <w:pPr>
        <w:ind w:left="1069" w:hanging="360"/>
      </w:pPr>
      <w:rPr>
        <w:rFonts w:hint="default"/>
        <w:b w:val="0"/>
      </w:rPr>
    </w:lvl>
    <w:lvl w:ilvl="1" w:tplc="AD82C020" w:tentative="1">
      <w:start w:val="1"/>
      <w:numFmt w:val="lowerLetter"/>
      <w:lvlText w:val="%2."/>
      <w:lvlJc w:val="left"/>
      <w:pPr>
        <w:ind w:left="1789" w:hanging="360"/>
      </w:pPr>
    </w:lvl>
    <w:lvl w:ilvl="2" w:tplc="11BA849A" w:tentative="1">
      <w:start w:val="1"/>
      <w:numFmt w:val="lowerRoman"/>
      <w:lvlText w:val="%3."/>
      <w:lvlJc w:val="right"/>
      <w:pPr>
        <w:ind w:left="2509" w:hanging="180"/>
      </w:pPr>
    </w:lvl>
    <w:lvl w:ilvl="3" w:tplc="7C64678A" w:tentative="1">
      <w:start w:val="1"/>
      <w:numFmt w:val="decimal"/>
      <w:lvlText w:val="%4."/>
      <w:lvlJc w:val="left"/>
      <w:pPr>
        <w:ind w:left="3229" w:hanging="360"/>
      </w:pPr>
    </w:lvl>
    <w:lvl w:ilvl="4" w:tplc="9202C07A" w:tentative="1">
      <w:start w:val="1"/>
      <w:numFmt w:val="lowerLetter"/>
      <w:lvlText w:val="%5."/>
      <w:lvlJc w:val="left"/>
      <w:pPr>
        <w:ind w:left="3949" w:hanging="360"/>
      </w:pPr>
    </w:lvl>
    <w:lvl w:ilvl="5" w:tplc="C434ABC4" w:tentative="1">
      <w:start w:val="1"/>
      <w:numFmt w:val="lowerRoman"/>
      <w:lvlText w:val="%6."/>
      <w:lvlJc w:val="right"/>
      <w:pPr>
        <w:ind w:left="4669" w:hanging="180"/>
      </w:pPr>
    </w:lvl>
    <w:lvl w:ilvl="6" w:tplc="0A6403F4" w:tentative="1">
      <w:start w:val="1"/>
      <w:numFmt w:val="decimal"/>
      <w:lvlText w:val="%7."/>
      <w:lvlJc w:val="left"/>
      <w:pPr>
        <w:ind w:left="5389" w:hanging="360"/>
      </w:pPr>
    </w:lvl>
    <w:lvl w:ilvl="7" w:tplc="11A2BA86" w:tentative="1">
      <w:start w:val="1"/>
      <w:numFmt w:val="lowerLetter"/>
      <w:lvlText w:val="%8."/>
      <w:lvlJc w:val="left"/>
      <w:pPr>
        <w:ind w:left="6109" w:hanging="360"/>
      </w:pPr>
    </w:lvl>
    <w:lvl w:ilvl="8" w:tplc="1A7A01F8"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311DD"/>
    <w:rsid w:val="00053C57"/>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12285"/>
    <w:rsid w:val="00332C67"/>
    <w:rsid w:val="00335032"/>
    <w:rsid w:val="00373D36"/>
    <w:rsid w:val="003B199A"/>
    <w:rsid w:val="003B2519"/>
    <w:rsid w:val="00444EF8"/>
    <w:rsid w:val="00493308"/>
    <w:rsid w:val="004A6BFC"/>
    <w:rsid w:val="0051400B"/>
    <w:rsid w:val="00520A93"/>
    <w:rsid w:val="00535564"/>
    <w:rsid w:val="005A1BCB"/>
    <w:rsid w:val="005C346B"/>
    <w:rsid w:val="00606767"/>
    <w:rsid w:val="00651581"/>
    <w:rsid w:val="006616D2"/>
    <w:rsid w:val="00663C3A"/>
    <w:rsid w:val="00670E89"/>
    <w:rsid w:val="00684302"/>
    <w:rsid w:val="006B01C5"/>
    <w:rsid w:val="006C1639"/>
    <w:rsid w:val="006D7CB6"/>
    <w:rsid w:val="006E7CDB"/>
    <w:rsid w:val="006F1F22"/>
    <w:rsid w:val="00735284"/>
    <w:rsid w:val="0074324D"/>
    <w:rsid w:val="007704BD"/>
    <w:rsid w:val="00782EFF"/>
    <w:rsid w:val="007A47FD"/>
    <w:rsid w:val="007B3BA5"/>
    <w:rsid w:val="007B482B"/>
    <w:rsid w:val="007B48EC"/>
    <w:rsid w:val="007E4D1F"/>
    <w:rsid w:val="00815277"/>
    <w:rsid w:val="00876177"/>
    <w:rsid w:val="00876C21"/>
    <w:rsid w:val="0088699D"/>
    <w:rsid w:val="00887D85"/>
    <w:rsid w:val="008C1F17"/>
    <w:rsid w:val="008D13B4"/>
    <w:rsid w:val="0094772E"/>
    <w:rsid w:val="0095403B"/>
    <w:rsid w:val="00954D5A"/>
    <w:rsid w:val="00996108"/>
    <w:rsid w:val="009B0210"/>
    <w:rsid w:val="009F01EE"/>
    <w:rsid w:val="00A27A9F"/>
    <w:rsid w:val="00A44201"/>
    <w:rsid w:val="00AC053E"/>
    <w:rsid w:val="00AD474F"/>
    <w:rsid w:val="00B04502"/>
    <w:rsid w:val="00B91CD1"/>
    <w:rsid w:val="00BD6774"/>
    <w:rsid w:val="00C40D6D"/>
    <w:rsid w:val="00C47F57"/>
    <w:rsid w:val="00C517D6"/>
    <w:rsid w:val="00C80A36"/>
    <w:rsid w:val="00C9108F"/>
    <w:rsid w:val="00C95BBC"/>
    <w:rsid w:val="00CE17EE"/>
    <w:rsid w:val="00CE607C"/>
    <w:rsid w:val="00CF3A42"/>
    <w:rsid w:val="00D21FA6"/>
    <w:rsid w:val="00D3479F"/>
    <w:rsid w:val="00D442EB"/>
    <w:rsid w:val="00D55642"/>
    <w:rsid w:val="00D55B4B"/>
    <w:rsid w:val="00DB76AE"/>
    <w:rsid w:val="00DC2F13"/>
    <w:rsid w:val="00DD656A"/>
    <w:rsid w:val="00DF6135"/>
    <w:rsid w:val="00E365CE"/>
    <w:rsid w:val="00E40CFB"/>
    <w:rsid w:val="00E436D8"/>
    <w:rsid w:val="00E84CE3"/>
    <w:rsid w:val="00E86986"/>
    <w:rsid w:val="00EE1DAE"/>
    <w:rsid w:val="00EF3368"/>
    <w:rsid w:val="00EF39F9"/>
    <w:rsid w:val="00F029DE"/>
    <w:rsid w:val="00F05AE8"/>
    <w:rsid w:val="00F14C3F"/>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AA67D"/>
  <w15:chartTrackingRefBased/>
  <w15:docId w15:val="{48CD1DE3-7E6C-4B68-BC71-52C7E265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315A2-B751-4412-8DD0-8877D38F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6828</Words>
  <Characters>3893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Inese Karpoviča</cp:lastModifiedBy>
  <cp:revision>2</cp:revision>
  <cp:lastPrinted>2021-01-22T08:28:00Z</cp:lastPrinted>
  <dcterms:created xsi:type="dcterms:W3CDTF">2021-12-03T11:17:00Z</dcterms:created>
  <dcterms:modified xsi:type="dcterms:W3CDTF">2021-12-03T11:17:00Z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