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25-TA-2522: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Elektronisko sakaru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02.09.2026. 08:10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likumprojekta piedāvāto risinājumu, kas nacionālās viesabonēšanas aktivizēšanu sasaista ar divu kumulatīvu priekšnosacījumu iestāšanos – valstī ir izsludināta ārkārtējā situācija vai izņēmuma stāvoklis un Ministru kabinets ir pieņēmis atsevišķu lēmumu par nacionālās viesabonēšanas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6. februāra rīkojuma Nr. 36 27.5. apakšpunktā VVA Sakaru darba grupai tika dots uzdevums līdz 2026. gada 18. decembrim sagatavot priekšlikumus valsts mēroga sakaru noturības nodrošināšanai krīzes apstākļos. Nacionālās drošības likuma 22.</w:t>
            </w:r>
            <w:r w:rsidR="00000000" w:rsidRPr="00000000" w:rsidDel="00000000">
              <w:rPr>
                <w:vertAlign w:val="superscript"/>
                <w:rtl w:val="0"/>
              </w:rPr>
              <w:t xml:space="preserve">5</w:t>
            </w:r>
            <w:r w:rsidR="00000000" w:rsidRPr="00000000" w:rsidDel="00000000">
              <w:rPr>
                <w:rtl w:val="0"/>
              </w:rPr>
              <w:t xml:space="preserve"> pantā krīze ir noteikta kā patstāvīga tiesiska kategorija un tās iestāšanās nav sasaistīta ar ārkārtējās situācijas vai izņēmuma stāvokļa izsludināšanu. Lūdzam attiecīgi papildināt anotāciju ar izvērtējumu, kāpēc nacionālās viesabonēšanas aktivizēšana tiek paredzēta tikai ārkārtējās situācijas vai izņēmuma stāvokļa izsludināšanas gadījumā, kas sašaurina iepriekš minētā uzdevuma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precizēts, izsakot 19.panta piekto daļu jaunā redakcijā un precizējot anotāciju.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19.pantu ar piekto un sesto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uztur iepriekš izteikto iebildumu par to, ka ārkārtējā situācija vai izņēmuma stāvoklis ir īpaši tiesiskie režīmi, kuri nosaka valsts pārvaldes un pašvaldību institūciju, fizisko un juridisko personu tiesības, to ierobežojumus, īpašos pienākumus un tiesiskuma nodrošināšanu īpašā tiesiskā režīma režīmu spēkā esamības laikā. Kā arī, tie nosaka konkrētu rīcību valsts un pašvaldību institūcijām, fiziskām un juridiskām personām, lai pārvarētu apdraudējumu, ja esošie normatīvie regulējumi to nenosaka vai ir nepieciešams pārkāpt noteiktas normatīvajos aktos noteiktās prasības. No tā izriet, ka izņēmuma stāvokli izsludina norādot pamatojumu kāds normatīvais regulējums nepastāv, vai ierobežo veikt attiecīgos valsts apdraudējuma pārvarēšanas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piedāvātā redakcija ir pretrunā ar likumam Par ārkārtējo situāciju un izņēmuma stāvokli,jo normatīvie akti ir jāveido tā, lai izvairītos no nepieciešamības izsludināt īpašu tiesisku režīmu. Papildus norādām, ka pēc ārkārtējās situācijas beigām, ir jāveic izvērtējums, uz kura pamata var paredzēt uzdevumus, tajā skaitā grozījumus attiecīgajos normatīvajos aktos, lai nākotnē līdzīgos apstākļos nebūtu jāizsludina īpašais tiesiskais režīms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norāda ka mobilo sakaru pakalpojums atbilstoši Civilās aizsardzības un katastrofas pārvaldīšanas likuma 1 panta pirmās daļas 14. punkts nosaka, ka sakaru nodrošinājums ir viena no pamatvajadzībām, savukārt atbilstoši šī likuma 3. panta trešās daļas 2. punktam ir civilās aizsardzības sistēmas uzdevums ir nodrošināt sabiedrībai minimāli nepieciešamās pamatvajadzības katastrofas vai katastrofas draudu gadījumā. ņemot vērā minēto sakaru nodrošinājums ir nepieciešams ne tikai, lai nodrošinātu iedzīvotājiem spēju sazināties ar vienoto ārkārtas palīdzības numuru 112, bet arī nodrošināt iespēju glābšanas dienestiem, kuriem sakaru nodrošinājums ir nepieciešams nekavējieties, lai koordinēti reaģētu katastrofās.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Dienests iebilst pret priekšlikumu nacionālo viesabonēšanu aktivizēt, pamatojoties uz Ministru kabineta lēmumu. Dienests ierosina noteikt konkrētus mobilo sakaru operatora darbības traucējumu kritērijus, kurus sasniedzot nacionālā viesabonēšana tiktu aktivizēta pēc noklusējuma, piemēram, ja mobilo sakaru pakalpojums nav pieejami vismaz 10% no attiecīgās administratīvās teritorijas vai vismaz 10% mobilo sakaru operatora klientu ir bez sakaru pieejamības.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un anotācija precizētas, paredzot ka nacionālā viesabonēšana tiek nodrošināta krīzes vadības pasākumu ietvaros. Konkrēti kritēriji ir grūti nosakāmi, jo rezultatīvie rādītāji var objektīvi neatspoguļot situāciju, kā arī mobilo sakaru sakaru pakalpojumu nepieejamības apmērs var tikt uzskatīts par komercinformāciju, kurā komersanti var nevēlēties dalīties.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19.pantu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(5) Mobilo sakaru operatori esošās tīkla kapacitātes ietvaros nodrošina nacionālajā viesabonēšanā balss sakaru un īsziņu pakalpojumus, ja valstī ir izsludināta ārkārtēja situācija vai izņēmuma stāvoklis un Ministru kabinets ir pieņēmis lēmumu par nacionālās viesabonēšanas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pieredzi, kas gūta pēc 2024. gada augustā notikušās vētras, kuras radītie postījumi izraisīja būtiskus elektroapgādes un elektronisko sakaru pakalpojumu darbības traucējumus, kā arī ievērojot nacionālās viesabonēšanas nozīmi sakaru pieejamības nodrošināšanā dažādās krīzes situācijās, ierosinām atteikties no likumprojektā ietvertā ierobežojuma, kas nacionālās viesabonēšanas piemērošanu saista tikai ar izsludinātu ārkārtējo situāciju vai izņēmuma stāvokli, un paredzēt kompetentajām institūcijām tiesības noteikt tās piemērošanu arī citos īpašos gadījumos, kad ir būtiski traucēta elektronisko sakaru tīklu darbība vai pastāv apdraudējums elektronisko sakaru pakalpojumu pieejamībai.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nacionālā viesabonēšana likumprojektā paredzēta balss sakaru un īsziņu pakalpojumu nodrošināšanai, liela mēroga krīžu vai apdraudējumu gadījumos būtiska nozīme ir arī interneta piekļuves pakalpojumiem. Tā ir nepieciešama ne vien sakaru nepārtrauktības nodrošināšanai, bet arī kritiski svarīgu pakalpojumu darbībai, tostarp finanšu pakalpojumu pieejamībai, nodrošinot iedzīvotājiem iespēju izņemt skaidru naudu bankomātos un veikt norēķinus tirdzniecības vietās. Tādēļ būtu izvērtējama iespēja nacionālās viesabonēšanas regulējumā paredzēt arī ierobežotu mobilo datu pārraides pakalpojumu izmantošanu, vienlaikus nosakot proporcionālus tehniskos ierobežojumus tīkla noslodzes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nacionālās viesabonēšanas operatīvu ieviešanu situācijās, kad būtiski traucēta elektronisko sakaru tīklu darbība vai apdraudēta sabiedrībai nozīmīgu pakalpojumu pieejamība, būtu jāparedz, ka lēmumu par nacionālās viesabonēšanas piemērošanu pieņem nevis Ministru kabinets, bet kompetenta institūcija vai amatpersona, kurai normatīvajos aktos piešķirtas attiecīgas pilnvaras. Tas ļautu būtiski samazināt lēmuma pieņemšanai nepieciešamo laiku un operatīvāk nodrošināt sakaru un kritiski svarīgu pakalpojumu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 Mobilo sakaru operatori krīzes situācijā, ja krīzes vadības pasākumu ietvaros saņemts uzdevums uzsākt nacionālo viesabonēšanu, esošās tīkla kapacitātes ietvaros nodrošina nacionālajā viesabonēšanā balss sakaru un īsziņu pakalpojumus.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w:t>
            </w:r>
            <w:r w:rsidR="00000000" w:rsidRPr="00000000" w:rsidDel="00000000">
              <w:rPr>
                <w:rtl w:val="0"/>
              </w:rPr>
              <w:t xml:space="preserve">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"Iekšlietu ministrijas Informācijas centrs" (attiecīgā locījumā) ar vārdiem "Iekšlietu digitālais centrs"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likumprojekta dublējošos 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Dublējošā norma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Elektronisko sakaru likumā (Latvijas Vēstnesis, 2022, 144. nr.; 2023, 93.A nr.; 2024, 249. nr.; 2025, 4., 233., 244. nr; 2026, 55.nr.)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w:t>
            </w:r>
            <w:r w:rsidR="00000000" w:rsidRPr="00000000" w:rsidDel="00000000">
              <w:rPr>
                <w:rtl w:val="0"/>
              </w:rPr>
              <w:t xml:space="preserve">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"Iekšlietu ministrijas Informācijas centrs" (attiecīgā locījumā) ar vārdiem "Iekšlietu digitālais centrs"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2. septembra Ministru kabineta noteikumu Nr. 108 "Normatīvo aktu projektu sagatavošanas noteikumi" 68.3. apakšpunktā noteikto, precizēt likumprojekta ievaddaļu, norādot grozāmā normatīvā akta nosaukumu, un pievienojot atsauces uz likuma un tā grozījumu publikācijām oficiālajā izdevumā.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Elektronisko sakaru likumā (Latvijas Vēstnesis, 2022, 144. nr.; 2023, 93.A nr.; 2024, 249. nr.; 2025, 4., 233., 244. nr., 2026, 55.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Elektronisko sakaru likumā (Latvijas Vēstnesis, 2022, 144. nr.; 2023, 93.A nr.; 2024, 249. nr.; 2025, 4., 233., 244. nr; 2026, 55.nr.)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Ekonomiskajā zonā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normas skaidrību, lūdzam ietvert atsauci uz Eiropas Parlamenta un Padomes 2022. gada 6. aprīļa Regulu (ES) 2022/612 par viesabonēšanu publiskajos mobilo sakaru tīklos Savienībā 9. un 10. pantu, kā bija paredzēts iepriekšējā saskaņošanas redakcijā, kā arī papildināt anotācijas 1. sadaļu ar skaidrojumu, kāpēc nepieciešama atsauce uz šo regulu, un norādot, ka likumprojektā regula pēc būtības netiek ieviesta.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anotācija precizēti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Mobilo sakaru operatori, izpildot šā panta piektajā daļā minēto uzdevumu, savstarpējos norēķinos par sniegtajiem nacionālās viesabonēšanas pakalpojumiem ir tiesīgi piemērot maksu apmērā, kas nepārsniedz Eiropas Parlamenta un Padomes 2022. gada 6. aprīļa Regulas (ES) 2022/612 par viesabonēšanu publiskajos mobilo sakaru tīklos Savienībā 9. un 10.pantā noteiktās vairumtirdzniecības 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Ekonomiskajā zonā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vārdus "Eiropas Ekonomiskajā zonā" aizstājot ar vārdiem "Eiropas Ekonomikas zonā" atbilstoši Līgumam par Čehijas Republikas, Igaunijas Republikas, Kipras Republikas, Latvijas Republikas, Lietuvas Republikas, Ungārijas Republikas, Maltas Republikas, Polijas Republikas, Slovēnijas Republikas un Slovākijas Republikas dalību Eiropas Ekonomikas zonā.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par viesabonēšanu publiskajos mobilo sakaru tīklos Eiropas Ekonomikas zonā noteiktās vairumtirdzniecības 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pants izteikts jaunā redakcijā, kurā termins "Eiropas Ekonomikas zona" netiek lietots.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Mobilo sakaru operatori, izpildot šā panta piektajā daļā minēto uzdevumu, savstarpējos norēķinos par sniegtajiem nacionālās viesabonēšanas pakalpojumiem ir tiesīgi piemērot maksu apmērā, kas nepārsniedz Eiropas Parlamenta un Padomes 2022. gada 6. aprīļa Regulas (ES) 2022/612 par viesabonēšanu publiskajos mobilo sakaru tīklos Savienībā 9. un 10.pantā noteiktās vairumtirdzniecības 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nav saskatāma nepieciešamība pārejai no pastāvošā tiesiskā regulējuma uz jauno tiesisko regulējumu, svītrot no likumprojekta nenumurēto vienību "Pārejas noteikumi", jo Elektronisko sakaru likumā jau tāda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pārejas noteikums izteikts kā 6.pants.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jaunu punktu šādā redakcijā: Likuma 19.panta piektā daļa un sestā daļa, 40.panta septītā daļa stājas spēkā 2027.gada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Elektronisko sakaru likuma pārejas noteikumu papildinājumu, ievērojot Ministru kabineta 2009. gada 2. septembra Ministru kabineta noteikumu Nr. 108 "Normatīvo aktu projektu sagatavošanas noteikumi" 29. un 75. apakšpunktā noteikto, izsakot to kā jaunu likumprojekta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Likuma 19. panta piektā un sestā daļa un 40. panta septītā daļa stājas spēkā 2027.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Ņemot vērā, ka šobrīd virzībā TAP ir arī citi grozījumi Elektronisko sakaru likumā, pārejas noteikums norādīts bez numura.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veikto atbilstības izmaksu aprēķinu, piemērojot korektu vienas stundas darbaspēka izmaksu likmi.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izmantota vidējā bruto darba samaksa stundā 2025. gada 4. ceturksnī nozarē “Telekomunikācija” – 19,17 euro. Tomēr darbinieka darba devējam radītās izmaksas neatspoguļo tikai bruto darba samaksa. Atbilstības izmaksu aprēķinā izmantojamas kopējās vienas stundas darbaspēka izmaksas, kas papildus darba samaksai ietver arī citus darba devēja izdevumus, tostarp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Lūdzam aprēķinā izmantot Centrālās statistikas pārvaldes oficiālās statistikas datubāzes tabulā DIS010 “Vienas stundas darbaspēka izmaksas pa darbības veidiem (eiro)” publicēto rādītāju par darbaspēka izmaksām pavisam uz vienu faktiski nostrādāto stundu darbības veidā “J61 Telekomunikācija”. https://data.stat.gov.lv/pxweb/lv/OSP_PUB/START__EMP__DI__DIS/DIS010/table/tableViewLayout1/ </w:t>
            </w:r>
            <w:r w:rsidR="00000000" w:rsidRPr="00000000" w:rsidDel="00000000">
              <w:rPr>
                <w:rtl w:val="0"/>
              </w:rPr>
              <w:t xml:space="preserve">Tā kā minētajā tabulā dati ir publicēti gada, nevis ceturkšņa griezumā, izmantojams aprēķina veikšanas brīdī jaunākais pieejamais gada rādītājs, aprēķina skaidrojumā norādot izraudzīto rādītāju, darbības veidu, datu periodu, vērtību un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novērtējums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- 09.09.2026.)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izsaka priekšlikumu papildināt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sniegtais skaidrojums, ka projekts nenosaka jaunus pienākumus Ministru kabinetam, neatbild uz priekšlikumā norādīto jautājumu par projekta izpildē iesaistītajām institūcijām un projekta ietekmi uz to darbību. Apstāklis, ka Ministru kabinetam jau ir tiesības lemt par izņēmumiem ārkārtējās situācijas vai izņēmuma stāvokļa laikā, pats par sevi nenozīmē, ka projekts neietekmē tā praktiskajā īstenošanā iesaistīto institūciju uzdevumus, procesus vai sadarbības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Krīzes vadības centra iesaisti lēmuma par nacionālās viesabonēšanas ieviešanu sagatavošanā, kā arī no tā izriet nepieciešamība nodrošināt informācijas apriti, institūciju savstarpējo koordināciju un sadarbību ar elektronisko sakaru komersantiem. Izziņā nav skaidrots, kuras institūcijas veiks šīs darbības, kāda būs katras institūcijas loma un vai projekta īstenošana mainīs to uzdevumus vai iekšējos procesus.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7.1. apakšsadaļā identificēt visas projekta izpildē iesaistītās institūcijas, tostarp Krīzes vadības centru, bet 7.4. apakšsadaļā attiecībā uz katru no tām raksturot lomu projekta izpildē un ietekmi uz tās funkcijām, uzdevumiem, iekšējiem procesiem un sadarbības mehānismiem. Ja attiecīgās darbības tiks nodrošinātas institūciju esošo funkciju, procesu un piešķirto resursu ietvaros, tas anotācijā attiecīgi norādāms un pamatojams.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11.06.2026. 19:22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š</w:t>
            </w:r>
            <w:r w:rsidR="00000000" w:rsidRPr="00000000" w:rsidDel="00000000">
              <w:rPr>
                <w:rtl w:val="0"/>
              </w:rPr>
              <w:t xml:space="preserve">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oficiālajā izdevējā “Latvijas Vēstnesis” 19.06.2026. ir publicēti Ministru kabineta 16.06.2026. noteikumi Nr. 335 “Iekšlietu digitālā centra nolikums” (https://www.vestnesis.lv/ta/id/369184-iekslietu-digitala-centra-nolikums), kuri 20.06.2026. stājas spēkā. Ņemot vērā minēto, lūdzam papildināt grozījumus Elektronisko sakaru likumā ar pantu par Iekšlietu ministrijas Informācijas centra nosaukuma maiņu uz "Iekšlietu digitālais centrs" visā likuma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1.pants nosaka Iekšlietu ministrijas Informācijas centra nosaukuma maiņu uz "Iekšlietu digitālais centrs" visā likuma tekstā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Elektronisko sakaru likumā (Latvijas Vēstnesis, 2022, 144. nr.; 2023, 93.A nr.; 2024, 249. nr.; 2025, 4., 233., 244. nr; 2026, 55.nr.)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jau šobrīd </w:t>
            </w:r>
            <w:r w:rsidR="00000000" w:rsidRPr="00000000" w:rsidDel="00000000">
              <w:rPr>
                <w:u w:val="single"/>
                <w:rtl w:val="0"/>
              </w:rPr>
              <w:t xml:space="preserve">likuma "Par ārkārtējo situāciju un izņēmuma stāvokli"  normas paredz regulējumu par Ministru kabineta tiesībām lemt par noteiktiem izņēmumiem, izsludinot ārkārtējo situāciju vai izņēmuma stāvokli</w:t>
            </w:r>
            <w:r w:rsidR="00000000" w:rsidRPr="00000000" w:rsidDel="00000000">
              <w:rPr>
                <w:rtl w:val="0"/>
              </w:rPr>
              <w:t xml:space="preserve">. Ministru kabineta 2009. gada 3. februāra noteikumu Nr. 108 "Normatīvo aktu projektu sagatavošanas noteikumi" 3.2. apakšpunkts noteic, ka </w:t>
            </w:r>
            <w:r w:rsidR="00000000" w:rsidRPr="00000000" w:rsidDel="00000000">
              <w:rPr>
                <w:u w:val="single"/>
                <w:rtl w:val="0"/>
              </w:rPr>
              <w:t xml:space="preserve">normatīvā akta projektā neietver normas, kas dublē</w:t>
            </w:r>
            <w:r w:rsidR="00000000" w:rsidRPr="00000000" w:rsidDel="00000000">
              <w:rPr>
                <w:rtl w:val="0"/>
              </w:rPr>
              <w:t xml:space="preserve"> augstāka vai </w:t>
            </w:r>
            <w:r w:rsidR="00000000" w:rsidRPr="00000000" w:rsidDel="00000000">
              <w:rPr>
                <w:u w:val="single"/>
                <w:rtl w:val="0"/>
              </w:rPr>
              <w:t xml:space="preserve">tāda paša spēka normatīvā akta tiesību normās ietverto normatīvo regulējumu</w:t>
            </w:r>
            <w:r w:rsidR="00000000" w:rsidRPr="00000000" w:rsidDel="00000000">
              <w:rPr>
                <w:rtl w:val="0"/>
              </w:rPr>
              <w:t xml:space="preserve">. Papildus norādām, ka šāda Ministru kabineta tiesību ārkārtējām situācijām un izņēmuma stāvoklim noteikšana nozaru normatīvajos aktos neatbilst esošajai tiesību sistēmai. Ievērojot minēto, lūdzam izslēgt likumprojektā "Grozījumi Elektronisko sakaru likumā" (turpmāk – likumprojekts) paredzētajā Elektronisko sakaru likuma (turpmāk – likums) 14. panta trešajā 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iekārtas likuma 2. panta pirmā daļa noteic, ka </w:t>
            </w:r>
            <w:r w:rsidR="00000000" w:rsidRPr="00000000" w:rsidDel="00000000">
              <w:rPr>
                <w:u w:val="single"/>
                <w:rtl w:val="0"/>
              </w:rPr>
              <w:t xml:space="preserve">Ministru kabinets ir koleģiāla institūcija, kas ar tam padoto valsts pārvaldes iestāžu starpniecību īsteno izpildvaru</w:t>
            </w:r>
            <w:r w:rsidR="00000000" w:rsidRPr="00000000" w:rsidDel="00000000">
              <w:rPr>
                <w:rtl w:val="0"/>
              </w:rPr>
              <w:t xml:space="preserve">. Savukārt atbilstoši Nacionālās drošības likuma 15.</w:t>
            </w:r>
            <w:r w:rsidR="00000000" w:rsidRPr="00000000" w:rsidDel="00000000">
              <w:rPr>
                <w:vertAlign w:val="superscript"/>
                <w:rtl w:val="0"/>
              </w:rPr>
              <w:t xml:space="preserve">3</w:t>
            </w:r>
            <w:r w:rsidR="00000000" w:rsidRPr="00000000" w:rsidDel="00000000">
              <w:rPr>
                <w:rtl w:val="0"/>
              </w:rPr>
              <w:t xml:space="preserve"> panta pirmajā daļā noteiktajam </w:t>
            </w:r>
            <w:r w:rsidR="00000000" w:rsidRPr="00000000" w:rsidDel="00000000">
              <w:rPr>
                <w:u w:val="single"/>
                <w:rtl w:val="0"/>
              </w:rPr>
              <w:t xml:space="preserve">Krīzes vadības centrs ir Ministru prezidenta funkcionālā pārraudzībā esoša struktūrvienība Valsts kancelejas sastāvā, kura Ministru prezidenta uzdevumā nodrošina krīzes vadības pasākumu plānošanu, sagatavošanu un īstenošanu</w:t>
            </w:r>
            <w:r w:rsidR="00000000" w:rsidRPr="00000000" w:rsidDel="00000000">
              <w:rPr>
                <w:rtl w:val="0"/>
              </w:rPr>
              <w:t xml:space="preserve">. Līdz ar to Ministru kabinets un Valsts kancelejas Krīzes vadības centrs nav viena un tā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- 01.07.2026.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Ārkārtējā situācija vai izņēmuma stāvoklis ir tiesiskie režīmi, kuri nosaka valsts pārvaldes un pašvaldību institūciju, fizisko un juridisko personu tiesības, to ierobežojumus, īpašos pienākumus un tiesiskuma nodrošināšanu šo tiesisko režīmu spēkā esamības laikā. Kā arī tie nosaka konkrētu rīcību valsts un pašvaldību institūcijām, fiziskām un juridiskām personām, lai pārvarētu apdraudējumu, jo esošie normatīvie regulējumi to nenosaka vai ir nepieciešams pārkāpt noteiktas prasības. Līdz ar to normatīvie akti ir jāveido tā, lai izvairītos no ārkārtējās situācijas izsludināšanas nepieciešamības, kas ļautu iespēju izmantot nacionālo viesabonēšanu veicot reaģēšanas pasākumus dažādu apdraudējumu gadījumā nevis tikai tad, kad ir izsludināti tiesiskie režīmi.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(6) Mobilo sakaru operatori ar dienu, kad Ministru kabinets ir pieņēmis lēmumu par nacionālās viesabonēšanas ieviešanu saistībā ar valstī izsludināto ārkārtējo situāciju vai izņēmuma stāvokli, savstarpējos norēķinos par sniegtajiem nacionālās viesabonēšanas pakalpojumiem ir tiesīgi piemērot maksu apmērā, kas nepārsniedz Eiropas Parlamenta un Padomes 2022. gada 6. aprīļa Regulas (ES) 2022/612 par viesabonēšanu publiskajos mobilo sakaru tīklos Savienībā 9., 10. un 11.pantā noteiktās vairumtirdzniecības 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nepieciešamību papildināt likumprojekta 4. pantā paredzēto likuma 19. panta sesto daļu ar atsauci uz Eiropas Parlamenta un Padomes 2022. gada 6. aprīļa Regulas (ES) 2022/612 par viesabonēšanu publiskajos mobilo sakaru tīklos Savienībā 12. pantu, attiecīgi skaidrojot to likumprojekta sākotnējās ietekmes </w:t>
            </w:r>
            <w:r w:rsidR="00000000" w:rsidRPr="00000000" w:rsidDel="00000000">
              <w:rPr>
                <w:i w:val="1"/>
                <w:rtl w:val="0"/>
              </w:rPr>
              <w:t xml:space="preserve">(ex-ante)</w:t>
            </w:r>
            <w:r w:rsidR="00000000" w:rsidRPr="00000000" w:rsidDel="00000000">
              <w:rPr>
                <w:rtl w:val="0"/>
              </w:rPr>
              <w:t xml:space="preserve"> novērtējuma ziņojumā (turpmāk –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norma precizēta,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norādīta konkrēta tiesību akta projekta norma, kuras ietekmei veikts izmaksu novērtējums. Tāpat no aprēķina skaidrojuma nav iespējams identificēt, kāda konkrēta prasība vai pienākums tiek vērtēts, kā arī izsekot saikni starp tiesību akta projektā paredzēto regulējumu un aprēķinā norādītajām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aprēķina skaidrojumu,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konkrēto tiesību akta projekta normu, kuras ietekmei veikts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prasību vai pienākumu, kas no attiecīgās normas 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aprēķinā izmantotos pieņēmumus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veidu, kādā no identificētās prasības ir iegūtas aprēķinā norādītās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nodrošinātu skaidru un izsekojamu saikni starp tiesību akta projektā paredzētajām prasībām un anotācijā norādīto izmaksu novērtējumu, kā arī lai būtu iespējams izvērtēt aprēķina pamatotību.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izmaksu aprēķins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pantā paredzētajā likuma 19. pantā ir ietverta atsauce uz Eiropas Parlamenta un Padomes 2022. gada 6. aprīļa Regulas (ES) 2022/612 par viesabonēšanu publiskajos mobilo sakaru tīklos Savienībā 9., 10. un 11. pantu. Ievērojot minēto, lūdzam likumprojekta sasaisti ar minēto regulu atspoguļot anotācijas 5.4. apakšsadaļas 1. tabulā. Minētās tabulas mērķis ir parādīt, kā nacionālais tiesību akts atbilst attiecīgajam Eiropas Savienības tiesību aktam un nodrošina tā prasību izpildi. Skaidrojam, ka atsauču uz regulu un tās vienībām ietveršana normatīvajos aktos pēc būtības ir regulas prasību ieviešana, jo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precizēta, 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Ministru kabinets var pieņemt lēmumu par nacionālās viesabonēšanas ieviešanu, ja valstī ir izsludināta ārkārtēja situācija vai izņēmuma stāvoklis. Pieņemot lēmumu par nacionālās viesabonēšanas ieviešanu, Ministru kabinets (Krīzes vadības centrs) nepieciešamības gadījumā konsultējas ar mobilo sakaru operatoriem."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14. pantā ir paredzēts regulējums par valsts politikas īstenošanu </w:t>
            </w:r>
            <w:r w:rsidR="00000000" w:rsidRPr="00000000" w:rsidDel="00000000">
              <w:rPr>
                <w:u w:val="single"/>
                <w:rtl w:val="0"/>
              </w:rPr>
              <w:t xml:space="preserve">ārkārtas gadījumu</w:t>
            </w:r>
            <w:r w:rsidR="00000000" w:rsidRPr="00000000" w:rsidDel="00000000">
              <w:rPr>
                <w:rtl w:val="0"/>
              </w:rPr>
              <w:t xml:space="preserve"> saziņas jomā, bet likuma 15. pantā ir paredzēts regulējums par Ministru kabineta tiesībām </w:t>
            </w:r>
            <w:r w:rsidR="00000000" w:rsidRPr="00000000" w:rsidDel="00000000">
              <w:rPr>
                <w:u w:val="single"/>
                <w:rtl w:val="0"/>
              </w:rPr>
              <w:t xml:space="preserve">valsts apdraudējuma gadījumā (proti, ārkārtējā situācijā vai izņēmuma stāvokļa laikā</w:t>
            </w:r>
            <w:r w:rsidR="00000000" w:rsidRPr="00000000" w:rsidDel="00000000">
              <w:rPr>
                <w:rtl w:val="0"/>
              </w:rPr>
              <w:t xml:space="preserve">), lūdzam izvērtēt iespēju likumprojektā paredzēto likuma 14. panta trešās daļas regulējumu ietvert likuma 15. pantā un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2.panta norma izslēgta.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attiecīgu informāciju par likumprojektā paredzētajiem pārejas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šobrīd spēkā esošajā likumā jau ir paredzēti pārejas noteikumi, tādēļ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likuma 16. pantā nav minēts attiecīgo komersantu </w:t>
            </w:r>
            <w:r w:rsidR="00000000" w:rsidRPr="00000000" w:rsidDel="00000000">
              <w:rPr>
                <w:u w:val="single"/>
                <w:rtl w:val="0"/>
              </w:rPr>
              <w:t xml:space="preserve">reģistrācijas</w:t>
            </w:r>
            <w:r w:rsidR="00000000" w:rsidRPr="00000000" w:rsidDel="00000000">
              <w:rPr>
                <w:rtl w:val="0"/>
              </w:rPr>
              <w:t xml:space="preserve"> pienākums, lūdzam precizēt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- 18.06.2026.)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 sadaļu ar informāciju par tiesību akta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projekts paredz jaunu regulējumu nacionālās viesabonēšanas ieviešanai ārkārtējās situācijas vai izņēmuma stāvokļa laikā, tostarp nosakot Ministru kabineta tiesības pieņemt lēmumu par nacionālās viesabonēšanas ieviešanu un paredzot Krīzes vadības centra iesaisti lēmuma sagatavošanas procesā. Vienlaikus no projekta izriet nepieciešamība nodrošināt regulējuma praktisku īstenošanu un koordināciju ar elektronisko sakaru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un izvērtēt, vai noteikumu projekts ietekmē to funkciju izpildi, uzdevumus, procesus vai sadarbības mehānismus, kā arī attiecīgi atspoguļot šo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7.sadaļa aizpildīta.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25-TA-2522</w:t>
    </w:r>
    <w:r>
      <w:br/>
    </w:r>
    <w:r w:rsidR="00000000" w:rsidRPr="00000000" w:rsidDel="00000000">
      <w:rPr>
        <w:rtl w:val="0"/>
      </w:rPr>
      <w:t xml:space="preserve">14.09.2026. 14.38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25-TA-2522</w:t>
    </w:r>
    <w:r>
      <w:br/>
    </w:r>
    <w:r w:rsidR="00000000" w:rsidRPr="00000000" w:rsidDel="00000000">
      <w:rPr>
        <w:rtl w:val="0"/>
      </w:rPr>
      <w:t xml:space="preserve">14.09.2026. 14.38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Izziņa_25-TA-2522.docx</dc:title>
</cp:coreProperties>
</file>

<file path=docProps/custom.xml><?xml version="1.0" encoding="utf-8"?>
<Properties xmlns="http://schemas.openxmlformats.org/officeDocument/2006/custom-properties" xmlns:vt="http://schemas.openxmlformats.org/officeDocument/2006/docPropsVTypes"/>
</file>