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26-TA-1613: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31.08.2026. 16:52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anotāciju par noteikumu 28.4. grozījumu ietekmi uz atbalsta saņēmējiem, pievēršot uzmanību arī tam, ka atbilstoši Elektroenerģijas tirgus likuma 2. panta 54. punktā noteiktajai definīcijai, 50 kilovatu jaudas slieksnis atbalsta saņēmējiem ļauj pretendēt arī uz universālā neto norēķinu sistēmas pakalpojuma izmantošanas tiesībām, kā arī nodrošina lietotājiem labvēlīgu regulējumu atbilstoši ETL 9.1.prim panta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Anotācija papildināta ar skaidrojumu par noteikumu 28.4. apakšpunkta grozījumu ietekmi uz atbalsta saņēmējiem, tostarp norādot priekšrocības, ko rada elektroenerģijas ražošanas iekārtas jaudas sliekšņa noteikšana līdz 50 kilovatiem.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6.punktu palielināts piesaistāmā valsts aizdevuma limits par 32 milj.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Anotācija papildināta ar skaidrojumu, ka piesaistāmā valsts aizdevuma limita palielināšana līdz 70 000 000 euro nemaina apstiprināto programmas rādītāju novērtējumu, jo netiek mainīts programmas tvērums, finansējuma saņēmēju loks, atbalsta piešķiršanas nosacījumi, finanšu instrumentu nosacījumi un programmas risku segšanai pieejamais publiskais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03.08.2026. 07:36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radītās administratīvā sloga izmaiņas un, konstatējot administratīvo izmaksu izmaiņas, veikt to monetāro novērtējumu un attiecīgi papildināt anotācijas 2.3. un 2.4.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apakšpunktā norādīts, ka ar projektu tiek paplašināts dzīvokļu īpašnieku kopības pārstāvju loks, kā arī noteikts pienākums atsevišķos gadījumos iesniegt ēkas pagaidu energosertifikāta pārrēķinu. Vienlaikus projekts paplašina to elektroenerģijas ražošanas iekārtu tvērumu, uz kurām attiecas atbalsts un ar tā saņemšanu saistītās informācijas 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salīdzinājumā ar spēkā esošo regulējumu minētās izmaiņas maina informācijas sniegšanas pienākumu izpildei nepieciešamo darbību apjomu, to izpildes biežumu vai personu loku, kas šos pienākumus izpilda. Konstatējot administratīvo izmaksu izmaiņas, lūdzam veikt to monetāro novērtējumu attiecīgajām mērķa grupām un atspoguļot to anotācijas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norādīt pantus/punktus par kuriem veikts aprēķins un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projektā paredzētās izmaiņas, secināts, ka tās nerada jaunus informācijas sniegšanas pienākumus un nemaina jau noteikto informācijas sniegšanas pienākumu izpildei nepieciešamo darbību apjomu vai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pārstāvju loka precizēšana maina tikai to personu loku, kuras ir tiesīgas dzīvokļu īpašnieku kopības vārdā veikt noteikumos paredzētās darbības. Tā nemaina iesniedzamās informācijas un dokumentu apjomu, iesniegšanas kārtību vai biežumu. Turklāt fiziskas personas noteikšana par pārstāvi ir dzīvokļu īpašnieku kopības izvēle, nevis jauns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ražošanas iekārtu tvēruma precizēšana arī nerada jaunas informācijas sniegšanas prasības. Neatkarīgi no iekārtas jaudas atbalsta pretendents iesniedz jau spēkā esošajā regulējumā paredzēto informāciju par iekārtu, tās saražotās elektroenerģijas pašpatēriņu un projekta izmaksām. Grozījumi precizē tikai to elektroenerģijas ražošanas iekārtu loku, kuru iegādei un uzstādīšanai iespējams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pagaidu energosertifikāta pārrēķins ir tehniskās dokumentācijas sastāvdaļa, kuru sagatavo neatkarīgs eksperts ēku energoefektivitātes jomā, izmantojot projekta ietvaros jau sagatavotajā ēkas pagaidu energosertifikātā ietverto informāciju. Noteikumu projekts neparedz jaunu atsevišķu pieteikumu vai papildu informācijas iesniegšanas procedūru. Pārrēķins tiek pievienots jau iesniedzamajam projekta pabeigšanu apliecinošo dokumentu kopumam un iesniegts elektroniski kopā ar pārējiem dokumentiem. Tādējādi netiek palielināts dokumentu iesniegšanas biežums vai radīta jauna administratīvā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2.1. apakšpunktā sniegto informāciju par projekta ietekmētajām sabiedrības grupām un projekta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kā projekta ietekmētā sabiedrības grupa norādīti tikai daudzdzīvokļu māju dzīvokļu īpašnieki – fiziskās personas, savukārt juridiskajām personām norādīts, ka projekts šo grupu neskar. Vienlaikus ar projektu tiek precizēts un paplašināts to personu loks, kuras var pārstāvēt dzīvokļu īpašnieku kopību, paredzot, ka pārstāvis var būt gan fiziska, gan juridiska persona, kā arī projektā paredzētas citas izmaiņas atbalsta saņemšanas un projekta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pārskatīt projektā faktiski ietekmētās mērķa grupas un papildināt ietekmes aprakstu, raksturojot tieši projekta radītās izmaiņas attiecīgajām mērķa grupām, nevis vispārīgi norādot uz atbalsta sniegšanu daudzdzīvokļu māju dzīvokļu īpašniekiem. Vēršam uzmanību, ka šobrīd ietekmes apraksts raksturo spēkā esošo regulējumu, nevis grozījumu radīto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ir precizēts, norādot noteikumu projekta faktiski ietekmētās sabiedrības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28.1.4. neatkarīga eksperta ēku energoefektivitātes jomā e-parakstīts ēkas energosertifikāta vai pagaidu energosertifikāta pārrēķins, ja ēkas energosertifikāts izstrādāts un reģistrēts Būvniecības informācijas sistēmā līdz 2021. gada 15. aprīlim, vai ja precizētais ēkas pagaidu energosertifikāts ir izstrādāts pēc 2026. gada 18. jūnija;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lūdz skaidrot, kāpēc ēkas energosertifikātiem, kas veikti saskaņā ar normatīvajiem aktiem, jāveic atkārtots pārrēķins. Papildus tam skaidrot pārrēķina pievienoto vērtību un vai šīs izmaksas tiks segtas no atbalsta programmas. Lūdzam skaidrot, kādēļ nepieciešams elektroniski parakstīts dokuments, ja ēkas energosertifikāti ir publiski pieejami datu bāzēs, piemēram, BIS.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prasība pievienot neatkarīga eksperta elektroniski parakstītu ēkas energosertifikāta un ēkas pagaidu energosertifikāta pārrēķinu attiecas tikai uz energosertifikātiem, kas izstrādāti līdz 2026. gada 18. jūnijam. Prasības mērķis ir nodrošināt, ka projekta sākotnējie un sasniedzamie energoefektivitātes rādītāji tiek novērtēti pēc vienotas aprēķinu metodikas, tādējādi nodrošinot salīdzināmus un objektīvi pārbaudāmus rezultātus. Izmaksas tiks segtas no atbalsta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28.1.4. neatkarīga eksperta ēku energoefektivitātes jomā e-parakstīts ēkas energosertifikāta vai pagaidu energosertifikāta pārrēķins, ja ēkas energosertifikāts izstrādāts un reģistrēts Būvniecības informācijas sistēmā līdz 2021. gada 15. aprīlim, vai ja precizētais ēkas pagaidu energosertifikāts ir izstrādāts pēc 2026. gada 18. jūnija;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daudzdzīvokļu dzīvojamās mājas inženiersistēmu atjaunošana, pārbūve vai izveide ne tālāk kā līdz daudzdzīvokļu dzīvojamās mājas zemes robežai, tai skaitā nodrošinot individuālu siltuma uzskaiti saskaņā ar normatīvajiem aktiem par ekspluatējamu ēku energoefektivitātes minimālajām prasībām, izņemot ieguldījumus fosilos energoresursus izmantojošās tehnoloģiskās iekārtās, kas attiecīgajā ēkā uz vietas ražo enerģiju konkrētās ēkas patēriņam (šis ierobežojums neattiecas uz centralizētajai siltumapgādei pieslēgtajām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 precizēt, izsakot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inženiersistēmu atjaunošana, pārbūve vai izveide ne tālāk kā līdz daudzdzīvokļu dzīvojamās mājas zemes robežai, tai skaitā nodrošinot individuālu siltuma </w:t>
            </w:r>
            <w:r w:rsidR="00000000" w:rsidRPr="00000000" w:rsidDel="00000000">
              <w:rPr>
                <w:b w:val="1"/>
                <w:rtl w:val="0"/>
              </w:rPr>
              <w:t xml:space="preserve">un karstā ūdens </w:t>
            </w:r>
            <w:r w:rsidR="00000000" w:rsidRPr="00000000" w:rsidDel="00000000">
              <w:rPr>
                <w:rtl w:val="0"/>
              </w:rPr>
              <w:t xml:space="preserve">uzskaiti </w:t>
            </w:r>
            <w:r w:rsidR="00000000" w:rsidRPr="00000000" w:rsidDel="00000000">
              <w:rPr>
                <w:b w:val="1"/>
                <w:rtl w:val="0"/>
              </w:rPr>
              <w:t xml:space="preserve">ar attālinātu nolasāmību</w:t>
            </w:r>
            <w:r w:rsidR="00000000" w:rsidRPr="00000000" w:rsidDel="00000000">
              <w:rPr>
                <w:rtl w:val="0"/>
              </w:rPr>
              <w:t xml:space="preserve"> saskaņā ar normatīvajiem aktiem par ekspluatējamu ēku energoefektivitātes minimālajām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daudzdzīvokļu dzīvojamās mājas inženiersistēmu atjaunošana, pārbūve vai izveide ne tālāk kā līdz daudzdzīvokļu dzīvojamās mājas zemes robežai, tai skaitā nodrošinot individuālu siltuma un karstā ūdens uzskaiti ar attālinātu nolasāmību saskaņā ar normatīvajiem aktiem par ekspluatējamu ēku energoefektivitātes minimālajām prasībām, izņemot ieguldījumus fosilos energoresursus izmantojošās tehnoloģiskās iekārtās, kas attiecīgajā ēkā uz vietas ražo enerģiju konkrētās ēkas patēriņam (šis ierobežojums neattiecas uz centralizētajai siltumapgādei pieslēgtajām ēkām);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ja projekta ietvaros tiek izbūvēta vai atjaunota kopīga inženiertehniskā infrastruktūra, tai skaitā centralizēta apkures sistēma, atjaunojamo energoresursu elektroenerģijas ražošanas iekārtas vai citi risinājumi, kas kalpo vairākām daudzdzīvokļu dzīvojamām mājām, attiecināmās izmaksas sadala starp attiecīgajiem projektiem proporcionāli katras mājas izmantošanas apjomam vai gūtajam ieguvumam, pamatojot izmaksu sadalījumu projekta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 visā tekstā lietot Enerģētikas likuma 1.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punkta terminus - “atjaunīgā enerģija” un “atjaunīgie energoresursi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terminoloģija precizēta, aizstājot lietotos terminus ar Enerģētikas likuma noteiktajiem terminiem "atjaunīgā enerģija" un "atjaunīgie energoresursi", nodrošinot vienotu terminoloģijas lietojumu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ja projekta ietvaros tiek izbūvēta vai atjaunota kopīga inženiertehniskā infrastruktūra, tai skaitā efektīva centralizētā siltumapgādes sistēma, atjaunīgos energoresursus izmantojošas elektroenerģijas ražošanas iekārtas vai citi risinājumi, kas kalpo vairākām daudzdzīvokļu dzīvojamām mājām, attiecināmās izmaksas sadala starp attiecīgajiem projektiem proporcionāli katras mājas infrastruktūras izmantošanas apjomam vai gūtajam ieguvumam, pamatojot izmaksu sadalījumu projekta dokumentācijā. Šā apakšpunkta ietvaros nav attiecināmas izmaksas par ieguldījumiem fosilos energoresursus izmantojošās tehnoloģiskajās iekārtās;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ja projekta ietvaros tiek izbūvēta vai atjaunota kopīga inženiertehniskā infrastruktūra, tai skaitā centralizēta apkures sistēma, atjaunojamo energoresursu elektroenerģijas ražošanas iekārtas vai citi risinājumi, kas kalpo vairākām daudzdzīvokļu dzīvojamām mājām, attiecināmās izmaksas sadala starp attiecīgajiem projektiem proporcionāli katras mājas izmantošanas apjomam vai gūtajam ieguvumam, pamatojot izmaksu sadalījumu projekta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 precizēt, izsakot piedāvātajā redakcijā, izslēdzot iespēju atbalstīt fosilo resursu patērējošas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izbūvēta vai atjaunota kopīga inženiertehniskā infrastruktūra, tai skaitā </w:t>
            </w:r>
            <w:r w:rsidR="00000000" w:rsidRPr="00000000" w:rsidDel="00000000">
              <w:rPr>
                <w:b w:val="1"/>
                <w:rtl w:val="0"/>
              </w:rPr>
              <w:t xml:space="preserve">efektīva</w:t>
            </w:r>
            <w:r w:rsidR="00000000" w:rsidRPr="00000000" w:rsidDel="00000000">
              <w:rPr>
                <w:rtl w:val="0"/>
              </w:rPr>
              <w:t xml:space="preserve"> centralizēta apkures sistēma, atjaunojamo energoresursu elektroenerģijas ražošanas iekārtas vai citi risinājumi,</w:t>
            </w:r>
            <w:r w:rsidR="00000000" w:rsidRPr="00000000" w:rsidDel="00000000">
              <w:rPr>
                <w:b w:val="1"/>
                <w:rtl w:val="0"/>
              </w:rPr>
              <w:t xml:space="preserve"> izņemot ieguldījumus fosilos energoresursus izmantojošās tehnoloģiskās iekārtās,</w:t>
            </w:r>
            <w:r w:rsidR="00000000" w:rsidRPr="00000000" w:rsidDel="00000000">
              <w:rPr>
                <w:rtl w:val="0"/>
              </w:rPr>
              <w:t xml:space="preserve"> kas kalpo vairākām daudzdzīvokļu dzīvojamām mājām, attiecināmās izmaksas sadala starp attiecīgajiem projektiem proporcionāli katras mājas izmantošanas apjomam vai gūtajam ieguvumam, pamatojot izmaksu sadalījumu projekta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29.4. apakšpunkts precizēts, skaidri nosakot, ka attiecināmo izmaksu sadales nosacījums nav piemērojams ieguldījumiem fosilos energoresursus izmantojošās tehnoloģiskajās iekārtās.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ja projekta ietvaros tiek izbūvēta vai atjaunota kopīga inženiertehniskā infrastruktūra, tai skaitā efektīva centralizētā siltumapgādes sistēma, atjaunīgos energoresursus izmantojošas elektroenerģijas ražošanas iekārtas vai citi risinājumi, kas kalpo vairākām daudzdzīvokļu dzīvojamām mājām, attiecināmās izmaksas sadala starp attiecīgajiem projektiem proporcionāli katras mājas infrastruktūras izmantošanas apjomam vai gūtajam ieguvumam, pamatojot izmaksu sadalījumu projekta dokumentācijā. Šā apakšpunkta ietvaros nav attiecināmas izmaksas par ieguldījumiem fosilos energoresursus izmantojošās tehnoloģiskajās iekārtās;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neprivatizēto pašvaldībām piederošo dzīvokļu izīrēšana, biedrību un nodibinājumu īpašumā esošu dzīvokļu izīrēšana, īres tiesisko attiecību uzsākšana vai dzīvokļu uzturēšana, lai tos izīrētu atbilstoši </w:t>
            </w:r>
            <w:r w:rsidR="00000000" w:rsidRPr="00000000" w:rsidDel="00000000">
              <w:rPr>
                <w:rtl w:val="0"/>
              </w:rPr>
              <w:t xml:space="preserve">likumam "Par palīdzību dzīvokļa jautājumu risināšanā"</w:t>
            </w:r>
            <w:r w:rsidR="00000000" w:rsidRPr="00000000" w:rsidDel="00000000">
              <w:rPr>
                <w:rtl w:val="0"/>
              </w:rPr>
              <w:t xml:space="preserve">, izņemot šā likuma III</w:t>
            </w:r>
            <w:r w:rsidR="00000000" w:rsidRPr="00000000" w:rsidDel="00000000">
              <w:rPr>
                <w:vertAlign w:val="superscript"/>
                <w:rtl w:val="0"/>
              </w:rPr>
              <w:t xml:space="preserve">1</w:t>
            </w:r>
            <w:r w:rsidR="00000000" w:rsidRPr="00000000" w:rsidDel="00000000">
              <w:rPr>
                <w:rtl w:val="0"/>
              </w:rPr>
              <w:t xml:space="preserve"> nodaļu, kura kvalificējama kā pašvaldības saimnieciskā darbība un attiecīgi vērtējama atbilstoši komercdarbības atbalsta kontroles normām, piemērojot attiecīgo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dzīvokļu izīrēšanai likuma "Par palīdzību dzīvokļa jautājumu risināšanā" 15. pantā minētajām citām personu kategorijām var kvalificēties kā komercdarbības atbalsts, lūdzam izteikt noteikumu 77.1. apakšpunktu, piemēram, zemāk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neprivatizēto pašvaldībām piederošo dzīvokļu izīrēšana, biedrību un nodibinājumu īpašumā esošu dzīvokļu izīrēšana, īres tiesisko attiecību uzsākšana vai dzīvokļu uzturēšana, lai tos izīrētu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kura kvalificējama kā pašvaldības saimnieciskā darbība, un dzīvokļu izīrēšana šī likuma 15. pantā minētajām citām personu kategorijām, kura var kvalificēties kā pašvaldības saimnieciskā darbība,  attiecīgi vērtējama atbilstoši komercdarbības atbalsta kontroles normām, piemērojot attiecīgo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piedāvātai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neprivatizēto pašvaldībām piederošo dzīvokļu izīrēšana, biedrību un nodibinājumu īpašumā esošu dzīvokļu izīrēšana, īres tiesisko attiecību uzsākšana vai dzīvokļu uzturēšana, lai tos izīrētu atbilstoši </w:t>
            </w:r>
            <w:r w:rsidR="00000000" w:rsidRPr="00000000" w:rsidDel="00000000">
              <w:rPr>
                <w:rtl w:val="0"/>
              </w:rPr>
              <w:t xml:space="preserve">likumam "Par palīdzību dzīvokļa jautājumu risināšanā"</w:t>
            </w:r>
            <w:r w:rsidR="00000000" w:rsidRPr="00000000" w:rsidDel="00000000">
              <w:rPr>
                <w:rtl w:val="0"/>
              </w:rPr>
              <w:t xml:space="preserve">, izņemot šā likuma III</w:t>
            </w:r>
            <w:r w:rsidR="00000000" w:rsidRPr="00000000" w:rsidDel="00000000">
              <w:rPr>
                <w:vertAlign w:val="superscript"/>
                <w:rtl w:val="0"/>
              </w:rPr>
              <w:t xml:space="preserve">1</w:t>
            </w:r>
            <w:r w:rsidR="00000000" w:rsidRPr="00000000" w:rsidDel="00000000">
              <w:rPr>
                <w:rtl w:val="0"/>
              </w:rPr>
              <w:t xml:space="preserve"> nodaļu, kura kvalificējama kā pašvaldības saimnieciskā darbība, un dzīvokļu izīrēšana šī likuma 15. pantā minētajām citām personu kategorijām, kura var kvalificēties kā pašvaldības saimnieciskā darbība,  attiecīgi vērtējama atbilstoši komercdarbības atbalsta kontroles normām, piemērojot attiecīgo komercdarbības atbalsta regulējumu;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17. decembra noteikumos Nr. 880 "Atbalsta programmas nosacījumi energoefektivitātes paaugstināšanas pasākumu īstenošanai daudzdzīvokļu dzīvojamās mājās" (Latvijas Vēstnesis, 2024, 249. nr.; 2025, 67., 177. nr.; 2026, 85.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 Izteikt 34. punktu šādā redakcijā:</w:t>
            </w:r>
            <w:r w:rsidR="00000000" w:rsidRPr="00000000" w:rsidDel="00000000">
              <w:rPr>
                <w:i w:val="1"/>
                <w:rtl w:val="0"/>
              </w:rPr>
              <w:t xml:space="preserve">"34. Dzīvokļu īpašnieki ar pārstāvja starpniecību, bet garantiju gadījumā ar cita finansētāja starpniecību piesakās sabiedrības "Altum" aizdevumam vai garantijai, kā arī kapitāla atlaidei. Kapitāla atlaide no cita finansētāja vai sabiedrības "Altum" attiecināmo izmaksu aizdevuma apmēra nepārsniedz vienu no šādiem apmēriem (izņemot šo noteikumu 30. punktā noteikto gadījumu):</w:t>
            </w:r>
            <w:r w:rsidR="00000000" w:rsidRPr="00000000" w:rsidDel="00000000">
              <w:rPr>
                <w:i w:val="1"/>
                <w:rtl w:val="0"/>
              </w:rPr>
              <w:t xml:space="preserve">34.1. 70 procenti, ja tiek sasniegts šo noteikumu 22.1. apakšpunktā noteiktais mērķis un rūpnieciski ražoti koka karkasa paneļi uzstādīti mājas fasādei pilnā apmērā, no tiem:</w:t>
            </w:r>
            <w:r w:rsidR="00000000" w:rsidRPr="00000000" w:rsidDel="00000000">
              <w:rPr>
                <w:i w:val="1"/>
                <w:rtl w:val="0"/>
              </w:rPr>
              <w:t xml:space="preserve">34.1.1. 50 procenti no šo noteikumu 7. punktā minētā finansējuma;</w:t>
            </w:r>
            <w:r w:rsidR="00000000" w:rsidRPr="00000000" w:rsidDel="00000000">
              <w:rPr>
                <w:i w:val="1"/>
                <w:rtl w:val="0"/>
              </w:rPr>
              <w:t xml:space="preserve">34.1.2. 20 procenti no šo noteikumu 7.1 punktā minētā finansējuma, bet ne vairāk kā 150 000 euro projekta attiecināmajām izmaksām, kas noteiktas atbilstoši šo noteikumu 29. punktam;</w:t>
            </w:r>
            <w:r w:rsidR="00000000" w:rsidRPr="00000000" w:rsidDel="00000000">
              <w:rPr>
                <w:i w:val="1"/>
                <w:rtl w:val="0"/>
              </w:rPr>
              <w:t xml:space="preserve">34.2. 50 procenti, ja sasniegts šo noteikumu 22.1. apakšpunktā noteiktais mērķis un sabiedrība "Altum" pieņēmusi lēmumu par atbalsta piešķiršanu vismaz trim kvartālā esošām mājām;</w:t>
            </w:r>
            <w:r w:rsidR="00000000" w:rsidRPr="00000000" w:rsidDel="00000000">
              <w:rPr>
                <w:i w:val="1"/>
                <w:rtl w:val="0"/>
              </w:rPr>
              <w:t xml:space="preserve">34.3. 45 procenti, ja sasniegts šo noteikumu 22.1. apakšpunktā noteiktais mērķis un uzstādīta ventilējamā fasāde pilnā apmērā;</w:t>
            </w:r>
            <w:r w:rsidR="00000000" w:rsidRPr="00000000" w:rsidDel="00000000">
              <w:rPr>
                <w:i w:val="1"/>
                <w:rtl w:val="0"/>
              </w:rPr>
              <w:t xml:space="preserve">34.4. 40 procenti, ja sasniegts šo noteikumu 22.1. apakšpunktā noteiktais mērķis;</w:t>
            </w:r>
            <w:r w:rsidR="00000000" w:rsidRPr="00000000" w:rsidDel="00000000">
              <w:rPr>
                <w:i w:val="1"/>
                <w:rtl w:val="0"/>
              </w:rPr>
              <w:t xml:space="preserve">34.5. 40 procenti, ja sasniegts šo noteikumu 22.2. apakšpunktā noteiktais mērķis, bet ne vairāk kā 80 000 euro katra projekta attiecināmajām izmaksām, kas noteiktas atbilstoši šo noteikumu 29.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tā anotāciju, skaidri norādot noteikumu projekta 34. punktā paredzēto kapitāla atlaižu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punkts tiek izteikts jaunā redakcijā, lai tajā jēdzienu “pilnvarotā persona” aizstātu ar jēdzienu “pārstāvis” atbilstoši noteikumu projekta 2.10. apakšpunktā precizētajai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34. punkta grozījumiem netiek mainīti kapitāla atlaides apmēri, tās piemērošanas nosacījumi, finansējuma avoti vai finansēšanas kārtība. Kapitāla atlaižu finansējuma avoti jau ir noteikti spēkā esošo noteikumu 7. un 7.</w:t>
            </w:r>
            <w:r w:rsidR="00000000" w:rsidRPr="00000000" w:rsidDel="00000000">
              <w:rPr>
                <w:vertAlign w:val="superscript"/>
                <w:rtl w:val="0"/>
              </w:rPr>
              <w:t xml:space="preserve">1</w:t>
            </w:r>
            <w:r w:rsidR="00000000" w:rsidRPr="00000000" w:rsidDel="00000000">
              <w:rPr>
                <w:rtl w:val="0"/>
              </w:rPr>
              <w:t xml:space="preserve"> punktā un skaidri nodalīti 34.1.1. un 34.1.2.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finansējuma avotu papildu skaidrojums neattiecas uz šā noteikumu projekta grozījumu būtību un noteikumu projekta vai anotācijas papildināšana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1.2. apakšpunktā norādīto projekta mērķi, formulējot to kā ar projektu sasniedzamo rezultātu, nevis kā tiesību akta grozījumu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nodrošināt, ka mērķa formulējums aptver projektā paredzētās būtiskākās izmaiņas, tostarp ne tikai elektroenerģijas ražošanas iekārtu atbalsta nosacījumu precizēšanu, bet arī dzīvokļu īpašnieku kopības pārstāvības un citus ar atbalsta saņemšanu un īstenošanu saistītos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apakšpunktā projekta mērķis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papildināt noteikumu projekta anotācijas 1.2. apakšsadaļu, kā arī citas attiecīgās anotācijas sadaļas, pilnībā atspoguļojot visu ar noteikumu projektu paredzēto grozījumu saturu, mērķi, pamatojumu un paredzamo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anotācijā noteikumu projekta nepieciešamība galvenokārt pamatota ar jēdziena “mikroģenerācija” aizstāšanu, elektroenerģijas ražošanas iekārtu maksimālās uzstādītās jaudas noteikšanu un atsevišķiem regulējuma piemērošanas precizējumiem. Tomēr noteikumu projekts paredz arī vairākus pēc būtības nozīmīgus grozījumus atbalsta piešķiršanas un projektu īstenošanas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grozījumu ietekmi uz finansējuma saņēmējiem, jau noslēgtajiem līgumiem un īstenošanā esošajiem projektiem. Vienlaikus skaidrojot vai attiecīgie grozījumi būs uzskatāmi par būtiskiem, kas varētu ietekmēt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visiem ierosinātajiem grozījumiem, piemēram pievienotās vērtības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10.punktā ietverto regulējumu un anotācijas 1.3.sadaļā “Pašreizējā situācija, problēmas un risinājumi” sniegto skaidrojumu, lūdzam papildināt anotāciju ar izvērstāku skaidrojumu, lai normas piemērotājam nerastos interpretācijas iespējas, proti, ja projekta ietvaros tiek izbūvēta vai atjaunota kopīga inženiertehniskā infrastruktūra, kas kalpo vairākām daudzdzīvokļu dzīvojamām mājām, vai visas daudzdzīvokļu mājas ir ES fondu vai citu finanšu instrumentu saņēmēji. Vienlaikus lūdzam skaidrot, kāda būtu rīcība attiecībā uz finansējuma sadalījumu, ja kāda no daudzdzīvokļu mājās nav projekta īstenotājs.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papildināt noteikumu projekta anotācijas 1.3. apakšsadaļu, kā arī citas attiecīgās anotācijas sadaļas, pilnībā atspoguļojot visu ar noteikumu projektu paredzēto grozījumu saturu, mērķi, pamatojumu un paredzamo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anotācijā noteikumu projekta nepieciešamība galvenokārt pamatota ar jēdziena “mikroģenerācija” aizstāšanu, elektroenerģijas ražošanas iekārtu maksimālās uzstādītās jaudas noteikšanu un atsevišķiem regulējuma piemērošanas precizējumiem. Tomēr noteikumu projekts paredz arī vairākus pēc būtības nozīmīgus grozījumus atbalsta piešķiršanas un projektu īstenošanas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projekta atbilstību Latvijas Republikas starptautiskajām saistībām un nepieciešamības gadījumā papildināt anotācijas 5. sadaļu, ievērojot "Vadlīnijas tiesību akta projekta sākotnējās ietekmes novērtēšanai un novērtējuma ziņojuma sagatavošanai Vienotajā tiesību aktu izstrādes un saskaņošanas portālā" līdzīgi kā tas darīts Ministru kabineta 2024. gada 17. decembra noteikumu Nr. 880 "Atbalsta programmas nosacījumi energoefektivitātes paaugstināšanas pasākumu īstenošanai daudzdzīvokļu dzīvojamās mājās" sākotnējā anotācijā. Vēršam uzmanību, ka, piemēram, no projekta 11. punkta izriet tā saistība ar </w:t>
            </w:r>
            <w:r w:rsidR="00000000" w:rsidRPr="00000000" w:rsidDel="00000000">
              <w:rPr>
                <w:i w:val="1"/>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64. panta 1. punkta "c"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7.4. apakšpunktā sniegto novērtējumu, ņemot vērā projektā paredzētās izmaiņas atbalsta administrēšanas nosacījumos un Altum iesniedzamajā dokumentācijā, un attiecīgi atspoguļot projekta ietekmi uz institūcijas veicamajiem procesiem, ja tāda tiek konstatēta.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izmaiņas neietekmē sabiedrības “Altum” funkcijas, institucionālo struktūru vai atbalsta administrēšanas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pārstāvju loka precizēšana nemaina sabiedrībai “Altum” iesniedzamās informācijas un dokumentu apjomu, to iesniegšanas kārtību vai pārbaudes darbības. Arī elektroenerģijas ražošanas iekārtu tvēruma precizēšana nerada jaunus atbalsta administrēšanas procesus, jo projektu izvērtēšana tiek veikta līdzšinējās atbalsta administrēšanas kārtības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pagaidu energosertifikāta pārrēķins tiek iesniegts elektroniski kopā ar jau paredzēto projekta pabeigšanu apliecinošo dokumentu kopumu, neradot sabiedrībai “Altum” jaunu atsevišķu dokumentu iesniegšanas vai pārbaudes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 ietekme uz sabiedrības “Altum” veicamajiem procesiem, funkcijām un institucionālo struktūru nav konstatēta, tādēļ anotācijas 7.4. apakšpunktā saglabāts novērtējums, ka projekts šo jomu neskar.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 uzskaites veidlapu par citu saņemto </w:t>
            </w:r>
            <w:r w:rsidR="00000000" w:rsidRPr="00000000" w:rsidDel="00000000">
              <w:rPr>
                <w:i w:val="1"/>
                <w:rtl w:val="0"/>
              </w:rPr>
              <w:t xml:space="preserve">de minimis</w:t>
            </w:r>
            <w:r w:rsidR="00000000" w:rsidRPr="00000000" w:rsidDel="00000000">
              <w:rPr>
                <w:rtl w:val="0"/>
              </w:rPr>
              <w:t xml:space="preserve"> atbalstu vai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ja projekta ietvaros tiek sniegts atbalsts dzīvokļu īpašniekiem, kas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kopš 2022.gada jūlija informācija par atbalsta pretendenta citu saņemto de minimis atbalstu tiek pilnā apmērā uzglabāta de minimis atbalsta uzskaites sistēmā (pārejas periods noslēdzies) un automātiski ielasās atbalsta pretendenta izveidotajā de minimis veidlapā, lūdzam svītrot noteikumu 50.3. apakšpunktā vārdus "uzskaites veidlapu par citu saņemto de minimis atbalstu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50.3. apakšpunkta svītroti vārdi “uzskaites veidlapu par citu saņemto de minimis atbalstu vai”, paredzot, ka atbalsta pretendents iesniedz de minimis atbalsta uzskaites sistēmā izveidotās un apstiprinātās pretendenta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arī noteikumu 51. punkts, aizstājot atsauci uz uzskaites veidlapas iesniegšanu ar atsauci uz de minimis atbalsta uzskaites sistēmā izveidotās un apstiprinātās pretendenta veidlapas identifikācijas numura iesniegšanu.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ja projekta ietvaros tiek sniegts atbalsts dzīvokļu īpašniekiem, kas kvalificējams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Šo noteikumu </w:t>
            </w:r>
            <w:r w:rsidR="00000000" w:rsidRPr="00000000" w:rsidDel="00000000">
              <w:rPr>
                <w:rtl w:val="0"/>
              </w:rPr>
              <w:t xml:space="preserve">76.</w:t>
            </w:r>
            <w:r w:rsidR="00000000" w:rsidRPr="00000000" w:rsidDel="00000000">
              <w:rPr>
                <w:rtl w:val="0"/>
              </w:rPr>
              <w:t xml:space="preserve"> punktā</w:t>
            </w:r>
            <w:r w:rsidR="00000000" w:rsidRPr="00000000" w:rsidDel="00000000">
              <w:rPr>
                <w:rtl w:val="0"/>
              </w:rPr>
              <w:t xml:space="preserve"> minētie dzīvokļu īpašnieki ar Valsts ieņēmumu dienesta elektroniskās deklarēšanas sistēmas starpniecību piesakās </w:t>
            </w:r>
            <w:r w:rsidR="00000000" w:rsidRPr="00000000" w:rsidDel="00000000">
              <w:rPr>
                <w:i w:val="1"/>
                <w:rtl w:val="0"/>
              </w:rPr>
              <w:t xml:space="preserve">de minimis</w:t>
            </w:r>
            <w:r w:rsidR="00000000" w:rsidRPr="00000000" w:rsidDel="00000000">
              <w:rPr>
                <w:rtl w:val="0"/>
              </w:rPr>
              <w:t xml:space="preserve">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de minimis atbalsta uzskaites sistēmā nevar pieteikties de minimis atbalsta saņemšanai un atbalsta pretendenta pienākums, pretendējot uz de minimis atbalstu (pirms atbalsta piešķiršanas), ir sagatavot un iesniegt atbalsta sniedzējam veidlapu par sniedzamo informāciju de minimis atbalsta uzskaitei un piešķiršanai (de minimis veidlapu), lūdzam precizēt noteikumu 80.punktu uz izteikt, piemēram, zemāk piedāvātajā redakcijā. Vienlaikus aicinām izvērtēt nepieciešamību šo noteikumu normu pārcelt pirms noteikumu 79.punkta (tas ir pirms normas par lēmuma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76. punktā minētie dzīvokļu īpašnieki, izmantojot Valsts ieņēmumu dienesta elektroniskās deklarēšanas sistēmas piedāvāto autorizācijas un autentifikācijas risinājumu, atbilstoši šo noteikumu 50.3. apakšpunktā noteiktajam, de minimis atbalsta uzskaites sistēmā sagatavo un apstiprina pretendenta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precizēts piedāvātai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Šo noteikumu </w:t>
            </w:r>
            <w:r w:rsidR="00000000" w:rsidRPr="00000000" w:rsidDel="00000000">
              <w:rPr>
                <w:rtl w:val="0"/>
              </w:rPr>
              <w:t xml:space="preserve">76. </w:t>
            </w:r>
            <w:r w:rsidR="00000000" w:rsidRPr="00000000" w:rsidDel="00000000">
              <w:rPr>
                <w:rtl w:val="0"/>
              </w:rPr>
              <w:t xml:space="preserve">punktā</w:t>
            </w:r>
            <w:r w:rsidR="00000000" w:rsidRPr="00000000" w:rsidDel="00000000">
              <w:rPr>
                <w:rtl w:val="0"/>
              </w:rPr>
              <w:t xml:space="preserve">  minētie dzīvokļu īpašnieki, izmantojot Valsts ieņēmumu dienesta elektroniskās deklarēšanas sistēmas piedāvāto autorizācijas un autentifikācijas risinājumu, atbilstoši šo noteikumu </w:t>
            </w:r>
            <w:r w:rsidR="00000000" w:rsidRPr="00000000" w:rsidDel="00000000">
              <w:rPr>
                <w:rtl w:val="0"/>
              </w:rPr>
              <w:t xml:space="preserve">50.3. </w:t>
            </w:r>
            <w:r w:rsidR="00000000" w:rsidRPr="00000000" w:rsidDel="00000000">
              <w:rPr>
                <w:rtl w:val="0"/>
              </w:rPr>
              <w:t xml:space="preserve">apakšpunktā</w:t>
            </w:r>
            <w:r w:rsidR="00000000" w:rsidRPr="00000000" w:rsidDel="00000000">
              <w:rPr>
                <w:rtl w:val="0"/>
              </w:rPr>
              <w:t xml:space="preserve"> noteiktajam, de minimis atbalsta uzskaites sistēmā sagatavo un apstiprina pretendenta veidlapu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regulas Nr.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citu komercdarbības atbalstu, tai skaitā attiecībā uz vienām un tām pašām attiecināmajām izmaksām, vai citu valsts atbalstu tam pašam riska finansējuma pasākumam,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apvienot noteikumu projekta 82.3. apakšpunktā noteikto nosacījumu ar 82.2. apakšpunktā noteikto, ņemot vērā to, ka abos šajos punktos noteiktie nosacījumi ir par de minimis atbalsta kumulēšanu ar citu de minimis atbalstu. Lūdzam izvērtēt iespēju arī noteikumu 84.4. apakšpunktā noteikto apvienot vienā normā ar iepriekš minētajiem nosacījumiem. Lūdzam skatīt piedāvātās redakcijas piemēru zemāk.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82.2. un 82.3. apakšpunktā paredzētie de minimis atbalsta kumulācijas nosacījumi ir apvienoti vienā apakšpunktā, novēršot regulējuma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informācijas sniegšanas pienākums par plānoto un piešķirto atbalstu saglabāts atsevišķā apakšpunktā, jo tas pēc būtības nav kumulācijas nosacījums, bet gan atbalsta saņēmēja pienākums, kas nepieciešams kumulācijas nosacījumu ievērošanas pārbaudei.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Piešķirot atbalstu, sabiedrība "Altum" pārbauda dzīvokļu īpašnieku atbilstību </w:t>
            </w:r>
            <w:r w:rsidR="00000000" w:rsidRPr="00000000" w:rsidDel="00000000">
              <w:rPr>
                <w:i w:val="1"/>
                <w:rtl w:val="0"/>
              </w:rPr>
              <w:t xml:space="preserve">de minimis</w:t>
            </w:r>
            <w:r w:rsidR="00000000" w:rsidRPr="00000000" w:rsidDel="00000000">
              <w:rPr>
                <w:rtl w:val="0"/>
              </w:rPr>
              <w:t xml:space="preserve"> atbalsta saņemšanas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ir nepārprotami skaidrs, ka sabiedrība "Altum" dzīvokļu īpašnieku atbilstības pārbaudi Komisijas 2023. gada 13. decembra Regulas (ES) Nr. 2023/2831 par Līguma par Eiropas Savienības darbību 107. un 108. panta piemērošanu de minimis atbalstam nosacījumiem veic uz atbalsta piešķiršanas brīdi, lūdzam precizēt noteikumu projekta 88. punktu. Lūdzam skatīt piedāvātās redakcijas piemēru zemāk.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pārbauda dzīvokļu īpašnieku atbilstību regulas Nr. 2023/2831 nosacījumiem uz atbalsta piešķiršanas brīdi.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piedāvātai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Sabiedrība "Altum" pārbauda dzīvokļu īpašnieku atbilstību regulas Nr. </w:t>
            </w:r>
            <w:r w:rsidR="00000000" w:rsidRPr="00000000" w:rsidDel="00000000">
              <w:rPr>
                <w:rtl w:val="0"/>
              </w:rPr>
              <w:t xml:space="preserve">2023/2831</w:t>
            </w:r>
            <w:r w:rsidR="00000000" w:rsidRPr="00000000" w:rsidDel="00000000">
              <w:rPr>
                <w:rtl w:val="0"/>
              </w:rPr>
              <w:t xml:space="preserve">  nosacījumiem uz atbalsta piešķiršanas brīdi.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26-TA-1613</w:t>
    </w:r>
    <w:r>
      <w:br/>
    </w:r>
    <w:r w:rsidR="00000000" w:rsidRPr="00000000" w:rsidDel="00000000">
      <w:rPr>
        <w:rtl w:val="0"/>
      </w:rPr>
      <w:t xml:space="preserve">17.09.2026. 09.55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26-TA-1613</w:t>
    </w:r>
    <w:r>
      <w:br/>
    </w:r>
    <w:r w:rsidR="00000000" w:rsidRPr="00000000" w:rsidDel="00000000">
      <w:rPr>
        <w:rtl w:val="0"/>
      </w:rPr>
      <w:t xml:space="preserve">17.09.2026. 09.55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Izziņa_26-TA-1613.docx</dc:title>
</cp:coreProperties>
</file>

<file path=docProps/custom.xml><?xml version="1.0" encoding="utf-8"?>
<Properties xmlns="http://schemas.openxmlformats.org/officeDocument/2006/custom-properties" xmlns:vt="http://schemas.openxmlformats.org/officeDocument/2006/docPropsVTypes"/>
</file>