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kompetentā iestāde attiecīgo informāciju iegūs arī no uzturēšanās atļauju reģistra. Līdz ar to ir attiecīgi precizējama projekta anotācijas 7. sadaļa, norādot, ka projekta izpildē ir iesaistīta arī 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ka kravas transportlīdzekli, kura pilnā masa nepārsniedz 3,5 tonnas, komercpārvadājumu veikšanai plāno izmantot kopā ar piekabi vai puspiekabi un sastāva pilnā masa pārsniegs 3,5 tonnas.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1.punktā izteikto 10.4.apakšpunktu un nepieciešamības gadījumā to svītrot,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spēkā esošie </w:t>
            </w:r>
            <w:r w:rsidR="00000000" w:rsidRPr="00000000" w:rsidDel="00000000">
              <w:rPr>
                <w:i w:val="1"/>
                <w:rtl w:val="0"/>
              </w:rPr>
              <w:t xml:space="preserve">Ministru kabineta 2012. gada 21. februāra noteikumi Nr. 122 "Kārtība, kādā izsniedz, anulē vai uz laiku aptur Eiropas Kopienas atļaujas, Eiropas Kopienas atļauju kopijas un autovadītāja atestātus starptautiskajiem komercpārvadājumiem ar autotransportu Eiropas Savienības teritorijā"</w:t>
            </w:r>
            <w:r w:rsidR="00000000" w:rsidRPr="00000000" w:rsidDel="00000000">
              <w:rPr>
                <w:rtl w:val="0"/>
              </w:rPr>
              <w:t xml:space="preserve"> (turpmāk – Noteikumi) izdoti uz Autopārvadājumu likuma pamata un tajos izmantoti Autopārvadājumu likumā definētie termini. Autopārvadājumu likumā netiek lietots termins “kravas transportlīdzeklis”. Šāds termins netiek lietots ne Ceļu satiksmes likumā, ne </w:t>
            </w:r>
            <w:r w:rsidR="00000000" w:rsidRPr="00000000" w:rsidDel="00000000">
              <w:rPr>
                <w:i w:val="1"/>
                <w:rtl w:val="0"/>
              </w:rPr>
              <w:t xml:space="preserve">Eiropas Parlamenta un Padomes 2009. gada 21. oktobra Regulā (EK) Nr. 1072/2009 par kopīgiem noteikumiem attiecībā uz piekļuvi starptautisko kravas autopārvadājumu tirgum</w:t>
            </w:r>
            <w:r w:rsidR="00000000" w:rsidRPr="00000000" w:rsidDel="00000000">
              <w:rPr>
                <w:rtl w:val="0"/>
              </w:rPr>
              <w:t xml:space="preserve"> un to grozošajā </w:t>
            </w:r>
            <w:r w:rsidR="00000000" w:rsidRPr="00000000" w:rsidDel="00000000">
              <w:rPr>
                <w:i w:val="1"/>
                <w:rtl w:val="0"/>
              </w:rPr>
              <w:t xml:space="preserve">Eiropas Parlamenta un Padomes 2020. gada 15. jūlija Regulā (ES) 2020/1055, ar ko groza Regulas (EK) Nr. 1071/2009, (EK) Nr. 1072/2009 un (ES) Nr. 1024/2012, lai tās pielāgotu norisēm autotransporta nozarē</w:t>
            </w:r>
            <w:r w:rsidR="00000000" w:rsidRPr="00000000" w:rsidDel="00000000">
              <w:rPr>
                <w:rtl w:val="0"/>
              </w:rPr>
              <w:t xml:space="preserve"> (turpmāk abas kopā – Autopārvadājumu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10.punktā izmantots Autopārvadājumu regulai atbilstošs termins “autotransporta līdzeklis”, kas, saskaņā ar Autopārvadājumu likuma 1.panta 6.punktu ir </w:t>
            </w:r>
            <w:r w:rsidR="00000000" w:rsidRPr="00000000" w:rsidDel="00000000">
              <w:rPr>
                <w:i w:val="1"/>
                <w:rtl w:val="0"/>
              </w:rPr>
              <w:t xml:space="preserve">“transportlīdzeklis ar motoru (izņemot traktorus un pašgājējas mašīnas), kuru lieto pasažieru vai kravas pārvadāšanai pa bezsliežu ceļiem. </w:t>
            </w:r>
            <w:r w:rsidR="00000000" w:rsidRPr="00000000" w:rsidDel="00000000">
              <w:rPr>
                <w:b w:val="1"/>
                <w:i w:val="1"/>
                <w:rtl w:val="0"/>
              </w:rPr>
              <w:t xml:space="preserve">Piekabes un puspiekabes tiek uzskatītas par autotransporta līdzekļa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 šobrīd spēkā esošā Latvijas un Eiropas Savienības tiesiskā regulējuma, pirmkārt, jau ir skaidrs, ka Noteikumos un regulā norādītie masas ierobežojumi attiecas uz </w:t>
            </w:r>
            <w:r w:rsidR="00000000" w:rsidRPr="00000000" w:rsidDel="00000000">
              <w:rPr>
                <w:u w:val="single"/>
                <w:rtl w:val="0"/>
              </w:rPr>
              <w:t xml:space="preserve">autotransporta līdzekļiem</w:t>
            </w:r>
            <w:r w:rsidR="00000000" w:rsidRPr="00000000" w:rsidDel="00000000">
              <w:rPr>
                <w:rtl w:val="0"/>
              </w:rPr>
              <w:t xml:space="preserve">, t.i., transportlīdzekļiem, kuru daļa ir arī piekabes un puspiekabes, un nav skaidrs, kāpēc personai tas būtu atsevišķi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ieviešot Noteikumos jaunu, Noteikumos un Autopārvadājumu likumā neskaidrotu terminu “kravas transportlīdzeklis”, tiks sarežģīta šo normatīvo aktu korekta interpretācija.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noteikumu projekta anotācijā norādīto noteikumu projekta 1.punkta mērķis ir tai skaitā ieviest Autopārvadājumu regulas (ar regulas (ES) 2020/1055 2.pantā paredzētajiem grozījumiem) 1.panta 5.punkta c) un ca)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regulējumu, </w:t>
            </w:r>
            <w:r w:rsidR="00000000" w:rsidRPr="00000000" w:rsidDel="00000000">
              <w:rPr>
                <w:i w:val="1"/>
                <w:rtl w:val="0"/>
              </w:rPr>
              <w:t xml:space="preserve">turpmāk minētajiem pārvadājumu veidiem un braucieniem bez kravas, ko veic saistībā ar šādiem pārvadājumiem, netiek prasīta Kopienas atļauja, un uz tiem neattiecas nekāda pārvadājumu atļauju izsniegšanas sistēma: (..) c) l</w:t>
            </w:r>
            <w:r w:rsidR="00000000" w:rsidRPr="00000000" w:rsidDel="00000000">
              <w:rPr>
                <w:i w:val="1"/>
                <w:u w:val="single"/>
                <w:rtl w:val="0"/>
              </w:rPr>
              <w:t xml:space="preserve">īdz 2022. gada 20. maijam:</w:t>
            </w:r>
            <w:r w:rsidR="00000000" w:rsidRPr="00000000" w:rsidDel="00000000">
              <w:rPr>
                <w:i w:val="1"/>
                <w:rtl w:val="0"/>
              </w:rPr>
              <w:t xml:space="preserve"> kravu pārvadājumi ar transportlīdzekļiem, kuru pieļaujamā pilnā masa nepārsniedz 3,5 tonnas; ca) </w:t>
            </w:r>
            <w:r w:rsidR="00000000" w:rsidRPr="00000000" w:rsidDel="00000000">
              <w:rPr>
                <w:i w:val="1"/>
                <w:u w:val="single"/>
                <w:rtl w:val="0"/>
              </w:rPr>
              <w:t xml:space="preserve">no 2022. gada 21. maija</w:t>
            </w:r>
            <w:r w:rsidR="00000000" w:rsidRPr="00000000" w:rsidDel="00000000">
              <w:rPr>
                <w:i w:val="1"/>
                <w:rtl w:val="0"/>
              </w:rPr>
              <w:t xml:space="preserve">: kravu pārvadājumi ar transportlīdzekļiem, kuru pieļaujamā pilnā masa nepārsniedz 2,5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izteiktais 10.4.apakšpunkts šobrīd neatspoguļo šos regulas noteikumus un, Tieslietu ministrijas ieskatā, rada Autopārvadājumu regulas interpretācijas un nepareizas piemērošanas risku. Vēršam uzmanību, ka atbilstoši Līguma par Eiropas Savienības darbību 288.pantam Eiropas Savienības regulas ir tieši piemērojamas visās dalībvalstīs un no minētā tai skaitā izriet aizliegums dalībvalstu tiesību aktos pārrakstīt vai interpretēt regulu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Attiecībā uz iebilduma otro daļu, - autotransporta līdzekļa kategorija iesniegumā tiek precizēta ar formulējumu "ieskaitot piekabi vai puspiekabi", lai varētu pareizi piemērot samazināto finansiālo nodrošinājumu, kas noteikts Regulā (ES) 2020/1055. Tāds formulējums ir arī Autopārvadājumu likumā. Noteikumu 10.punkts attiecas kopēji gan uz autobusiem, gan uz kravas transportlīdzekļiem un ar 10.4. apakšpunktu tiek  skaidri norādīts, ka atzīme ir jāliek tikai attiecībā uz kravas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ka N kategorijas transportlīdzeklim vai N kategorijas transportlīdzeklim ar piekabi vai puspiekabi pilnā masa pārsniedz 2,5 tonnas, bet nepārsniedz 3,5 tonnas.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Atestāta saņemšanai nav jāiesniedz vadītāja kvalifikācijas kartes kopija vai apliecināta profesionālā autovadītāja apliecības kopija, ja autovadītājs veiks komercpārvadājumus ar kravas autotransporta līdzekli, kura vadīšanai nepieciešama B kategorijas vadītāja apliecība.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"kravas autotransporta līdzeklis" atbilstoši Autopārvadājumu likumā, Autopārvadājumu regulā un pašos Noteikumos izmantotajai terminoloģijai (piemēram, izmantot terminu "autotransporta līdzeklis").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atestāts nepieciešams, veicot tikai kravu pārvadājumus un ar vārdu "kravas" tiek sniegts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Atestāta saņemšanai pārvadātājam vai pārvadātāja pilnvarotajai personai kompetentajā iestādē nav jāiesniedz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noteiktā vadītāja kvalifikācijas kartes kopija vai apliecināta profesionālā autovadītāja apliecības kopija, ja autovadītājs veiks komercpārvadājumus ar kravas autotransporta līdzekli, kura vadīšanai nepieciešama B kategorijas vadītāja apliecība.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Kompetentā iestāde pirms transportlīdzekļa vadītāja atestāta izsniegšanas pārliecinās Pilsonības un migrācijas lietu pārvaldes fizisko personu reģistrā, darba atļauju reģistrā vai uzturēšanās atļauju reģistrā, vai autovadītājam ir atļauja strādāt Latvijā, kā arī  pārliecinās transportlīdzekļu un to vadītāju valsts reģistrā par autovadītājam Latvijā izsniegto vadītāja kvalifikācijas karti vai profesionālā autovadītāja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informācija par uzturēšanās atļaujām, to derīguma termiņiem un personām piešķirtajām tiesībām uz nodarbinātību ir iegūstama Fizisko personu reģistrā, lūdzam izslēgt atsauci uz Uzturēšanās atļauju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Kompetentā iestāde pirms transportlīdzekļa vadītāja atestāta izsniegšanas pārliecinās Fizisko personu reģistrā vai Darba atļauju reģistrā, vai autovadītājam ir atļauja strādāt Latvijā, kā arī  pārliecinās transportlīdzekļu un to vadītāju valsts reģistrā par autovadītājam Latvijā izsniegto vadītāja kvalifikācijas karti vai profesionālā autovadītāja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w:t>
            </w:r>
            <w:r w:rsidR="00000000" w:rsidRPr="00000000" w:rsidDel="00000000">
              <w:rPr>
                <w:vertAlign w:val="superscript"/>
                <w:rtl w:val="0"/>
              </w:rPr>
              <w:t xml:space="preserve">3</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Kompetentā iestāde pirms transportlīdzekļa vadītāja atestāta izsniegšanas pārliecinās Fizisko personu reģistrā vai Darba atļauju reģistrā, vai autovadītājam ir atļauja strādāt Latvijā, kā arī  pārliecinās transportlīdzekļu un to vadītāju valsts reģistrā par autovadītājam Latvijā izsniegto vadītāja kvalifikācijas karti vai profesionālā autovadītāja apliecību.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1.tabulā norādīto informāciju, ka ar noteikumu projektu tiek ieviests ar </w:t>
            </w:r>
            <w:r w:rsidR="00000000" w:rsidRPr="00000000" w:rsidDel="00000000">
              <w:rPr>
                <w:i w:val="1"/>
                <w:rtl w:val="0"/>
              </w:rPr>
              <w:t xml:space="preserve">Regulas (ES) 2020/1055 2.pantu grozītās Regulas Nr.1072/2009 5.pants</w:t>
            </w:r>
            <w:r w:rsidR="00000000" w:rsidRPr="00000000" w:rsidDel="00000000">
              <w:rPr>
                <w:rtl w:val="0"/>
              </w:rPr>
              <w:t xml:space="preserve">. Vēršam uzmanību, ka 2020.gadā veiktie </w:t>
            </w:r>
            <w:r w:rsidR="00000000" w:rsidRPr="00000000" w:rsidDel="00000000">
              <w:rPr>
                <w:u w:val="single"/>
                <w:rtl w:val="0"/>
              </w:rPr>
              <w:t xml:space="preserve">grozījumi</w:t>
            </w:r>
            <w:r w:rsidR="00000000" w:rsidRPr="00000000" w:rsidDel="00000000">
              <w:rPr>
                <w:rtl w:val="0"/>
              </w:rPr>
              <w:t xml:space="preserve"> Autopārvadājumu regulas 5.pantā attiecas uz Komisijas pilnvarām un Tieslietu ministrijas ieskatā nacionālajos normatīvajos aktos nav jāievieš.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Autotransporta direkciju (turpmāk – ATD) un Pilsonības un migrācijas lietu pārvaldi (turpmāk – PMLP) 2007.gada 15.martā noslēgtajā starpresoru vienošanas par Personu datu pārlūka izmantošanu, manuāla datu apstrāde,  ATD lietotājam ir pieejams datu komplekts Uzturēšanas dokuments, kurš nodrošina saņemt ziņas atbilstoši Ministru kabineta 2021.gada 15.jūnija noteikumu Nr.371 “Noteikumi par Fizisko personu reģistra iekļaujamo ziņu apjomu” 2.17.apakšpunktā noteiktajam ziņu apjomam, kurš sevī ietver arī ziņas par tiesībām uz nodarbinātību (2.17.5.apakšpunkts tiesības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ATD ziņas par personas uzturēšanās dokumentu, kas sevī ietver ziņas par tiesībām uz nodarbinātību, nepieciešamas starpsistēmu saskarnes, tad jāveic tehniskas izmaiņas gan PMLP sistēmas pusē, gan ATD sistēmas pusē, kā arī jānoslēdz starpresoru vienošanās par ziņu saņemšanu no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pie problēmas apraksta sadaļas, kurā norādīts uz informācijas trūkumu saistībā ar personām izsniegtajām uzturēšanās atļaujām, iekļaut norādi uz to, ka informācija par personai piešķirto uzturēšanās atļauju, tās derīguma termiņu un tiesībām uz nodarbinātību, var iegūt no Fizisko personu reģistra, nevis no Uzturēšanās atļauju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iekļaujot norādi uz to, ka informāciju par personai piešķirto uzturēšanās atļauju, tās derīguma termiņu un tiesībām uz nodarbinātību, var iegūt no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Transportlīdzekļa vadītāja atestāta saņemšanai pārvadātājs vai pārvadātāja pilnvarotā persona iesniedz kompetentajā iestādē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3.punktā izteiktā 17.punkta 17.2. un 17.3. apakšpunktu izteikt kā Noteikumu jaunu vienību (punktu), nevis 17.punkta apakšpunktus (t.i., atsevišķu punktu par personas pienākumiem gadījumā, ja mainījušies dati vai cita informācija, un kuras pamata izdots transportlīdzekļa vadītāja atestāts).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piedāvātajā redakcijā tiek mainīta Noteikumu 17.punkta struktūra, t.sk. spēkā esošā 17.4. apakšpunkta numerācija. Noteikumu 17.4.apakšpunts savukārt ir vēsturiski saistīts ar atsevišķu spēkā stāšanās normu Noteikumu 25.punktā. Noteikumu projekts piedāvā šo spēkā stāšanās normu svītrot. Tomēr vēršam uzmanību, ka šāds risinājums var apgrūtināt Noteikumu vēsturisko interpretāciju, proti, ar Noteikumu 25.panta izslēgšanu pēc būtības ar atpakaļejošu spēku maina 17.4.apakšpunkta īpašo piemērošanas kārtību un no tā varētu secināt, ka šis apakšpunkts bija jāpiemēro vispārīgā kārtībā no 2012.gada 1.aprīļa.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uz to, ka noteikumu projektā piedāvātajā 17.4. </w:t>
            </w:r>
            <w:r w:rsidR="00000000" w:rsidRPr="00000000" w:rsidDel="00000000">
              <w:rPr>
                <w:u w:val="single"/>
                <w:rtl w:val="0"/>
              </w:rPr>
              <w:t xml:space="preserve">apakšpunktā </w:t>
            </w:r>
            <w:r w:rsidR="00000000" w:rsidRPr="00000000" w:rsidDel="00000000">
              <w:rPr>
                <w:rtl w:val="0"/>
              </w:rPr>
              <w:t xml:space="preserve">iekļauts otrais teikums “š</w:t>
            </w:r>
            <w:r w:rsidR="00000000" w:rsidRPr="00000000" w:rsidDel="00000000">
              <w:rPr>
                <w:u w:val="single"/>
                <w:rtl w:val="0"/>
              </w:rPr>
              <w:t xml:space="preserve">ajā punktā</w:t>
            </w:r>
            <w:r w:rsidR="00000000" w:rsidRPr="00000000" w:rsidDel="00000000">
              <w:rPr>
                <w:rtl w:val="0"/>
              </w:rPr>
              <w:t xml:space="preserve"> minēto dokumentu kopijas nav jāiesniedz, ja par tiem informācija ir iegūstama transportlīdzekļu un to vadītāju valsts reģistrā”. Šāds risinājums nav korekts no juridiskās tehnikas viedokļa – apakšpunktā, kas paredz tikai vienu konkrētu iesniedzamo dokumentu, nebūtu jānosaka regulējums, kas attiecas uz visu transportlīdzekļa vadītāja atestāta saņemšanai nepieciešamo dokumentu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17.punkta struktūra, punktu un apakšpunktu numerācija un saturs, kā arī netiek svītrots noteikumu 25.punkts.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Transportlīdzekļa vadītāja atestāta saņemšanai pārvadātājs vai pārvadātāja pilnvarotā persona iesniedz kompetentajā iestādē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autovadītāja pases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administratīvā sloga pārvadātājam mazināšanai precizēt 17.1.2. apakšpunktu, ņemot vērā, ka pase nav vienīgais personu apliecinošais dokuments. Turklāt, ja Kopienas atļaujas izsniegšanai vai pagarināšanai nepieciešams pārliecināties par personu apliecinoša dokumenta esamību, to ir iespējams izdarīt Fizisko personu reģistrā. Līdz ar to ierosinām šajā apakšpunktā paredzēt līdzīgu kārtību, kā 17.1.4. apakšpunktā, proti, minētā personu apliecinošā dokumenta kopija nav jāiesniedz, ja par to informācija ir iegūstama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17.2. (iepriekšējā redakcijā - 17.1.2.)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apakšpunktā tiek noteikts, ka jāiesniedz pase kā personu apliecinošs dokuments, jo autovadītāju atestātus saņem trešo valstu pilsoņi un arī Latvijas nepilsoņi citās Eiropas valstīs tiek uzskatīti par trešo valstu pilsoņiem. Personām, kas nav ES pilsoņi, lai pārvietotos Eiropas savienības teritorijā, kā ceļošanas dokuments ir noteikta pase. Tikai ES pilsoņi kā personu apliecinošu dokumentu drīkst uzrādīt pasi vai personas apliecību (ID karti). Transportlīdzekļa vadītāja atestātu, kopā ar visiem atestāta saņemšanai iesniegtajiem dokumentiem, uzrāda pilnvarotam kontroles darbiniekam pēc pieprasījuma. Transportlīdzekļa vadītāja atestātā tiek norādīts pases numurs, izsniegšanas datums un izsniegšanas vieta.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17.3.2. kopiju dokumentam, kas mainījies.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17.3.2. apakšpunktu atbilstoši priekšlikumā par 17.1.2. apakšpunktu minētajam, proti, noteikt, ka attiecīgā dokumenta kopija nav jāiesniedz, ja dati par to pieejami attiecīgajā valsts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w:t>
            </w:r>
            <w:r w:rsidR="00000000" w:rsidRPr="00000000" w:rsidDel="00000000">
              <w:rPr>
                <w:vertAlign w:val="superscript"/>
                <w:rtl w:val="0"/>
              </w:rPr>
              <w:t xml:space="preserve">1</w:t>
            </w:r>
            <w:r w:rsidR="00000000" w:rsidRPr="00000000" w:rsidDel="00000000">
              <w:rPr>
                <w:rtl w:val="0"/>
              </w:rPr>
              <w:t xml:space="preserve">2.punkts (iepriekšējā redakcijā - 17.3.2.apakšpunkts), nosakot, ka attiecīgā dokumenta kopija nav jāiesniedz, ja dati par to pieejami attiecīgajā valsts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21-TA-1701</w:t>
    </w:r>
    <w:r>
      <w:br/>
    </w:r>
    <w:r w:rsidR="00000000" w:rsidRPr="00000000" w:rsidDel="00000000">
      <w:rPr>
        <w:rtl w:val="0"/>
      </w:rPr>
      <w:t xml:space="preserve">18.03.2022. 13.29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21-TA-1701</w:t>
    </w:r>
    <w:r>
      <w:br/>
    </w:r>
    <w:r w:rsidR="00000000" w:rsidRPr="00000000" w:rsidDel="00000000">
      <w:rPr>
        <w:rtl w:val="0"/>
      </w:rPr>
      <w:t xml:space="preserve">18.03.2022. 13.29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Izziņa_21-TA-1701.docx</dc:title>
</cp:coreProperties>
</file>

<file path=docProps/custom.xml><?xml version="1.0" encoding="utf-8"?>
<Properties xmlns="http://schemas.openxmlformats.org/officeDocument/2006/custom-properties" xmlns:vt="http://schemas.openxmlformats.org/officeDocument/2006/docPropsVTypes"/>
</file>