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23-TA-956: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18. decembra noteikumos Nr. 889 "Noteikumi par atmežošanas kompensācijas noteikšanas kritērijiem, aprēķināšanas un atlīdzināšanas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(10.11.2017.)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Izteikt 12.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(LKĢA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LKĢA iebilst pret 12. punkta labošanu un 12.2. apakšpunkta izteikšanu šādā redakcijā “atmežojamās meža zemes skici (poligonu shp faila formātā), kas sagatavota atbilstoši normatīvajiem aktiem par koku ciršanu mežā;” un no tā izrietošo - turpmāk atmežojamās meža zemes plānu nesagatavot sertificētiem mērniekiem, bet gan to uzticēt būvspeciālistiem vai citiem nekvalificētiem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Nākamajos punktos aprakstītā situācija  raksturīga ar ierādīšanas (grafiskajām metodēm) noteiktajām zemes vienību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pašreiz praksē apvidū bieži ir konstatējama situācija,  ka  saistībā ar veikto meža inventarizāciju, meža taksators ir patvaļīgi atjaunojis robežzīmes, lai  “meža taksators” varētu veikt meža īpašnieka pasūtīto darbu, neievērojot  MK  21.06.2016 not. Nr.384 Meža inventarizācijas un Meža valsts reģistra informācijas  aprites noteikumi” 3.punktā noteikto “Meža inventarizāciju veic, ja zemes vienības robežstigas un robežzīmes meža zemē ir identificējamas apvidū”;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meža inventarizācija ir veikta,  zemes  īpašnieks  var gatavot  cirsmas skici un  šeit,  atbilstoši MK 18.12.2012.  noteikumi Nr. 935 “Noteikumi par koku ciršanu mežā”  69.punktam,  apvidū  esošo un neesošo robežu izvērtēšanā   tiek iesaistīts  “cirsmas skices sagatavotājs” – tātad jebkura persona var  izvērtēt  īpašuma robežas, veikt ģeodēziskos  darbus,  uzzīmēt skici  un to parakstīt, - iespējams, Valsts meža dienests izdos meža ciršanas apliecinājumu. Vai Valsts meža dienests apvidū ir kontrolējis apvidū  cirsmas skicē  attēlotās  cirsmas konfigurācijas   atbilstību  apvidū nostiprinātajai?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“Cirsmas skices sagatavotājs” ar pagaidu robežzīmēm  nostiprinās atmežojamo teritoriju, ieskaitot Eiropas dzelceļa līnijas trasi.   Ar kādiem instrumentiem tiks noteiktas  pagaidu robežpunktu koordinātas, ja mežā ir apgrūtināta robežpunktu  koordinātu noteikšana un ir jāveic mērījumi ar elektonisko tahimetru.   Kas ir šo skiču sagatavotājs?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informatīvajā ziņojumā "Par rīcības plānu administratīvā sloga mazināšanai nekustamo īpašumu attīstīšanas jomā", kas nosaka, tiesību aktos jānosaka tiesības sertificētam būvspeciālistam iezīmēt poligonu. Ņemot vērā, ka atmežošana nav saistīta tikai ar būvniecību, bet arī citām darbībām - derīgo izrakteņu ieguvi, lauksaimniecības zemju ierīkošanu vai īpaši aizsargājamo biotopu atjaunošanu, kur tiesības atmežojamo poligonu iezīmēt varētu arī citi speciālisti. Atmežojamā poligona atzīmēšana dabā vairs nebūs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13.punkts un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paredzams, ka atmežošanas rezultātā pāri paliekoša meža platība vienas zemes vienības ietvaros ir mazāka par 0,5 ha, kompensāciju aprēķina un zemes lietošanas veids tiek mainīts visai meža platībai, izņemot, ja darbība tiek veikta īpaši aizsargājamā dabas teritorijā,  vides un dabas resursu aizsardzības aizsargjoslā vai Dabas datu pārvaldības sistēmā reģistrētā īpaši aizsargājamā biotopā un atlikušais mežs pieguļ citai meža platībai, kā arī ja tiek ierīkots infrastruktūras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rosina 2.1.punktā saikli "un" pirms ....</w:t>
            </w:r>
            <w:r w:rsidR="00000000" w:rsidRPr="00000000" w:rsidDel="00000000">
              <w:rPr>
                <w:i w:val="1"/>
                <w:rtl w:val="0"/>
              </w:rPr>
              <w:t xml:space="preserve">atlikušais mežs pieguļ citai meža </w:t>
            </w:r>
            <w:r w:rsidR="00000000" w:rsidRPr="00000000" w:rsidDel="00000000">
              <w:rPr>
                <w:i w:val="1"/>
                <w:rtl w:val="0"/>
              </w:rPr>
              <w:t xml:space="preserve">platībai...</w:t>
            </w:r>
            <w:r w:rsidR="00000000" w:rsidRPr="00000000" w:rsidDel="00000000">
              <w:rPr>
                <w:rtl w:val="0"/>
              </w:rPr>
              <w:t xml:space="preserve">   aizstāt ar saikli "vai". Lai atmežošanas rezultātā pāri paliekošā meža platība vienas zemes vienības ietvaros, kas ir mazāka par 0,5ha, nebūtu obligāti atmežojama, ir jāizpildās </w:t>
            </w:r>
            <w:r w:rsidR="00000000" w:rsidRPr="00000000" w:rsidDel="00000000">
              <w:rPr>
                <w:u w:val="single"/>
                <w:rtl w:val="0"/>
              </w:rPr>
              <w:t xml:space="preserve">vismaz vienam no izņēmumiem</w:t>
            </w:r>
            <w:r w:rsidR="00000000" w:rsidRPr="00000000" w:rsidDel="00000000">
              <w:rPr>
                <w:rtl w:val="0"/>
              </w:rPr>
              <w:t xml:space="preserve">: proti, darbība tiek veikta īpaši aizsargājamā dabas teritorijā </w:t>
            </w:r>
            <w:r w:rsidR="00000000" w:rsidRPr="00000000" w:rsidDel="00000000">
              <w:rPr>
                <w:b w:val="1"/>
                <w:rtl w:val="0"/>
              </w:rPr>
              <w:t xml:space="preserve">vai </w:t>
            </w:r>
            <w:r w:rsidR="00000000" w:rsidRPr="00000000" w:rsidDel="00000000">
              <w:rPr>
                <w:rtl w:val="0"/>
              </w:rPr>
              <w:t xml:space="preserve"> vides un dabas resursu aizsardzības aizsargjoslā </w:t>
            </w:r>
            <w:r w:rsidR="00000000" w:rsidRPr="00000000" w:rsidDel="00000000">
              <w:rPr>
                <w:b w:val="1"/>
                <w:rtl w:val="0"/>
              </w:rPr>
              <w:t xml:space="preserve">vai </w:t>
            </w:r>
            <w:r w:rsidR="00000000" w:rsidRPr="00000000" w:rsidDel="00000000">
              <w:rPr>
                <w:rtl w:val="0"/>
              </w:rPr>
              <w:t xml:space="preserve">Dabas datu pārvaldības sistēmā reģistrētā īpaši aizsargājamā biotopā </w:t>
            </w:r>
            <w:r w:rsidR="00000000" w:rsidRPr="00000000" w:rsidDel="00000000">
              <w:rPr>
                <w:b w:val="1"/>
                <w:rtl w:val="0"/>
              </w:rPr>
              <w:t xml:space="preserve">vai </w:t>
            </w:r>
            <w:r w:rsidR="00000000" w:rsidRPr="00000000" w:rsidDel="00000000">
              <w:rPr>
                <w:rtl w:val="0"/>
              </w:rPr>
              <w:t xml:space="preserve">atlikušais mežs pieguļ citai meža platībai.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paredzams, ka atmežošanas rezultātā pāri paliekoša meža platība vienas zemes vienības ietvaros ir mazāka par 0,5 ha, kompensāciju aprēķina un zemes lietošanas veids tiek mainīts visai meža platībai, izņemot, ja darbība tiek veikta īpaši aizsargājamā dabas teritorijā,  vides un dabas resursu aizsardzības aizsargjoslā vai Dabas datu pārvaldības sistēmā reģistrētā īpaši aizsargājamā biotopā </w:t>
            </w:r>
            <w:r w:rsidR="00000000" w:rsidRPr="00000000" w:rsidDel="00000000">
              <w:rPr>
                <w:b w:val="1"/>
                <w:rtl w:val="0"/>
              </w:rPr>
              <w:t xml:space="preserve">vai</w:t>
            </w:r>
            <w:r w:rsidR="00000000" w:rsidRPr="00000000" w:rsidDel="00000000">
              <w:rPr>
                <w:rtl w:val="0"/>
              </w:rPr>
              <w:t xml:space="preserve"> atlikušais mežs pieguļ citai meža platībai, kā arī ja tiek ierīkots infrastruktūras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paredzams, ka pēc atmežošanas pāri paliekoša meža platība vienā zemes vienībā ir mazāka par 0,5 ha, kompensācija aprēķināma un zemes lietošanas veids maināms visai meža platībai. Izņēmums attiecas uz situāciju, kad darbība tiek īstenota īpaši aizsargājamā dabas teritorijā, vides un dabas resursu aizsardzības aizsargjoslā vai Dabas datu pārvaldības sistēmā reģistrētā īpaši aizsargājamā biotopā vai</w:t>
            </w:r>
            <w:r w:rsidR="00000000" w:rsidRPr="00000000" w:rsidDel="00000000">
              <w:rPr>
                <w:b w:val="1"/>
                <w:rtl w:val="0"/>
              </w:rPr>
              <w:t xml:space="preserve"> </w:t>
            </w:r>
            <w:r w:rsidR="00000000" w:rsidRPr="00000000" w:rsidDel="00000000">
              <w:rPr>
                <w:rtl w:val="0"/>
              </w:rPr>
              <w:t xml:space="preserve">atlikušais mežs piegulst pie citas meža platības, kā arī tiek ierīkots infrastruktūras objekts.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r w:rsidR="00000000" w:rsidRPr="00000000" w:rsidDel="00000000">
              <w:rPr>
                <w:vertAlign w:val="superscript"/>
                <w:rtl w:val="0"/>
              </w:rPr>
              <w:t xml:space="preserve">1</w:t>
            </w:r>
            <w:r w:rsidR="00000000" w:rsidRPr="00000000" w:rsidDel="00000000">
              <w:rPr>
                <w:rtl w:val="0"/>
              </w:rPr>
              <w:t xml:space="preserve"> kompetentās institūcijas izdotu administratīvo aktu, ja platību plāno atmežot derīgo izrakteņu ieguvei vai pašvaldības atzinumu, ja platību atmežo lauksaimniecības zemes ierīkošanai un atmežošanas vai zemes lietojuma maiņas ierobežojums nav tieši norādīti teritorijas attīstības plānošanas dokumentos;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“Grozījumi Ministru kabineta 2012. gada 18. decembra noteikumos Nr.889 “Noteikumi par atmežošanas kompensācijas noteikšanas kritērijiem, aprēķināšanas un atlīdzināšanas kārtību””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punktā paredzēto Ministru kabineta 2012. gada 18. decembra noteikumu Nr.889 “Noteikumi par atmežošanas kompensācijas noteikšanas kritērijiem, aprēķināšanas un atlīdzināšanas kārtību” (turpmāk – noteikumi) 12.1.</w:t>
            </w:r>
            <w:r w:rsidR="00000000" w:rsidRPr="00000000" w:rsidDel="00000000">
              <w:rPr>
                <w:vertAlign w:val="superscript"/>
                <w:rtl w:val="0"/>
              </w:rPr>
              <w:t xml:space="preserve">1</w:t>
            </w:r>
            <w:r w:rsidR="00000000" w:rsidRPr="00000000" w:rsidDel="00000000">
              <w:rPr>
                <w:rtl w:val="0"/>
              </w:rPr>
              <w:t xml:space="preserve"> apakšpunktu nepieciešams izvērtēt un precizēt to vai svītrot. Vēršam uzmanību, ka normā piedāvātais regulējums ir pretrunā ar Meža likuma 41. panta pirmajā daļā noteikto – “ja personai ir izdots kompetentas institūcijas administratīvais akts, kas tai piešķir tiesības veikt minētās darbības”. Tādējādi ar Ministru kabineta noteikumiem nevar atšķirīgi izteikt likuma normu, kas neparedz alternatīvus nosacījumus kompetentas institūcijas izdotam administratīvajam aktam. Tieslietu ministrija var pieļaut, ka atsevišķos gadījumos pašvaldība var būt kompetentā institūcija, kas izdod administratīvo aktu, bet attiecīgi šādu pašvaldības lēmumu piedāvājam nesaukt par atzinumu, jo administratīvajā procesā atzinums ir interpretējams kā starplēmums, nevis administratīvais akts. Vienlaicīgi, noteikumos būtu jāparedz izvērstāks regulējums par šāda veida atsevišķi izdalītiem pašvaldības lēmumiem un izvērsts skaidrojums par tiem paredzēto atsevišķo regulējumu jāsniedz projekta anotācijā. Nobeigumā vēlamies norādīt, ka projektā grozījumi jāveic secīgi, proti, vispirms jāraksta grozījums noteikumu 12.1. apakšpunktā (šobrīd projekta 10. punkts) un pēc tā jaunais 12.1.</w:t>
            </w:r>
            <w:r w:rsidR="00000000" w:rsidRPr="00000000" w:rsidDel="00000000">
              <w:rPr>
                <w:vertAlign w:val="superscript"/>
                <w:rtl w:val="0"/>
              </w:rPr>
              <w:t xml:space="preserve">1</w:t>
            </w:r>
            <w:r w:rsidR="00000000" w:rsidRPr="00000000" w:rsidDel="00000000">
              <w:rPr>
                <w:rtl w:val="0"/>
              </w:rPr>
              <w:t xml:space="preserve"> apakšpunkts (šobrīd projekta 9. punkts), jo normatīvo aktu izstrādes nosacījumi paredz, ka prim punkti seko pēc pamata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atmežojamās meža zemes skici (poligonu shp faila formātā), kas sagatavota atbilstoši normatīvajiem aktiem par koku ciršanu mežā;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(LMB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Mērnieku biedrība (turpmāk – LMB) iebilst pret 12. punkta labošanu un 12.2. apakšpunkta izteikšanu šādā redakcijā “atmežojamās meža zemes skici (poligonu shp faila formātā), kas sagatavota atbilstoši normatīvajiem aktiem par koku ciršanu mežā;” un no tā izrietošo - turpmāk atmežojamās meža zemes plānu nesagatavot sertificētiem mērniekiem, bet gan to uzticēt būvspeciālistiem vai citiem nekvalificētiem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gan šie ntoiekumi, gan attiecīgi MK noteikumi Nr.1019 paredz, ka, izgatavojot atmežojamās meža zemes izvietojuma plānu, mērnieks apvidū nosaka tās robežu, atzīmējot ar pagaidu robežzīmēm, uzmēra atmežojamās meža zemes robežu un sagatavo atmežojamās meža zemes izvietojuma plānu. Tas nozīmē, ka daļa no atmežošanas procesa ir atmežojamā poligona nospraušana apvidū un tā uzmērīšana, kuru nav iespējams veikt būvspeciālistam. Svītrojot šo no noteikumiem, būtiski tiek mainīts atmežošanas process un tā jēga.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uz potenciālajiem riskiem, kas attiecās uz ierādītām vai neprecīzi uzmērītām robežām. Projekta pamatnē tiek izmantoti topogrāfiskie dati un kadastra karte, kas noved pie tā, ka vēlāk izspraužot atmežojamās meža zemes platību un projektu dabā, atmežojamā meža zemes kontūra var neatrasties kadastra kartē norādītajā zemes vienībā, bet citā zemes vienība, ja tiek konstatēta kļūda kadastra datos, ko nevar konstatēt projektēšanas posmā. Respektīvi atmežojamās meža zemes teritoriju nav iespējams izspraust (un attiecīgi arī izgatavot korektu tās izvuetojuma plānu), nevērtejot robežas novietojumu apvidū, ja atmežojamās meža zemes teritorija atrodas pie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atvieglojot būvniecības procesu, ar vien lielāks skaits būvju tiek būvēts, izmantojot paskaidrojuma rakstus, kuros ļoti bieži nav pievienots ļoti detāls un precīzs LKS-92 TM koordinātu sistēmā sagatavots plānotās būves izvietojuma plāns, tad plānotā pieeja šos poligonus izgūt no BIS dokumentācijas būtiski palielinās kļūdaini atmežotas teritorijas, kas vēlāk, sagatavojot būvju izpildmērījumu plānus, nesakritīs ar patieso būvju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NĪVKIS kadastra kartē ir attēlotas zemes vienību robežas ar dažādu precizitāti (uzmērītas LKS-92 TM, uzmērītas vietējā sistēmā, ierādītas), sertificētam mērniekam ir liela loma arī konkrētā atmežošanas risinājuma izvērtēšanā un korektā attēlošanā zemes robežu plānā. Šādas zināšanas par zemes vienību robežu noteikšanas precizitātēm ir tikai sertificētai personai, ne būvspeciālistiem.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kā arī iepriekš minēto MK ntoiekumu Nr.1019, anotācijā minēts, ka atmežošanas procesu nepieciešams sasaistīt ar būvniecības procesu, nodrošinot atmežojamā poligona tiešu pieejamību Būvniecības informācijas sistēmā (turpmāk – BIS). Tā kā šobrīd tiek strādāts arī pie “Mērnieka darba vietas izveides BIS”, ir iespēja pievienot atmežojamās meža zemes izvietojuma plānu pie dokumentiem, kuru sertificēta persona iesniedz BIS, līdzīgi kā tas šobrīd tiek risināts ar citiem būvniecības procesa dokumentiem. Tādā veidā mazinot anotācijā minēto birokrātisko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ka šo notiekumu grozījumi ir cieši saistīti arī ar MK notiekumu Nr. 1019 izmaiņām, LMB aicina vērtēt iepriekš minētos riskus un rast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informatīvajā ziņojumā "Par rīcības plānu administratīvā sloga mazināšanai nekustamo īpašumu attīstīšanas jomā", kas nosaka, tiesību aktos jānosaka tiesības sertificētam būvspeciālistam iezīmēt poligonu. Ņemot vērā, ka atmežošana nav saistīta tikai ar būvniecību, bet arī citām darbībām - derīgo izrakteņu ieguvi, lauksaimniecības zemju ierīkošanu vai īpaši aizsargājamo biotopu atjaunošanu, kur tiesības atmežojamo poligonu iezīmēt varētu arī cits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neaizliedz atmežojamās zemes skici izgatavot sertificētam mērniekam ar augstāku precizitāti. Atmežošanas skice ir nepieciešama atmežošanas kompensāijas aprēķināšanai, tā nevar kalpot zemes īpašumtiesību maiņas un robežu maiņas gadījumos. Attiecīgi 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atbilstoši normatīvajiem aktiem par koku ciršanu mežā sagatavotu atmežojamās meža zemes skici ar iezīmētu poligonu </w:t>
            </w:r>
            <w:r w:rsidR="00000000" w:rsidRPr="00000000" w:rsidDel="00000000">
              <w:rPr>
                <w:i w:val="1"/>
                <w:rtl w:val="0"/>
              </w:rPr>
              <w:t xml:space="preserve">shp</w:t>
            </w:r>
            <w:r w:rsidR="00000000" w:rsidRPr="00000000" w:rsidDel="00000000">
              <w:rPr>
                <w:rtl w:val="0"/>
              </w:rPr>
              <w:t xml:space="preserve"> datnes formātā;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atmežošana veikta platībā, kurā zemes lietošanas veida maiņa ir atļauta, bet persona pirms tās veikšanas nav kompensējusi valstij ar atmežošanas izraisīto negatīvo seku novēršanu saistītos izdevumus (ja vien atmežošana nav veikta saskaņā ar Meža likuma 41.panta otro daļu vai šo noteikumu pielikuma 3.1.apakšpunktā minēto gadījumu), Valsts meža dienests šajos noteikumos noteiktajā kārtībā, izmantojot attiecīgo 3., 5. vai 7.punktā noteikto kompensācijas apmēra aprēķina formulu, nosaka kompensācijas apmēru un no meža īpašnieka vai tiesiskā valdītāja par labu valstij piedzen kompensāciju divkāršā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precizētais Ministru kabineta noteikumu projekts “Grozījumi Ministru kabineta 2012. gada 18. decembra noteikumos Nr.889 “Noteikumi par atmežošanas kompensācijas noteikšanas kritērijiem, aprēķināšanas un atlīdzināšanas kārtību””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un 16. punktā paredzētos Ministru kabineta 2012. gada 18. decembra noteikumu Nr.889 “Noteikumi par atmežošanas kompensācijas noteikšanas kritērijiem, aprēķināšanas un atlīdzināšanas kārtību” (turpmāk – noteikumi) 19.un 19.</w:t>
            </w:r>
            <w:r w:rsidR="00000000" w:rsidRPr="00000000" w:rsidDel="00000000">
              <w:rPr>
                <w:vertAlign w:val="superscript"/>
                <w:rtl w:val="0"/>
              </w:rPr>
              <w:t xml:space="preserve">1</w:t>
            </w:r>
            <w:r w:rsidR="00000000" w:rsidRPr="00000000" w:rsidDel="00000000">
              <w:rPr>
                <w:rtl w:val="0"/>
              </w:rPr>
              <w:t xml:space="preserve"> punktu nepieciešams izvērtēt un precizēt vai svītrot. Vēršam uzmanību, ka šajās projekta normās paredzētais regulējums par kompensācijas divkārša vai trīskārša apmēra piedziņu no meža īpašnieka vai tiesiskā valdītāja par labu valstij ir pretrunā ar Meža likuma 41. pantā paredzēto normas mērķi – atmežošanas izraisīto negatīvo seku kompensācija un attiecīgi arī likuma pilnvarojumu, jo šādi izteiktai normai, kad persona nav izpildījusi noteiktu pienākumu vai rīkojusies patvaļīgi, ir acīmredzamas soda sankcijas pret pārvaldes kārtību, kuras nedrīkst noteikt ar noteikumiem. Meža likuma 51. pantā sešpadsmitā daļa paredz administratīvo atbildību par atmežošanas prasību pārkāpšanu, un naudas soda vai citu maksājumu piedziņai jānotiek administratīvā pārkāpuma procesa ietvaros. Savukārt gadījumā, ja atmežošana veikta platībā, kurā zemes lietošanas veida maiņa ir aizliegta, būs noziedzīgs nodarījums vai administratīvais pārkāpums un zaudējumu atlīdzībai jānotiek saskaņā ar Meža likuma 50. pantā un Ministru kabineta 2020. gada 17. decembra noteikumos Nr.774 “Mežam nodarīto zaudējumu noteikšanas kārtība” esošo regulējumu. Nobeigumā papildus vēlamies norādīt, ka noteikumu 14.punktā paredzētais kompensācijas aprēķins pēc būtības ir administratīvais akts un tajā noteiktais kompensācijas apmērs nevar tikt grozīts ar formālu noteikumu normu bez jauna administratīvā akta izdošanas. Tādējādi vispirms likuma līmenī nepieciešams precīzi un nepārprotami noteikt un nodalīt gadījumus, kad būs kompensācijas maksa, kad sods un zaudējumu atlīdzināšana.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Saglabāta sākotnēja noteikumu projekta redakcija, ņemot vērā TM precizējumu.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atmežošanā nav ievērota meža apsaimniekošanu un izmantošanu regulējošajos normatīvajos aktos noteiktā kārtībā un persona pirms atmežošanas nav kompensējusi valstij izdevumus, kas saistīti ar atmežošanas izraisīto negatīvo seku novēršanu (ja vien atmežošana nav īstenota saskaņā ar Meža likuma 41. panta otro daļu vai šo noteikumu pielikuma 3.1. apakšpunktā minētajā gadījumā), Valsts meža dienests šajos noteikumos noteiktajā kārtībā, izmantojot atbilstošo šo noteikumu 3., 5. vai 7. punktā doto kompensācijas apmēra aprēķina formulu, nosaka kompensācijas apmēru un no meža īpašnieka vai tiesiskā valdītāja piedzen kompensāciju par labu valstij. Kompensāciju piedzen neatkarīgi no atmežošanas konstatēšanas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atmežošana veikta, bet persona nav kompensējusi valstij ar atmežošanas izraisīto negatīvo seku novēršanu saistītos izdevumus (ja vien atmežošana nav veikta saskaņā ar Meža likuma 41.panta otro daļu vai šo noteikumu pielikuma 3.1.apakšpunktā minēto atmežošanas mērķi), Valsts meža dienests šajos noteikumos noteiktajā kārtībā, izmantojot attiecīgo 3., 5. vai 7.punktā noteikto kompensācijas apmēra aprēķina formulu, nosaka kompensācijas apmēru un piedzen par labu valstij, nepieciešamības gadījumā vēršoties ar civilprasību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neatbalsta 19.punkta redakcijas maiņu dzēšot no tā normu par kompensācijas piedzīšanu par labu valstij </w:t>
            </w:r>
            <w:r w:rsidR="00000000" w:rsidRPr="00000000" w:rsidDel="00000000">
              <w:rPr>
                <w:u w:val="single"/>
                <w:rtl w:val="0"/>
              </w:rPr>
              <w:t xml:space="preserve">trīskāršā apmērā,</w:t>
            </w:r>
            <w:r w:rsidR="00000000" w:rsidRPr="00000000" w:rsidDel="00000000">
              <w:rPr>
                <w:rtl w:val="0"/>
              </w:rPr>
              <w:t xml:space="preserve"> ja persona nav kompensējusi valstij ar atmežošanas izraisīto negatīvo seku novēršanu saistītos izdevumus. Arī Latvijas Republikas tiesībsargs savā atzinumā pārbaudes lietā Nr.2021-63-27D ir norādījis, ka "ir svarīgi, lai personai būtu ekonomiski izdevīgāk ievērot normatīvo aktu prasības, nekā maksāt atmežošanas kompensāciju trīskāršā apmērā. Attiecībā uz atmežošanas kompensācijas piedzīšanu trīskāršā apmērā par labu valstij, tiesībsargs norāda, ka vispāratzīts tiesu praksē, ka jebkura soda apmērs ir viens no sodu politikas veidojošiem elementiem, kas ielasāms likumdevēja rīcības brīvībā."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atmežošana veikta, bet nav samaksāta kompensācija (ja vien atmežošana nav veikta saskaņā ar Meža likuma 41.panta otro daļu vai šo noteikumu pielikuma 3.1.apakšpunktā minēto atmežošanas mērķi), Valsts meža dienests no meža īpašnieka vai tiesiskā valdītāja par labu valstij piedzen kompensāciju trīskāršā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saskaņā ar starpministriju sanāksmē panākto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atmežošanā nav ievērota meža apsaimniekošanu un izmantošanu regulējošajos normatīvajos aktos noteiktā kārtībā un persona pirms atmežošanas nav kompensējusi valstij izdevumus, kas saistīti ar atmežošanas izraisīto negatīvo seku novēršanu (ja vien atmežošana nav īstenota saskaņā ar Meža likuma 41. panta otro daļu vai šo noteikumu pielikuma 3.1. apakšpunktā minētajā gadījumā), Valsts meža dienests šajos noteikumos noteiktajā kārtībā, izmantojot atbilstošo šo noteikumu 3., 5. vai 7. punktā doto kompensācijas apmēra aprēķina formulu, nosaka kompensācijas apmēru un no meža īpašnieka vai tiesiskā valdītāja piedzen kompensāciju par labu valstij. Kompensāciju piedzen neatkarīgi no atmežošanas konstatēšanas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atmežošana veikta, bet persona nav kompensējusi valstij ar atmežošanas izraisīto negatīvo seku novēršanu saistītos izdevumus (ja vien atmežošana nav veikta saskaņā ar Meža likuma 41.panta otro daļu vai šo noteikumu pielikuma 3.1.apakšpunktā minēto atmežošanas mērķi), Valsts meža dienests šajos noteikumos noteiktajā kārtībā, izmantojot attiecīgo 3., 5. vai 7.punktā noteikto kompensācijas apmēra aprēķina formulu, nosaka kompensācijas apmēru un piedzen par labu valstij, nepieciešamības gadījumā vēršoties ar civilprasību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punktā paredzēto noteikumu 19. punktu nepieciešams izvērtēt un tajā piedāvājam svītrot vārdus “nepieciešamības gadījumā vēršoties ar civilprasību tiesā”. Vēršam uzmanību, ka Meža likuma 41. panta trešajā daļā esošais pilnvarojums Ministru kabineta noteikumos paredz veidot tiesisko regulējumu arī par kompensācijas atlīdzināšanas kārtību, bet Meža likuma 42. pants paredz, ka kompensācija pilnā apmērā tiek ieskaitīta valsts pamatbudžetā (Meža attīstības fondā). Ievērojot minēto, nesamaksātās kompensācijas piespiedu piedziņas regulējumu piedāvājam veidot administratīvā procesa ietvaros, kad lēmumu un citas darbības par savlaicīgi nesamaksātās kompensācijas piespiedu piedziņu pieņem Valsts meža dienests Administratīvā procesa likumā noteiktajā kārtībā. Tādējādi regulējums jāveido līdzīgi, kā ir piedzenami jebkādi citi obligātie maksājumi valsts budžetā, neizmantojot civilprocesu. Vienlaikus piedāvājam izvērtēt noteikumu 19. punktā vārdus “vai šo noteikumu pielikuma 3.1. apakšpunktā minēto atmežošanas mērķi” un precizēt tos, jo noteikumos un projektā pielikuma 3.1. apakšpunktā netiek norādīts atmežošanas mērķis, bet gan investīciju projektu finansēšanas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saskaņā ar starpministriju sanāksmē panākto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atmežošanā nav ievērota meža apsaimniekošanu un izmantošanu regulējošajos normatīvajos aktos noteiktā kārtībā un persona pirms atmežošanas nav kompensējusi valstij izdevumus, kas saistīti ar atmežošanas izraisīto negatīvo seku novēršanu (ja vien atmežošana nav īstenota saskaņā ar Meža likuma 41. panta otro daļu vai šo noteikumu pielikuma 3.1. apakšpunktā minētajā gadījumā), Valsts meža dienests šajos noteikumos noteiktajā kārtībā, izmantojot atbilstošo šo noteikumu 3., 5. vai 7. punktā doto kompensācijas apmēra aprēķina formulu, nosaka kompensācijas apmēru un no meža īpašnieka vai tiesiskā valdītāja piedzen kompensāciju par labu valstij. Kompensāciju piedzen neatkarīgi no atmežošanas konstatēšanas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18. decembra noteikumos Nr. 889 "Noteikumi par atmežošanas kompensācijas noteikšanas kritērijiem, aprēķināšanas un atlīdzināšanas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12.p.mainīt tekstu "14 darbdienu laikā" uz  "10 darbdienu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aprēķina skaidrojuma sadaļu papildināt ar atsauci uz noteikumu punktu, kas paredz informācijas sniegšanas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veicams saskaņā ar vadlīnijās “Vadlīnijās tiesību akta sākotnējās ietekmes novērtēšanai un novērtējuma ziņojuma sagatavošanai vienotajā TAP portālā” noteikto, ka administratīvo izmaksu novērtējumā jāiekļauj arī norāde, kuri tiesību akta projekta panti vai punkti (panta daļas vai apakšpunkti) ietver informācijas sniegšanas pienākumu, kuram tika aprēķinātas administratīvās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2.3. punkts, norādot, ka noteikumu projekta 12.2. apakšpunkts paredz, ka vairs nebūs nepieciešams atmežošanas pieprasījumam pievienot sertificēta mērnieka sagatavotu atmežojamās meža zemes izvietojuma plānu (aizstāts ar skici) un noteikumu 13.punktā tiek svītrots pienākums nospraust atmežojamo platību dabā. Attiecīgi veikts Administratīvo izmaksu monetārais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Rokasgrāmatā par Paplašināto standarta izmaksu modeli ir sniegti skaidrojumi un padomi par izmaksu parametru datu iegūšanu, piemēram, no: biznesa intervijām, ekspertu intervijām, Centrālās statistikas pārvaldes datiem, administrējošo institūciju rīcībā esošās informācijas, līdz ar minēto, lūdzu izmantot iespējas un veikt pilnvērtīgu atbilstības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izmaksu monetārs novērtējums ir iekļauts anotācijas 2.3.punktā, kurā aprēķināts Administratīvā sloga monetārais izvērtējums, kas balstīts uz AS "Latvijas valsts meži" ekspertu aplēsēm par iespējamo darba laika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Kompetentā institūcija informē Valsts meža dienestu par izdoto administratīvo aktu, kas personai piešķir tiesības veikt būvniecību, meža ierīkot lauksaimniecībā izmantojamu zemi vai  veikt derīgo izrakteņu ieguvi.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regulējumu, paredzot, ka kompetentā institūcija informē Valsts meža dienestu par izdoto administratīvo aktu būvniecības ieceres īstenošanas procesā, izmantojot būvniecības informācijas sistēmu.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Kompetentā institūcija informē Valsts meža dienestu par izdoto administratīvo aktu, kas personai piešķir tiesības veikt būvniecību, meža ierīkot lauksaimniecībā izmantojamu zemi vai  veikt derīgo izrakteņu ieguvi. Informāciju par būvniecību atļaujošo administratīvo aktu sniedz būvniecības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Kompetentā institūcija informē Valsts meža dienestu par izdoto administratīvo aktu, kas personai piešķir tiesības veikt būvniecību, mežā ierīkot lauksaimniecībā izmantojamu zemi vai  iegūt derīgos izrakteņus. Informācija par būvniecību atļaujošu administratīvo aktu iesniedzama Būvniecības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10.</w:t>
            </w:r>
            <w:r w:rsidR="00000000" w:rsidRPr="00000000" w:rsidDel="00000000">
              <w:rPr>
                <w:vertAlign w:val="superscript"/>
                <w:rtl w:val="0"/>
              </w:rPr>
              <w:t xml:space="preserve">1</w:t>
            </w:r>
            <w:r w:rsidR="00000000" w:rsidRPr="00000000" w:rsidDel="00000000">
              <w:rPr>
                <w:rtl w:val="0"/>
              </w:rPr>
              <w:t xml:space="preserve"> punkts stājas spēkā 2026.gada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ir norādīts, ka Ekonomikas ministrijas priekšlikums ir ņemts vērā, noteikumu projekta regulējums nav precizēts. Lūdzam precizēt izziņu vai, ja iebildums tiek ņemts vērā, precizēt tiesību akta projektu atbilstoši Ekonomikas ministrijas priekšlikumam.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10.</w:t>
            </w:r>
            <w:r w:rsidR="00000000" w:rsidRPr="00000000" w:rsidDel="00000000">
              <w:rPr>
                <w:vertAlign w:val="superscript"/>
                <w:rtl w:val="0"/>
              </w:rPr>
              <w:t xml:space="preserve">1</w:t>
            </w:r>
            <w:r w:rsidR="00000000" w:rsidRPr="00000000" w:rsidDel="00000000">
              <w:rPr>
                <w:rtl w:val="0"/>
              </w:rPr>
              <w:t xml:space="preserve"> punkts, kā arī grozījums 18. punktā, kas paredz informācijas nodošanai par būvniecību atļaujošo administratīvo aktu izmantot Būvniecības informācijas sistēmu, stājas spēkā 2026. gada 1. 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10.</w:t>
            </w:r>
            <w:r w:rsidR="00000000" w:rsidRPr="00000000" w:rsidDel="00000000">
              <w:rPr>
                <w:vertAlign w:val="superscript"/>
                <w:rtl w:val="0"/>
              </w:rPr>
              <w:t xml:space="preserve">1</w:t>
            </w:r>
            <w:r w:rsidR="00000000" w:rsidRPr="00000000" w:rsidDel="00000000">
              <w:rPr>
                <w:rtl w:val="0"/>
              </w:rPr>
              <w:t xml:space="preserve"> punkts stājas spēkā 2026.gada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saistībā ar Ekonomikas ministrijas priekšlikumu un noteikt, ka grozījumi 18.pantā par informācijas sniegšanu, izmantojot BIS, stājas spēkā 2026.gada 1.janvārī.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10.1 punkts, kā arī grozījums 18.panta, kas paredz informācijas nodošanai par būvniecību atļaujošo administratīvo aktu izmantot būvniecības informācijas sistēmu, stājas spēkā 2026.gada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10.</w:t>
            </w:r>
            <w:r w:rsidR="00000000" w:rsidRPr="00000000" w:rsidDel="00000000">
              <w:rPr>
                <w:vertAlign w:val="superscript"/>
                <w:rtl w:val="0"/>
              </w:rPr>
              <w:t xml:space="preserve">1</w:t>
            </w:r>
            <w:r w:rsidR="00000000" w:rsidRPr="00000000" w:rsidDel="00000000">
              <w:rPr>
                <w:rtl w:val="0"/>
              </w:rPr>
              <w:t xml:space="preserve"> punkts, kā arī grozījums 18. punktā, kas paredz informācijas nodošanai par būvniecību atļaujošo administratīvo aktu izmantot Būvniecības informācijas sistēmu, stājas spēkā 2026. gada 1. janvārī.</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23-TA-956</w:t>
    </w:r>
    <w:r>
      <w:br/>
    </w:r>
    <w:r w:rsidR="00000000" w:rsidRPr="00000000" w:rsidDel="00000000">
      <w:rPr>
        <w:rtl w:val="0"/>
      </w:rPr>
      <w:t xml:space="preserve">07.01.2025. 14.11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23-TA-956</w:t>
    </w:r>
    <w:r>
      <w:br/>
    </w:r>
    <w:r w:rsidR="00000000" w:rsidRPr="00000000" w:rsidDel="00000000">
      <w:rPr>
        <w:rtl w:val="0"/>
      </w:rPr>
      <w:t xml:space="preserve">07.01.2025. 14.11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Izziņa_23-TA-956.docx</dc:title>
</cp:coreProperties>
</file>

<file path=docProps/custom.xml><?xml version="1.0" encoding="utf-8"?>
<Properties xmlns="http://schemas.openxmlformats.org/officeDocument/2006/custom-properties" xmlns:vt="http://schemas.openxmlformats.org/officeDocument/2006/docPropsVTypes"/>
</file>