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25-TA-941: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11. februāra noteikumos Nr. 98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(14.02.2025.)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1.3.sadaļas "Problēmas apraksts" apakšadaļas 1.punktā minēto, t.i., "</w:t>
            </w:r>
            <w:r w:rsidR="00000000" w:rsidRPr="00000000" w:rsidDel="00000000">
              <w:rPr>
                <w:i w:val="1"/>
                <w:rtl w:val="0"/>
              </w:rPr>
              <w:t xml:space="preserve">[..] 2025. gada 28. janvārī Finanšu ministrija ir ierosinājusi precizējumus vadlīnijās Nr. 1.2. “Vadlīnijas attiecināmo izmaksu noteikšanai Eiropas Savienības kohēzijas politikas programmas 2021.–2027.gada plānošanas periodā” (turpmāk – vadlīnijas), kuras turpmāk neparedz projekta personāla daļlaika noslodzes apmēra ierobežojumus (vismaz 30 procenti). Savukārt, lai mazinātu slogu finansējuma saņēmējam un nodrošinātu iespējami ātru aktuālo vadlīniju piemērošanu, nepieciešams svītrot no MK noteikumiem Nr. 98 detālus projekta personāla izmaksu nosacījumus (t.i. attiecībā uz atlīdzības apmēra plānošanu projekta personālam), kā skaidrots iepriekš, tās ir saistošas projekta iesniedzējam un finansējuma saņēmējam arī tad, ja to nosacījumi nav ietverti MK noteikumos Nr. 98.[..]</w:t>
            </w:r>
            <w:r w:rsidR="00000000" w:rsidRPr="00000000" w:rsidDel="00000000">
              <w:rPr>
                <w:rtl w:val="0"/>
              </w:rPr>
              <w:t xml:space="preserve">" vēršam uzmanību, ka vadošās iestādes vadlīnijās Nr. 1.2 “Vadlīnijas attiecināmo izmaksu noteikšanai Eiropas Savienības kohēzijas politikas programmas 2021.-2027.gada plānošanas periodā” ierosinātie </w:t>
            </w:r>
            <w:r w:rsidR="00000000" w:rsidRPr="00000000" w:rsidDel="00000000">
              <w:rPr>
                <w:u w:val="single"/>
                <w:rtl w:val="0"/>
              </w:rPr>
              <w:t xml:space="preserve">grozījumi pašlaik ir saskaņošanas procesā un gala versija vēl nav apstiprināta</w:t>
            </w:r>
            <w:r w:rsidR="00000000" w:rsidRPr="00000000" w:rsidDel="00000000">
              <w:rPr>
                <w:rtl w:val="0"/>
              </w:rPr>
              <w:t xml:space="preserve">, līdz ar to aicinām ņemt vērā, ka tajā vēl iespējamas izmaiņas, t.sk. tādas, kas ietekmētu arī šo MK noteikumu projektu un tajā ietvertos attiecināmības nosacījumus.  Ņemot vērā iepriekš minēto, vēršam uzmanību, ka šāda pieeja vadlīniju grozījumu, kas skar noteikumu projekta redakciju, neapstiprināšanas gadījumā var radīt risku veikt atkārtotus MK noteikumu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TA projektā iekļautā redakcija nosaka, ka attiecināmas izmaksas ir personāla atlīdzības izmaksas, kas radušās uz darba tiesisko attiecību vai iepirkumu līgumu pamata. Savukārt personāla izmaksu ietvars ir noteikts aktuālajās attiecināmo izmaksu vadlīnijas Nr. 1.2 “Vadlīnijas attiecināmo izmaksu noteikšanai Eiropas Savienības kohēzijas politikas programmas 2021.-2027.gada plānošanas periodā” (turpmāk – vadlīnijas). Projektu iesniedzējiem un pēc tam finansējuma saņēmējiem šīs vadlīnijas ir saistošas, jo to paredz projektu iesniegumu atlases nolikums (projektu iesniegumu atlases posmā) un vienošanās vai līgumā ar Centrālo finanšu un līgumu aģentūru par projekta īstenošanu 1. pielikumā “Līguma vispārīgie noteikumi” ietvertais finansējuma saņēmēja pienākums “Projekta īstenošanā nodrošināt visu normatīvajos aktos, Vadošās iestādes, Atbildīgās iestādes, Sadarbības iestādes un citu institūciju vadlīnijās un metodikās, kā arī Līgumā paredzēto nosacījumu izpildi” (projekta īstenošanas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finansējuma saņēmēji, īstenojot projektu, izmantos un piemēros aktuālās vadlīnijas un MK noteikumos noteiktos izmaksu attiecināšanas nosacījumus. Skaidrojam, ka TA projektā personāla izmaksu attiecināmības nosacījumi tiek vispārināti (padarīti elastīgāki), lai pēc grozīto vadlīniju apstiprināšanas nekavējoties būtu piemērojami aktuālajās vadlīnijās noteiktie izmaksu attiecināmības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uzskatām, ka TA projektā iestrādātās izmaiņas ļaus pēc iespējas ātrāk piemērot vadlīnijas pēc to grozījumu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informāciju "Līdz ar to projektu iesniedzējiem būs iespējams projekta iesniegumos plānot projekta personāla izmaksas atbilstoši precizētajiem nosacījumiem. Pēc TA projekta stāšanās spēkā tiks veiktas attiecīgas izmaiņas projektu iesniegumu atlases nolikumā, [..].", ņemot vērā, ka projektu iesniegumos, attiecībā uz </w:t>
            </w:r>
            <w:r w:rsidR="00000000" w:rsidRPr="00000000" w:rsidDel="00000000">
              <w:rPr>
                <w:rtl w:val="0"/>
              </w:rPr>
              <w:t xml:space="preserve">projekta personālu, kurš piesaistīts uz darba līguma pamata, daļlaika noslodzes vismaz 30 procenti apmēra ierobežojumu varēs nepiemērot tikai pēc tam, kad būs apstiprinātas precizētās vadlīnijas Nr. 1.2. “Vadlīnijas attiecināmo izmaksu noteikšanai Eiropas Savienības kohēzijas politikas programmas 2021.–2027.gada plānošanas periodā”, kas ir saistošas projekta iesniedzējam un finansējuma saņēmējam arī tad, ja to nosacījumi nav ietverti MK noteikumos Nr. 98.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minētās tiešās attiecināmās personāla izmaksas ietver finansējuma saņēmēja projekta vadības un īstenošanas personāla izmaksas, kas radušās uz darba tiesisko attiecību un iepirkumu līgumu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noteikumiem paredzēts svītrot Finanšu ministrijas vadlīnijās Nr.1.2. "Vadlīnijas attiecināmo izmaksu noteikšanai Eiropas Savienības Kohēzijas politikas programmas 2021.-2027. gada plānošanas periodā" noteiktos personāla izmaksu attiecināmības nosacījumus, bet vienlaikus anotācijā minēts, ka projektu iesniedzējiem un finansējuma saņēmējiem personāla izmaksas jāplāno un jāveic atbilstoši minētajās vadlīnijās noteiktajam, lūdzam papildināt noteikumu 19.punktu, iekļaujot atsauci uz šīm vadlīnijām. Tā kā 4.3.5.1.pasākuma 4.kārtā finansējuma saņēmēji var būt arī privāto tiesību juridiskās personas (piemēram, biedrības), tad normatīvajam regulējumam jābūt skaidram, pieejamam un adresātam saprotamam, lai novērstu neviennozīmīgu interpretāciju un potenciālus strīdus ar finansējuma saņēmējiem. Ja vadlīnijās minētie izmaksu attiecināmības nosacījumi ir svarīgi (piemēram, nosacījums, ka netiek attiecināta samaksa par virsstundu darbu, vai nosacījums, ka personāla atlīdzības izmaksām jābūt atbilstošām finansējuma saņēmēja atlīdzības sistēmā noteiktajai samaksai par līdzvērtīga darba veikšanu vai atbilstošām vidējai darba samaksai saskaņā ar Centrālās statistikas pārvaldes datiem par līdzvērtīgu darbu attiecīgajā nozarē), tos nepieciešams pārcelt ārējā normatīvajā aktā vai arī ārējā normatīvajā aktā vismaz izdarīt atsauci uz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atbilstoši līdzšinējai praksei MK noteikumos par SAM pasākumu īstenošanu  nelieto atsauces uz vadlīnijām un citiem dokumentiem, kuriem ir rekomendāciju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vadlīnijas Nr.1.2. "Vadlīnijas attiecināmo izmaksu noteikšanai Eiropas Savienības Kohēzijas politikas programmas 2021.-2027. gada plānošanas periodā" un tajās noteiktais ir saistošas gan 4.3.5.1. pasākuma 4. kārtas projektu iesniedzējiem, sagatavojot projektu iesniegumus (to paredz atlases nolikums), gan arī projektu iesniegumu apstiprināšanas gadījumā finansējuma saņēmējiem (to paredz vienošanās vai līgumos ar Centrālo finanšu un līgumu aģentūru par projekta īstenošanu 1. pielikumā “Līguma vispārīgie noteikumi” ietvertais finansējuma saņēmēja pienākums “Projekta īstenošanā nodrošināt visu normatīvajos aktos, Vadošās iestādes, Atbildīgās iestādes, Sadarbības iestādes un citu institūciju vadlīnijās un metodikās, kā arī Līgumā paredzēto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dublēt šo nosacījumu MK noteikumos par 4.3.5.1. pasākuma 4. kārtas īstenošanu LM ieskatā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minētās tiešās attiecināmās personāla izmaksas ietver finansējuma saņēmēja projekta vadības un īstenošanas personāla atlīdzības izmaksas, kas radušās uz darba tiesisko attiecību vai iepirkumu līgumu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piesaistot šo noteikumu </w:t>
            </w:r>
            <w:r w:rsidR="00000000" w:rsidRPr="00000000" w:rsidDel="00000000">
              <w:rPr>
                <w:rtl w:val="0"/>
              </w:rPr>
              <w:t xml:space="preserve">17.</w:t>
            </w:r>
            <w:r w:rsidR="00000000" w:rsidRPr="00000000" w:rsidDel="00000000">
              <w:rPr>
                <w:rtl w:val="0"/>
              </w:rPr>
              <w:t xml:space="preserve"> punktā minēto atbalstāmo darbību veikšanai nepieciešamo personālu šo noteikumu 29.</w:t>
            </w:r>
            <w:r w:rsidR="00000000" w:rsidRPr="00000000" w:rsidDel="00000000">
              <w:rPr>
                <w:vertAlign w:val="superscript"/>
                <w:rtl w:val="0"/>
              </w:rPr>
              <w:t xml:space="preserve">1</w:t>
            </w:r>
            <w:r w:rsidR="00000000" w:rsidRPr="00000000" w:rsidDel="00000000">
              <w:rPr>
                <w:rtl w:val="0"/>
              </w:rPr>
              <w:t xml:space="preserve"> punktā noteiktajā kārtībā, nodrošina, ka projekta īstenošanas laikā ir ievēroti interešu konflikta, korupcijas un krāpšanas novēršanas nosacījumi, vismaz paredzot, ka projekta vadībā un īstenošanā iesaistītie darbinieki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30.1. un 30.1.1. apakšpunktos minēto atsauci uz 29.</w:t>
            </w:r>
            <w:r w:rsidR="00000000" w:rsidRPr="00000000" w:rsidDel="00000000">
              <w:rPr>
                <w:vertAlign w:val="superscript"/>
                <w:rtl w:val="0"/>
              </w:rPr>
              <w:t xml:space="preserve">1</w:t>
            </w:r>
            <w:r w:rsidR="00000000" w:rsidRPr="00000000" w:rsidDel="00000000">
              <w:rPr>
                <w:rtl w:val="0"/>
              </w:rPr>
              <w:t xml:space="preserve"> punktu, ņemot vērā, ka 29.</w:t>
            </w:r>
            <w:r w:rsidR="00000000" w:rsidRPr="00000000" w:rsidDel="00000000">
              <w:rPr>
                <w:vertAlign w:val="superscript"/>
                <w:rtl w:val="0"/>
              </w:rPr>
              <w:t xml:space="preserve">1</w:t>
            </w:r>
            <w:r w:rsidR="00000000" w:rsidRPr="00000000" w:rsidDel="00000000">
              <w:rPr>
                <w:rtl w:val="0"/>
              </w:rPr>
              <w:t xml:space="preserve"> punkta noteikumos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piesaistot šo noteikumu </w:t>
            </w:r>
            <w:r w:rsidR="00000000" w:rsidRPr="00000000" w:rsidDel="00000000">
              <w:rPr>
                <w:rtl w:val="0"/>
              </w:rPr>
              <w:t xml:space="preserve">17.</w:t>
            </w:r>
            <w:r w:rsidR="00000000" w:rsidRPr="00000000" w:rsidDel="00000000">
              <w:rPr>
                <w:rtl w:val="0"/>
              </w:rPr>
              <w:t xml:space="preserve"> punktā minēto atbalstāmo darbību veikšanai nepieciešamo personālu šo noteikumu 29.1.</w:t>
            </w:r>
            <w:r w:rsidR="00000000" w:rsidRPr="00000000" w:rsidDel="00000000">
              <w:rPr>
                <w:vertAlign w:val="superscript"/>
                <w:rtl w:val="0"/>
              </w:rPr>
              <w:t xml:space="preserve">1</w:t>
            </w:r>
            <w:r w:rsidR="00000000" w:rsidRPr="00000000" w:rsidDel="00000000">
              <w:rPr>
                <w:rtl w:val="0"/>
              </w:rPr>
              <w:t xml:space="preserve"> apakšpunktā noteiktajā kārtībā, nodrošina, ka projekta īstenošanas laikā ir ievēroti interešu konflikta, korupcijas un krāpšanas novēršanas nosacījumi, vismaz paredzot, ka projekta vadībā un īstenošanā iesaistītie darbinieki ir:</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25-TA-941</w:t>
    </w:r>
    <w:r>
      <w:br/>
    </w:r>
    <w:r w:rsidR="00000000" w:rsidRPr="00000000" w:rsidDel="00000000">
      <w:rPr>
        <w:rtl w:val="0"/>
      </w:rPr>
      <w:t xml:space="preserve">29.04.2025. 09.01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25-TA-941</w:t>
    </w:r>
    <w:r>
      <w:br/>
    </w:r>
    <w:r w:rsidR="00000000" w:rsidRPr="00000000" w:rsidDel="00000000">
      <w:rPr>
        <w:rtl w:val="0"/>
      </w:rPr>
      <w:t xml:space="preserve">29.04.2025. 09.01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Izziņa_25-TA-941.docx</dc:title>
</cp:coreProperties>
</file>

<file path=docProps/custom.xml><?xml version="1.0" encoding="utf-8"?>
<Properties xmlns="http://schemas.openxmlformats.org/officeDocument/2006/custom-properties" xmlns:vt="http://schemas.openxmlformats.org/officeDocument/2006/docPropsVTypes"/>
</file>