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25-TA-2567: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Informācijas sabiedrības pakalpojumu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17.02.2026. 13:20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Aizstāt 21. pantā skaitli un vārdu “20.pantā” ar skaitļiem un vārdu “20. un 20.1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ietvertie grozījumi Informācijas sabiedrības pakalpojumu likuma 21. pantā paredz noteikt, ka administratīvo pārkāpuma procesu par likumprojekta 2. pantā ietvertajā Informācijas sabiedrības pakalpojumu likuma 20.</w:t>
            </w:r>
            <w:r w:rsidR="00000000" w:rsidRPr="00000000" w:rsidDel="00000000">
              <w:rPr>
                <w:vertAlign w:val="superscript"/>
                <w:rtl w:val="0"/>
              </w:rPr>
              <w:t xml:space="preserve">1</w:t>
            </w:r>
            <w:r w:rsidR="00000000" w:rsidRPr="00000000" w:rsidDel="00000000">
              <w:rPr>
                <w:rtl w:val="0"/>
              </w:rPr>
              <w:t xml:space="preserve"> pantā minēto administratīvo pārkāpumu veic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ietvertais Informācijas sabiedrības pakalpojumu likuma 20.</w:t>
            </w:r>
            <w:r w:rsidR="00000000" w:rsidRPr="00000000" w:rsidDel="00000000">
              <w:rPr>
                <w:vertAlign w:val="superscript"/>
                <w:rtl w:val="0"/>
              </w:rPr>
              <w:t xml:space="preserve">1</w:t>
            </w:r>
            <w:r w:rsidR="00000000" w:rsidRPr="00000000" w:rsidDel="00000000">
              <w:rPr>
                <w:rtl w:val="0"/>
              </w:rPr>
              <w:t xml:space="preserve"> pants paredz, ka par Eiropas e-pierādījumu saglabāšanas rīkojuma vai Eiropas e-pierādījumu sniegšanas rīkojuma neizpildi informācijas sabiedrības pakalpojumu sniedzējam piemēro naudas sodu līdz 2% no tā kopējā gada apgrozījuma visā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e-pierādījumu regulas preambulas 9. punktam secināms, ka e-pierādījumu regulas mērķis ir paredzēt īpašus noteikumus attiecībā uz iestāžu pārrobežu sadarbību e-pierādījumu saglabāšanas un sniegšanas jomā, kuros ņem vērā e-pierādījumu īpašo raksturu. Saskaņā ar e-pierādījumu regulas 16. panta 10. punktu, ja adresāts nepilda savus pienākumus saskaņā ar atzītu Eiropas e-pierādījumu sniegšanas rīkojumu vai Eiropas e-pierādījumu saglabāšanas rīkojumu, kura izpildes nodrošināšanu ir apstiprinājusi izpildes iestāde, minētā iestāde saskaņā ar e-pierādījumu regulas 15. pantu piemēro naudas sodu. Pret lēmumu uzlikt naudas sodu ir pieejams efektīvs tiesiskās aizsardzības līdzeklis. Līdz ar to secināms, ka e-pierādījumu regulas mērķis ir nodrošināt ātru un nepastarpinātu sadarbību pārrobežu kriminālprocesos, nodrošinot operatīvu, procesuāli efektīvu Eiropas e-pierādījumu saglabāšanas rīkojuma vai Eiropas e-pierādījumu sniegšanas rīkojuma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e-pierādījumu regulas preambulas 69. un 70. punktam dalībvalstīm jānosaka noteikumi par naudas sodiem, kas piemērojami e-pierādījumu regulas pārkāpumu gadījumos, un jāveic visi nepieciešamie pasākumi šo noteikumu īstenošanai. Dalībvalstīm būtu jānodrošina, ka to valsts tiesību aktos paredzētie naudas sodi ir efektīvi, samērīgi un atturoši. [..] Novērtējot konkrētā lietā piemērojamo naudas sodu, kompetentajām iestādēm būtu jāņem vērā visi attiecīgie apstākļi, piemēram, pārkāpuma raksturs, smagums un ilgums, tas, vai pārkāpums ir izdarīts ar nolūku vai nolaidības dēļ, tas, vai pakalpojumu sniedzējs ir saukts pie atbildības par līdzīgiem pārkāpumiem iepriekš, kā arī pie atbildības sauktā pakalpojumu sniedzēja finansiālais stāvoklis. Izņēmuma apstākļos izpildes iestāde, pamatojoties uz minēto novērtējumu, varētu nolemt atturēties no jebkādu naudas sodu piemērošanas. Šajā sakarībā īpaša uzmanība ir jāpievērš mikrouzņēmumiem, kas ārkārtas gadījumā neizpilda Eiropas e-pierādījumu sniegšanas rīkojumu vai Eiropas e-pierādījumu saglabāšanas rīkojumu cilvēkresursu trūkuma dēļ ārpus parastā darba laika, ja dati tiek pārsūtīti bez nepamatotas kavēšanās.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attiecīgā naudas soda piemērošanas mērķis ir nodrošināt, ka Eiropas e-pierādījumu sniegšanas rīkojumi vai Eiropas e-pierādījumu saglabāšanas rīkojumi tiek izpildīti, turklāt tiek izpildīti noteiktajos termiņos. Līdz ar to pēc būtības attiecīgā naudas soda piemērošanas iespējamība ir kā viens no preventīviem instrumentiem, lai motivētu izpildīt Eiropas e-pierādījumu sniegšanas rīkojumu vai Eiropas e-pierādījumu saglabāšanas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vērtējot no efektivitātes viedokļa, efektīva e-pierādījumu regulas prasību īstenošana tiktu nodrošināta, ja viena institūcija nodrošina Eiropas e-pierādījumu saglabāšanas rīkojuma vai Eiropas e-pierādījumu sniegšanas rīkojuma atzīšanu, izvērtēšanu (vai attiecīgā rīkojuma izpilde nav atsakāma), izpildes kontrolēšanu un nepieciešamības gadījumā arī lēmumu par naudas soda piemērošanas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“Grozījumi Kriminālprocesa likumā” (25-TA-2555) 7. pantā ietvertajai Kriminālprocesa likuma 918. panta otrajai daļai par izpildes iestādi e-pierādījumu regulas 3. panta 17. punkta izpratnē tiek noteikta Ģenerālprokuratūra. Līdz ar to arī Ģenerālprokuratūrai būtu jābūt tai institūcijai, kura saskaņā ar e-pierādījumu regulas 15. pantu un 16. panta 10. punktu piemēro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Ģenerālprokuratūra nav institūcija, kura atbilstoši Administratīvās atbildības likuma 115. panta pirmajai daļai var veikt administratīvā pārkāpuma procesu, var paredzēt, ka naudas sodu atbilstoši e-pierādījumu regulas 15. pantam un 16. panta 10. punktam piemēro administratīvā procesa ietvaros, pieņemot attiecīgu lēmumu jeb administratīvo aktu. Šādā gadījumā atbilstoši Administratīvā procesa likumam tiktu nodrošināta arī e-pierādījumu regulas 16. panta 10. punktā minētais tiesiskās aizsardzības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Prokuratūras likuma 20. panta pirmajai daļai, ja nepieciešams pārtraukt nelikumīgu darbību, novērst šādas darbības sekas vai nepieļaut pārkāpumu, prokurors iesniedz rakstveida iesniegumu attiecīgajam uzņēmumam, iestādei, organizācijai, amatpersonai vai personai. Savukārt atbilstoši Prokuratūras likuma 20. panta otrajai un trešajai daļai iesniegumā izteikto prasību izpildes un atbildes sniegšanas termiņu nosaka prokurors, ievērojot pārkāpuma raksturu un tā novēršanai nepieciešamo laiku. Ja iesniegumā izteiktās prasības netiek izpildītas vai uz to netiek sniegta atbilde, prokurors ir tiesīgs griezties tiesā vai citā kompetentā institūcijā ar pieteikumu par personas saukšanu pie likumā noteiktās atbildības. Līdz ar to jau pašreiz atbilstoši Prokuratūras likuma 20. pantam prokuroram ir tiesības pieņemt administratīvā procesa ietvaros privātpersonām saistošus lēmumus jeb iesniegumus.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likuma “Par policiju” 1. pantam Valsts policija ir apbruņota militarizēta valsts institūcija, kuras pienākums ir aizsargāt personu dzīvību, veselību, tiesības un brīvības, īpašumu, sabiedrības un valsts intereses no noziedzīgiem un citiem prettiesiskiem apdraudējumiem. Saskaņā ar likuma “Par policiju” 3. panta pirmajai daļai policijas uzdevumi ir garantēt personu un sabiedrības drošību, novērst noziedzīgus nodarījumus un citus likumpārkāpumus, atklāt noziedzīgus nodarījumus, meklēt personas, kas izdarījušas noziedzīgus nodarījumus, likumā paredzētajā kārtībā sniegt palīdzību iestādēm, privātpersonām un personu apvienībām to tiesību aizsardzībā un ar likumu noteikto pienākumu realizācijā, kā arī savas kompetences ietvaros izpildīt administratīvos sodus un kriminālsodus.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e-pierādījumu regulas 15. pantam un 16. panta 10. punktam naudas soda piemērošanas mērķis ir nodrošināt, ka Eiropas e-pierādījumu sniegšanas rīkojumi vai Eiropas e-pierādījumu saglabāšanas rīkojumi tiek izpildīti un tiek izpildīti noteiktajos termiņos, tad naudas soda piemērošana pēc būtības nav tieši saistīta ar likumā “Par policiju” noteiktajiem Valsts policijas uzdevumiem. Papildus vēršam uzmanību, ka Valsts kontrole lietderības revīzijā Nr. 2.4.1-71/2024 “Kā nodrošināt pietiekamu skaitu policistu?” uzsver nepieciešamību atbrīvot policistus no neraksturīgiem uzdevumiem un koncentrēt Valsts policijas resursus uz pamatfunkcijām, mazināt strukturālu pārslodzi un cilvēkresursu izkliedi. Likumprojektā paredzētā naudas soda piemērotāja funkcijas piešķiršana Valsts policijai pēc būtības paplašina Valsts policijai neraksturīgo uzdevumu loku, prasa specializētu administratīvo procesu kompetenci un palielina institucionālo noslodzi laikā, kad Valsts policijas cilvēkresursu deficīts jau ir konstatēts arī minētajā Valsts kontroles revīzijā.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likumprojektu, vienlaikus no tā, izslēdzot likumprojekta 3. pantu, kas paredz, ka administratīvā pārkāpuma procesu par likumprojekta 2. pantā ietvertajā Informācijas sabiedrības pakalpojuma likuma 20.</w:t>
            </w:r>
            <w:r w:rsidR="00000000" w:rsidRPr="00000000" w:rsidDel="00000000">
              <w:rPr>
                <w:vertAlign w:val="superscript"/>
                <w:rtl w:val="0"/>
              </w:rPr>
              <w:t xml:space="preserve">1</w:t>
            </w:r>
            <w:r w:rsidR="00000000" w:rsidRPr="00000000" w:rsidDel="00000000">
              <w:rPr>
                <w:rtl w:val="0"/>
              </w:rPr>
              <w:t xml:space="preserve"> pantā minēto administratīvo pārkāpumu veic Valsts policija. Tāpat lūdzam attiecīgi pārskatīt un precizēt likumprojekta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izskatāms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E-pierādījumu regulas 15. panta 1. punkts noteic, ka dalībvalstis nodrošina, ka var noteikt naudas sodus līdz 2 % apmērā no pakalpojuma sniedzēja kopējā gada apgrozījuma visā pasaulē iepriekšējā finanšu gadā. Regulā lietotais termins "naudas sods" nav izšķirošs, lai piemērojamo pasākumu klasificētu kā sodu. Tomēr, vērtējot šā "naudas soda" iespējamo apmēru (sankcijas bardzību) un tā mērķi, regula paredz sodu jeb krimināltiesiska (sodoša) rakstura sankciju.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regulējums nav veidots, balstoties uz sodu (sodoša rakstura sankciju) piemērošanas procesam raksturīgajiem principiem. Tā pamatā ir pavisam atšķirīga veida tiesiskās attiecības valsts pārvaldē. Līdz ar to sankciju piemērošanas process nav pienācīgi noregulēts. Šobrīd ir pieņemts daudz atbilstošāks regulējums – Administratīvās atbildības likums. Gan no personas tiesību nodrošināšanas viedokļa, gan sistēmiski labāks risinājums ir iekļaut sodoša rakstura administratīvo sankciju, tostarp naudas sodu, piemērošanu administratīvā pārkāpuma procesa regulējumā. Kopumā Latvijas tiesību sistēmā šobrīd pastāv divi sodu piemērošanas mehānismi – administratīvā pārkāpuma process un kriminālprocess.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e-pierādījumu sniegšanas un saglabāšanas rīkojumi un to izpilde ir saistīta tieši ar kriminālprocesu. Šādi pasākumi nepieciešami, lai "nodrošinātu kriminālizmeklēšanu un kriminālvajāšanu visā Savienībā". Attiecīgi piemērojamas kriminālprocesam raksturīgās procesuālās garantijas privātpersonām. Līdz ar to šādi rīkojumi un to izpilde nav arī vērtējami kā administratīvie akti un to izpilde. Tie būtībā ir kriminālprocesuāli lēmumi (Administratīvā procesa likuma 1. panta trešās daļas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E-pierādījumu regulā paredzētie naudas sodi nav piemērojami administratīvajā procesā, izdodot administratīvu aktu. Tāpat šāda naudas soda piemērošana nav arī veidojama kā piespiedu izpildes līdzeklis administratīvajā procesā, jo attiecīgie rīkojumi būtībā ir kriminālprocesuāli lēmumi, nevis administratīvie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Iekšlietu ministrijas iebildumā minēto par prokurora lomu, norādāms, ka prokurors principā nedrīkst veikt administratīvā pārkāpuma procesu. Tas neatbilst nedz administratīvās atbildības piemērošanas jēgai (atbildību piemēro pārvaldes iestādes amatpersonas, nevis tiesu varai piederīgās amatpersonas – tiesa, prokurors), nedz arī prokurora lomai administratīvā pārkāpuma procesā. Prokurors savā veidā īsteno uzraudzību pār amatpersonu pieņemtajiem lēmumiem un, izmantojot piešķirto rīcības brīvību, var iesniegt protestu administratīvā pārkāpumā procesā (Laveniece-Straupmane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389. lpp.). Līdz ar to nav apsverami arī tādi risinājumi, ka prokurors varētu veikt administratīvā pārkāpuma procesu, tostarp pieņemt lēmumu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56. panta 1. punkts noteic, ka prokurors ir tiesīgs uzsākt administratīvā pārkāpuma procesu. Citiem vārdiem, tas nozīmē, ka prokurors var pieņemt lēmumu par administratīvā pārkāpuma procesa uzsākšanu (Administratīvās atbildības likuma 121. panta pirmā daļa). Tas neietver, piemēram, tiesības veikt izmeklēšanas darbības, izskatīt administratīva pārkāpuma lietu un pieņemt lēmumu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Iekšlietu ministrijas minēto par to, ka jau pašreiz atbilstoši Prokuratūras likuma 20. pantam prokuroram ir tiesības pieņemt administratīvā procesa ietvaros privātpersonām saistošus lēmumus jeb iesniegumus, norādāms, ka patiešām Augstākā tiesa savulaik ir atzinusi, ka prokurora darbības, iesniedzot rakstveida iesniegumu, funkcionāli būtu kvalificējamas kā darbības, kas veiktas valsts pārvaldes jomā. Prokurora iesniegums var būt administratīvais akts, ja tas konkrētajā gadījumā satur visas administratīvā akta pazīmes (Augstākās tiesas Senāta Administratīvo lietu departamenta 2005. gada 17. augusta lēmums lietā Nr. SKA-372).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šie secinājumi laika gaitā ir mainīti un Senāta jaunākā judikatūra, kas attiecas uz prokurora brīdinājumu, norāda, ka pār prokurora brīdinājumu nav veicama kontrole administratīvajā procesā. Ar šo reaģēšanas līdzekli prokurors īsteno prokuratūras kā tiesu varas institūcijas funkcijas patstāvīgi veikt uzraudzību pār likumības ievērošanu likumā noteiktās kompetences ietvaros, nevis darbojas valsts pārvaldes jomā. Līdz ar to prokurora pārbaudes rezultātā izvēlētais reaģēšanas līdzeklis neattiecas uz valsts pārvaldes jomu, un tas nav atzīstams nedz par administratīvo aktu, nedz faktisko rīcību (Senāta Administratīvo lietu departamenta 2023. gada 4. oktobra rīcības sēdes lēmuma lietā Nr. SKA-905/2023 5. punkts). Kopumā šādas prokurora uzraudzības izpausmes ir vēl no sociālistiskajām tiesībām saglabājies elements, kas netiek praktizēts demokrātisko valstu tiesību sistēmās (Satversmes tiesas 2002. gada 20. jūnija sprieduma lietā Nr. 2001-17-0106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minētie apsvērumi par Valsts policijai neraksturīgiem uzdevumiem vērtējami kritiski. E-pierādījumu sniegšanas vai saglabāšanas rīkojumu izpildes nodrošināšana kā tāda nav Latvijas tiesiskajā iekārtā raksturīga izpausme. Tās nepieciešamību noteic ES regula. Šie uzdevumi paši par sevi nav raksturīgi nevienai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rīkojumi ir saistīti ar kriminālprocesuālām attiecībām. Valsts policija ir izmeklēšanas iestāde. Tāpat sodīšanas funkcija pati par sevi ir Valsts policijai raksturīga izpausme.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Nevienai iestādei nav iepriekš nolemts un nemainīgs uzdevumu vai kompetencē esošo jautājumu loks. Vēl vairāk tieši Valsts policija ir tā institūcija, kam ir vispārīga kompetence efektīvi un samērīgi reaģēt uz tiesību normu pārkāpumiem gadījumos, kad speciāla kompetence nav noteikta citai institūcijai (Senāta Administratīvo lietu departamenta 2022. gada 10. februāra sprieduma lietā Nr. SKA-276/2022 10.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izveidojot Regulā paredzēto naudas sodu piemērošanas mehānismu tiek ņemts vērā, ka administratīvās atbildības likuma AAL sistēma nav veidota tā, lai prokuratūra vai tiesa būtu sākotnējā administratīvā soda piemērošanas iestāde (AAL 115. panta pirmajā daļā prokuratūrai nav piešķirtas procesu veicošas iestādes pilnvaras).  Vienlaikus AAL 56. pants paredz prokurora tiesības uzsākt administratīvā pārkāpuma procesu un nodot to kompetentajai iestādei. Savukārt tiesa AAL sistēmā veic administratīvā lēmuma tiesiskuma un pamatotības kontroli saskaņā ar Administratīvās atbildības likuma 177. pantu, kā arī prokuroram ir tiesības iesniegt protestu atbilstoši šā likuma 173.–175. pantam. Ņemot vērā, ka Regulas prasības par vienu izpildiestādi attiecas uz funkciju koordināciju un lēmumiem Regulas 8., 12. un 16. panta izpratnē, tad ar šādu risinājumu tiek izveidots Regulas prasībām un valsts nacionālajam regulējumam atbilstošs  mehānisms kas kopumā nodrošina efektivitāti, samērīgumu un pamattiesību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 administratīvā pārkāpuma procesā paredzama Valsts policijai, kas ir valsts pārvaldes iestāde. Nav atbalstāmi un administratīvās atbildības sistēmai neatbilstu tādi risinājumi, kas paredzētu iespēju prokuroram veikt administratīvā pārkāpuma procesu vai tiesai jau sākotnēji pieņemt lēmumu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21. pantā skaitli un vārdu “20.pantā” ar skaitļiem un vārdu “20., 20.1 un 20.2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21.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20.2 pantā minēto pārkāpumu veic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šādas kompetences noteikšanu PTAC. Vēršam uzmanību, ka PTAC ir patērētāju tiesību aizsardzības iestāde, kas nespecializējas datu aizsardzībā vai krimināltiesību jomā, t.sk., attiecībā datu konfidencialitātes, slepenības un integritātes nodrošināšanu pierādījumu nodošanai citas valsts tiesībsargājošajai iestādei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PTAC nav universāls informācijas sabiedrības pakalpojumu sniedzēju uzraugs, turklāt šāda universāla uzrauga šajā jomā nemaz nav. Katra iestāde veic uzraudzību tiešsaistē (informācijas sabiedrības pakalpojumu sniedzēju uzraudzību) savas kompetences ietvaros un PTAC kompetence šajā jomā aprobežojas ar patērētāju tiesību uzraudzību. Attiecīgi nav saskatāms pamats šādas kompetences noteikšanai PTAC.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izskatāms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E-pierādījumu regula paredz sodu noteikšanu par adresātu un pakalpojumu sniedzēju (ja tās ir dažādas personas) neveiktiem vajadzīgo modernāko darbību un tehniskiem pasākumiem, lai nodrošinātu EPOC vai EPOC-PR un sniegto vai saglabāto datu konfidencialitāti, slepenību un integritāti (Regulas 13. panta 4. punkta pārkāpums).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TM izstrādātajiem likumprojektiem - Grozījumi Elektronisko sakaru likumā  (turpmāk - ESL) ((25-TA-2565) un Grozījumi Informācijas sabiedrības pakalpojumu likumā (turpmāk – ISPL) (25-TA-25670), tiek paredzēta administratīvā atbildība līdz 2 % no kopējā gada apgrozījuma elektronisko pakalpojumu un informācijas sabiedrības pakalpojumu sniedzējiem par EPOC/EPOC-PR vai ar tiem saistīto datu konfidencialitātes, slepenības vai integritātes nenodrošināšanu.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Likumprojektos kompetence administratīvo sodu piemērošanai paredzēta atbilstoši attiecīgajos nozaru likumos jau paredzētajām kompetencēm, proti,  ISPL paredz Patērētāju tiesību aizsardzības centra kompetenci par informācijas sabiedrības pakalpojumu sniedzējiem, savukārt ESL paredz Sabiedrisko pakalpojumu regulēšanas komisijas kompetenci sabiedrisko pakalpojumu uzraudzībā elektronisko sakaru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Informācijas sabiedrības pakalpojumu likuma (turpmāk – ISPL) 12., 14., 15., 19.¹, 11.¹ un 11.² pantos noteiktās PTAC uzraudzības un kontroles funkcijas, kā arī Administratīvās atbildības likuma 115. panta pirmās daļas 19. punktā noteikto, ka PTAC amatpersonas ir tiesīgas veikt administratīvā pārkāpuma procesu, PTAC nosakāms par kompetento iestādi administratīvā pārkāpuma procesa veikšanai par ISPL 20.² panta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ISPL normām PTAC ir piešķirtas uzraudzības, kontroles un procesuālās pilnvaras digitālo pakalpojumu tirgū, kas aptver arī tiešsaistes starpniecības platformu darbību un citu informācijas sabiedrības pakalpojumu sniedzēju atbilstības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(ES) 2023/1543 13. panta 4. punkts nosaka adresātu un pakalpojumu sniedzēju pienākumu ieviest vismodernākos organizatoriskos un tehniskos pasākumus, lai nodrošinātu EPOC/EPOC‑PR un sniegto vai saglabāto datu konfidencialitāti, slepenību un integritāti. Šo pasākumu ieviešana ir priekšnoteikums, lai pakalpojuma sniedzējs varētu darboties Eiropas Savienības un līdz ar to arī Latvijas tirgū. Datu aizsardzības neievērošana ir tiešas sekas tam, ka pakalpojuma sniedzējs nav izpildījis Regulas prasības veikt šos modernākos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minētie pienākumi ir strukturāli saistīti ar informācijas sabiedrības pakalpojumu sniegšanu, to uzraudzība pēc būtības ietilpst PTAC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15. panta 1. punkts uzliek dalībvalstīm pienākumu piemērot efektīvus un atturošus naudas sodus par 13. panta 4. punkta prasību pārkāpumiem, tostarp līdz 2 % no pakalpojumu sniedzēja globālā apgrozījuma. Šādas sankcijas efektīvi var piemērot tieši PTAC, kurai ir atbilstoša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kompetence ir personas datu aizsardzības uzraudzība, un tā iestājas tikai tad, ja konkrētais pārkāpums vienlaikus ir arī personas datu apstrādes pārkāpums (GDPR). Tomēr Regulas 13. panta 4. punkts attiecas arī uz nepersoniskiem datiem un vispārēju tehnisko drošību, kas ietilpst PTAC  uzraudzības sfērā.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21.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20.2 pantā minēto pārkāpumu veic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ir pretruna starp likumprojekta 4. panta redakciju un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paredzēts "Papildināt 21.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20.2 pantā minēto pārkāpumu veic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 sadaļas "Risinājuma apraksts" norādīts, ka "ISPL 21.pants tiek papildināts ar jaunu otro daļu, nosakot, ka administratīvā pārkāpuma lietas uzsākšanu un sagatavošanu izskatīšanai veic Datu valsts inspekcija, bet administratīvā pārkāpuma lietu izskata un lēmumu par administratīvās atbildības piemērošanu pieņem Valsts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sadaļas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apakšpunkta sadaļā “Risinājuma apraksts” par e-pierādījumu regulas prasību īstenošanu ir norādīts, ka par izpildes iestādi tiek uzskatīta Valsts policija un ka likumprojektā “Grozījumi Kriminālprocesa likumā” (25-TA-2555) ietvertajā Kriminālprocesa likuma 918. panta otrajā daļā ir noteikts, ka Valsts policija ir izpildes iestāde e-pierādījumu regulas 3. panta 17.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notikušās diskusijas likumprojekta “Grozījumi Kriminālprocesa likumā” saskaņošanas procesā, minētais likumprojekts ir ticis precizēts un atbilstoši tā 7. pantā ietvertajai Kriminālprocesa likuma 918. panta otrajai daļai par izpildes iestādi e-pierādījumu regulas 3. panta 17. punkta izpratnē ir noteikta Ģenerālprokuratūra. Līdz ar to, lai nodrošinātu likumprojekta anotācijā norādītās informācijas atbilstību likumprojektā “Grozījumi Kriminālprocesa likumā” ietvertajam tiesiskajam regulējuma, nepieciešams pārskatīt un attiecīgi precizēt likumprojekta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apakšpunkta sadaļa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(anotācijas) (turpmāk – anotācija) 1.3.apakšpunkta sadaļā “Risinājuma apraksts” ir norādīts, ka administratīvā pārkāpumu lietas uzsākšanu un sagatavošanu izskatīšanai par likumprojekta 2. pantā ietvertā Informācijas sabiedrības pakalpojuma likuma 20.</w:t>
            </w:r>
            <w:r w:rsidR="00000000" w:rsidRPr="00000000" w:rsidDel="00000000">
              <w:rPr>
                <w:vertAlign w:val="superscript"/>
                <w:rtl w:val="0"/>
              </w:rPr>
              <w:t xml:space="preserve">2</w:t>
            </w:r>
            <w:r w:rsidR="00000000" w:rsidRPr="00000000" w:rsidDel="00000000">
              <w:rPr>
                <w:rtl w:val="0"/>
              </w:rPr>
              <w:t xml:space="preserve"> pantā minēto administratīvo pārkāpumu veic Datu valsts inspekcija, bet administratīvā pārkāpuma lietu izskata un lēmumu par administratīvās atbildības piemērošanu pieņem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 pantā ietvertā Informācijas sabiedrības pakalpojuma likuma 21. panta otrā daļa paredz, ka administratīvā pārkāpuma procesu par likumprojekta 2. pantā ietverto Informācijas sabiedrības pakalpojuma likuma 20.</w:t>
            </w:r>
            <w:r w:rsidR="00000000" w:rsidRPr="00000000" w:rsidDel="00000000">
              <w:rPr>
                <w:vertAlign w:val="superscript"/>
                <w:rtl w:val="0"/>
              </w:rPr>
              <w:t xml:space="preserve">2</w:t>
            </w:r>
            <w:r w:rsidR="00000000" w:rsidRPr="00000000" w:rsidDel="00000000">
              <w:rPr>
                <w:rtl w:val="0"/>
              </w:rPr>
              <w:t xml:space="preserve"> pantā minēto administratīvo pārkāpumu veic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likumprojekta anotācijā norādītās informācijas atbilstību likumprojekta 3. pantā ietvertajam tiesiskajam regulējumam, nepieciešams pārskatīt un attiecīgi precizēt likumprojekta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apakšpunkta sadaļa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tās norādīšanu anotācijas 4.1.4.apakšpunktā kā atbildīgo par izstrādi par attiecīgajiem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visus iepriekšējā atzinumā izteiktos iebildumus un to pamatojumus. Ekonomikas ministrija atkārtoti norāda, ka tā nav kompetenta jautājumos par starptautisko saistību izpildi vai pamattiesību aizsardzību krimināltiesību jomā. Ekonomikas ministrija nav kompetenta jautājumos par Budapeštas Konvenciju par kibernoziegumiem un tās Otro papildprotokolu, kas tieši skar krimināltiesību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EM izstrādāja konkrētu likumu (šajā gadījumā ISPL) nenozīmē , ka citam resoram ir aizliegts to grozīt, un attiecīgi šī loģika piemērojama arī uz likumā ietvertiem deleģējumiem un uz to pamata izstrādātiem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EM uzstāj, ka anotācijas 4.1.4.apakšpunktā kā atbildīgā iestāde ir norādāma Tieslietu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4.1.4.apakšpunkts, norādot TM kā atbildīgo par izstrādi par attiecīgajiem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likumprojekta 4. pants, paredz likuma 21. panta otrajā daļā noteikt, ka administratīvā pārkāpuma procesu par šā likuma 20.</w:t>
            </w:r>
            <w:r w:rsidR="00000000" w:rsidRPr="00000000" w:rsidDel="00000000">
              <w:rPr>
                <w:vertAlign w:val="superscript"/>
                <w:rtl w:val="0"/>
              </w:rPr>
              <w:t xml:space="preserve">2</w:t>
            </w:r>
            <w:r w:rsidR="00000000" w:rsidRPr="00000000" w:rsidDel="00000000">
              <w:rPr>
                <w:rtl w:val="0"/>
              </w:rPr>
              <w:t xml:space="preserve"> pantā minēto pārkāpumu veic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minētās normas atbilstību anotācijai, aicinām precizēt anotācijas 1.3. apakšpunktā ietverto skaidrojumu šīs normas iekļaušanai.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norādāms, ka anotācijas 1.3. apakšpunktā divās vietās ir ietverta atsauce uz Fizisko personu datu aizsardzības likuma 23.pantu. Vēršam uzmanību, ka minētais likums ir zaudējis spēku,  līdz ar to atsauce ir nekorekta.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anotācijas 6.2.sadaļā "Sabiedrības līdzdalības organizēšanas veidi" ietverto atsauci uz Ministru kabineta 2009. gada 25. augusta noteikumiem Nr. 970 “Sabiedrības līdzdalības kārtība attīstības plānošanas procesā”, aizstājot to ar atsauci uz Ministru kabineta 2024.gada 15.oktobra noteikumiem Nr.639 "Sabiedrības līdzdalības kārtība attīstības plānošanas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Aizstāta likumprojekta anotācijas 6.2.sadaļā "Sabiedrības līdzdalības organizēšanas veidi" atsauce ar atsauci uz Ministru kabineta 2024.gada 15.oktobra noteikumiem Nr.639 "Sabiedrības līdzdalības kārtība attīstības plānošanas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13.11.2025. 14:07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likumu ar 7.2 un 7.3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pants. Informācijas izsniegšana kriminālprocesa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Starptautiskajos tiesību aktos noteiktajos gadījumos informācijas sabiedrības pakalpojumu sniedzējam, kura rīcībā atrodas informācijas sabiedrības pakalpojuma lietotāja dati, ir pienākums izpildīt ārvalsts tiesību aizsardzības iestāžu pieprasījumu kriminālprocesa mērķim. Ministru kabinets nosaka informācijas sabiedrības pakalpojumu lietotāju identifikācijas datu nodošanas kārtību ārvalsts tiesību aizsardzības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pants. Eiropas e-pierādījumu sniegšanas rīkojuma un Eiropas e-pierādījumu saglabāšanas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sabiedrības pakalpojumu sniedzējs, kas nodrošina iespēju tā pakalpojuma lietotājam sazināties savā starpā vai iespēju glabāt vai citādā veidā apstrādāt datus tā pakalpojuma lietotāja vārdā, kuriem pakalpojums tiek sniegts, ar noteikumu, ka datu glabāšana ir lietotājam sniegtā pakalpojuma pamatelements, izpilda Eiropas e-pierādījumu sniegšanas rīkojumus un Eiropas e-pierādījumu saglabāšanas rīkojumus  saskaņā ar Eiropas Parlamenta un Padomes 2023. gada 12. jūlija regulu (ES) 2023/1543 par Eiropas e-pierādījumu sniegšanas rīkojumiem un Eiropas e-pierādījumu saglabāšanas rīkojumiem e-pierādījumu gūšanai kriminālprocesā un brīvības atņemšanas sodu izpildei pēc kriminālprocesa.”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tā nav politikas veidotājs krimināltiesību jomā un tai nav speciālo zināšanu attiecībā par to, kā tiek īstenota starptautiskā sadarbība un informācijas apmaiņa kriminālprocesā. Tā kā šī joma ir juridiski specifiska un cieši saistīta ar procesuālajām garantijām, jebkāds regulējums par informācijas nodošanu kriminālprocesā ir jāizstrādā tieši kriminālprocesa politikas veidotājam - Tieslietu ministrijai. Līdz ar to Ekonomikas ministrija nevar tikt noteikta kā atbildīgā iestāde, lai izstrādātu Ministru kabineta noteikumu projektu, nosakot pienākumu informācijas sabiedrības pakalpojumu sniedzējiem nodot lietotāju identifikācijas datus ārvalstu tiesību aizsardzības iestādēm kriminālprocesa mērķiem, kā arī kārtību, kādā ārvalsts tiesību aizsardzības iestādei tiek sniegta šī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lemjot par minētās kārtības izstrādi nav izšķirošas nozīmes, kuras personas rīcībā ir konkrēta informācija, kas nepieciešama kriminālprocesa vajadzībām (vai persona ir informācijas sabiedrības pakalpojumu sniedzējs vai cita veida pakalpojumu sniedzējs, kura pakalpojuma izmantošanas rezultātā pakalpojuma sniedzēja rīcībā ir nonākusi informācija, kas būtu nepieciešama kriminālprocesa vajadzībām). Izšķiroša nozīme ir tam, ka regulējuma pamatā ir kriminālprocesa mērķi un principi, nevis informācijas glabātāja raksturojums. Līdz ar to arī regulējuma izstrādei jāvadās no kriminālprocesa principiem par kuriem (kā minēts iepriekš) Ekonomikas ministrijai nav speciālo 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norādāms, ka identisks deleģējums ir ietverts likumprojektā "Grozījumi Elektronisko sakaru likumā" (25-TA-2565), norādot anotācijā, ka par Ministru kabineta noteikumu projekta izstrādi atbildīga ir Satiksmes ministrija. Ekonomikas ministrijas ieskatā nav lietderīgi uzdot diviem resoriem izstrādāt vienus noteikumus, tādā veidā radot neskaidrību par iestāžu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w:t>
            </w:r>
            <w:r w:rsidR="00000000" w:rsidRPr="00000000" w:rsidDel="00000000">
              <w:rPr>
                <w:u w:val="single"/>
                <w:rtl w:val="0"/>
              </w:rPr>
              <w:t xml:space="preserve">Ekonomikas ministrija lūdz paredzēt šī likumprojekta anotācijā un protokollēmumā, ka atbildīgā iestāde par minēto Ministru kabineta noteikumu projektu ir Tieslietu ministrija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(EM) ir atbildīgā institūcija par Informācijas sabiedrības pakalpojumu likuma izstrādi un piemērošanu, jo šis likums regulē informācijas sabiedrības pakalpojumu sniedzēju darbību Latvijā. Līdz ar to EM ir kompetenta  sagatavot un virzīt grozījumus ISPL, izstrādāt Ministru kabineta noteikumus, kas precizē lietotāju identifikācijas datu nodošanas kārtību, nodrošināt, ka regulējums ir saskaņots ar starptautiskajām saistībām (Konvencijas par kibernoziegumiem 18. panta 3. punkts un Otrā papildprotokola 3.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bez detalizētas procedūras nebūtu iespējams efektīvi un tiesiski piemērot Otro papildprotokolu. EM kā atbildīgā institūcija par ISPL ir kompetenta izstrādāt un virzīt šos noteikumus, nodrošinot gan starptautisko saistību izpildi, gan pamattiesību aizsardzību. Vienlaikus noteikumu izstrādē TM var tikt noteikta vadošā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7.2 un 7.3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pants. Informācijas izsniegšana kriminālprocesa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Starptautiskajos tiesību aktos noteiktajos gadījumos informācijas sabiedrības pakalpojumu sniedzējam, kura rīcībā atrodas informācijas sabiedrības pakalpojuma lietotāja dati, ir pienākums izpildīt ārvalsts tiesību aizsardzības iestāžu pieprasījumu kriminālprocesa mērķim. Ministru kabinets nosaka informācijas sabiedrības pakalpojumu lietotāju identifikācijas datu nodošanas kārtību ārvalsts tiesību aizsardzības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pants. Eiropas e-pierādījumu sniegšanas rīkojuma un Eiropas e-pierādījumu saglabāšanas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sabiedrības pakalpojumu sniedzējs, kas nodrošina iespēju tā pakalpojuma lietotājam sazināties savā starpā vai iespēju glabāt vai citādā veidā apstrādāt datus tā pakalpojuma lietotāja vārdā, kuriem pakalpojums tiek sniegts, ar noteikumu, ka datu glabāšana ir lietotājam sniegtā pakalpojuma pamatelements, izpilda Eiropas e-pierādījumu sniegšanas rīkojumus un Eiropas e-pierādījumu saglabāšanas rīkojumus  saskaņā ar Eiropas Parlamenta un Padomes 2023. gada 12. jūlija regulu (ES) 2023/1543 par Eiropas e-pierādījumu sniegšanas rīkojumiem un Eiropas e-pierādījumu saglabāšanas rīkojumiem e-pierādījumu gūšanai kriminālprocesā un brīvības atņemšanas sodu izpildei pēc kriminālprocesa.”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likumu ar 7.2 un 7.3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pants. Informācijas izsniegšana kriminālprocesa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Starptautiskajos tiesību aktos noteiktajos gadījumos informācijas sabiedrības pakalpojumu sniedzējam, kura rīcībā atrodas informācijas sabiedrības pakalpojuma lietotāja dati, ir pienākums izpildīt ārvalsts tiesību aizsardzības iestāžu pieprasījumu kriminālprocesa mērķim. Ministru kabinets nosaka informācijas sabiedrības pakalpojumu lietotāju identifikācijas datu nodošanas kārtību ārvalsts tiesību aizsardzības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pants. Eiropas e-pierādījumu sniegšanas rīkojuma un Eiropas e-pierādījumu saglabāšanas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sabiedrības pakalpojumu sniedzējs, kas nodrošina iespēju tā pakalpojuma lietotājam sazināties savā starpā vai iespēju glabāt vai citādā veidā apstrādāt datus tā pakalpojuma lietotāja vārdā, kuriem pakalpojums tiek sniegts, ar noteikumu, ka datu glabāšana ir lietotājam sniegtā pakalpojuma pamatelements, izpilda Eiropas e-pierādījumu sniegšanas rīkojumus un Eiropas e-pierādījumu saglabāšanas rīkojumus  saskaņā ar Eiropas Parlamenta un Padomes 2023. gada 12. jūlija regulu (ES) 2023/1543 par Eiropas e-pierādījumu sniegšanas rīkojumiem un Eiropas e-pierādījumu saglabāšanas rīkojumiem e-pierādījumu gūšanai kriminālprocesā un brīvības atņemšanas sodu izpildei pēc kriminālprocesa.”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likumprojekta anotācijā detalizētāk skaidrot Ministru kabinetam noteiktā deleģējuma mērķi, proti, kādēļ šāds noteikumu projekts ir nepieciešams, kādēļ ir nepieciešams ārējs normatīvs akts un kādēļ informācijas nodošana kriminālprocesa vajadzībām nevar efektīvi īstenota bez šādas kārtības. Papildus tam, lūdzam anotācijā aprakstīt, kāds būs šo Ministru kabineta noteikumu saturs, proti, ko konkrēti šajos noteikumos ir paredzēts regulēt.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grozījumu anotācijā norādīts, ka, grozījumi Informācijas sabiedrības pakalpojumu likumā, izstrādāti, lai ieviestu Otro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pants uzliek pienākumu informācijas sabiedrības pakalpojumu sniedzējiem izpildīt ārvalstu tiesību aizsardzības iestāžu pieprasījumus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likuma norma ir vispārīga, un praktiskai piemērošanai nepieciešams detalizēts regulējums. Tāpēc anotācijā pamatoti paredzēts deleģējums Ministru kabinetam izdot noteikumus, nosakot tajos pienākumu elektronisko sakaru pakalpojumu sniedzējiem nodot galalietotāju identifikācijas datus un informācijas sabiedrības pakalpojumu sniedzējiem nodot informācijas sabiedrības pakalpojumu lietotāju identifikācijas datus ārvalstu tiesību aizsardzības iestādēm kriminālprocesa mērķiem, kā arī kārtību, kādā ārvalsts tiesību aizsardzības iestādei tiek sniegta šī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7.2 un 7.3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pants. Informācijas izsniegšana kriminālprocesa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Starptautiskajos tiesību aktos noteiktajos gadījumos informācijas sabiedrības pakalpojumu sniedzējam, kura rīcībā atrodas informācijas sabiedrības pakalpojuma lietotāja dati, ir pienākums izpildīt ārvalsts tiesību aizsardzības iestāžu pieprasījumu kriminālprocesa mērķim. Ministru kabinets nosaka informācijas sabiedrības pakalpojumu lietotāju identifikācijas datu nodošanas kārtību ārvalsts tiesību aizsardzības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pants. Eiropas e-pierādījumu sniegšanas rīkojuma un Eiropas e-pierādījumu saglabāšanas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sabiedrības pakalpojumu sniedzējs, kas nodrošina iespēju tā pakalpojuma lietotājam sazināties savā starpā vai iespēju glabāt vai citādā veidā apstrādāt datus tā pakalpojuma lietotāja vārdā, kuriem pakalpojums tiek sniegts, ar noteikumu, ka datu glabāšana ir lietotājam sniegtā pakalpojuma pamatelements, izpilda Eiropas e-pierādījumu sniegšanas rīkojumus un Eiropas e-pierādījumu saglabāšanas rīkojumus  saskaņā ar Eiropas Parlamenta un Padomes 2023. gada 12. jūlija regulu (ES) 2023/1543 par Eiropas e-pierādījumu sniegšanas rīkojumiem un Eiropas e-pierādījumu saglabāšanas rīkojumiem e-pierādījumu gūšanai kriminālprocesā un brīvības atņemšanas sodu izpildei pēc kriminālprocesa.”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Aizstāt 21. pantā skaitli un vārdu “20.pantā” ar skaitļiem un vārdu “20. un 20.1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Informācijas sabiedrības pakalpojumu likumā ir noteikta šaura Valsts policijas kompetence, proti,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18.panta ceturtajai daļai sadarbojas ar Valsts drošības dienestu, lai Valsts drošības dienests sagatavotu un publicētu Eiropas Parlamenta un Padomes 2021.gada 29.aprīļa regula (ES) 2021/784 (2021. gada 29. aprīlis) par vēršanos pret teroristiska satura izplatīšanu tiešsaistē (turpmāk - regula Nr.  2021/784) 8. panta 1. punktā noteikto ziņojumu, kā arī apkopo un nosūta Eiropas Komisijai regulas Nr.  2021/784 21. panta 1. punktā, 22. un 23. pantā noteikto informāciju, ja nepieciešams, lūdzot mitināšanas pakalpojumu sniedzējus iesūtīt regulas Nr.  2021/784 7. pantā noteiktos pārredzamības ziņojumus. Vienlaikus Valsts policija, pamatojoties uz Valsts drošības dienesta sniegto informāciju, veic administratīvā pārkāpuma procesu par administratīvajiem pārkāpumiem teroristiskā satura izplatīšanas novēršanas jomā atbilstoši Informācijas sabiedrības pakalpojumu likuma 20. un 21.pantam.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Elektronisko sakaru likuma 9.panta pirmajai daļai Sabiedrisko pakalpojumu regulēšanas komisijai ir, piemēram, tādas funkcijas kā veikt elektronisko sakaru pakalpojumu tirgus definēšanu un analīzi, izskatīt pārrobežu strīdus, sadarboties ar citu valstu regulatoriem, Eiropas Savienības institūcijām, Eiropas Elektronisko sakaru regulatora iestādi (turpmāk — BEREC), citām starptautiskajām elektronisko sakaru nozares institūcijām un organizācijām. Vienlaikus atbilstoši Elektronisko sakaru likuma 9.panta ceturtajai daļai Sabiedrisko pakalpojumu regulēšanas komisija pēc pamatota pieprasījuma saņemšanas nodrošina, ka pieprasītā informācija, kas ir tā rīcībā, ir pieejama Eiropas Komisijai, BEREC un citu Eiropas Savienības dalībvalstu regulatoriem. Tāpat Sabiedrisko pakalpojumu regulēšanas komisija informē elektronisko sakaru komersantu par tā norādītās informācijas sniegšanu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Administratīvās atbildības likuma 115.panta pirmās daļas 31.punkts paredz, ka Sabiedrisko pakalpojumu regulēšanas komisijas amatpersonas ir tiesīgas veikt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Iekšlietu ministrijas iebildumu par ar likumprojektu saistītā likumprojekta “Grozījumi Kriminālprocesa likumā” (25-TA-2555) 7.pantā ietverto Kriminālprocesa likuma 918.panta otro daļu, kā arī ievērojot, ka atbilstoši Administratīvās atbildības likuma 115.panta pirmajai daļai Ģenerālprokuratūra nav tiesīga veikt administratīvā pārkāpuma procesu, Sabiedrisko pakalpojumu regulēšanas komisija būtu nosakāma par kompetento iestādi, kas veic administratīvā pārkāpuma procesu par likumprojekta 2.pantā ietverto Informācijas sabiedrības pakalpojuma likuma 20.</w:t>
            </w:r>
            <w:r w:rsidR="00000000" w:rsidRPr="00000000" w:rsidDel="00000000">
              <w:rPr>
                <w:vertAlign w:val="superscript"/>
                <w:rtl w:val="0"/>
              </w:rPr>
              <w:t xml:space="preserve">1</w:t>
            </w:r>
            <w:r w:rsidR="00000000" w:rsidRPr="00000000" w:rsidDel="00000000">
              <w:rPr>
                <w:rtl w:val="0"/>
              </w:rPr>
              <w:t xml:space="preserve">pantā ietverto administratīvo pārkāpumu par Eiropas e-pierādījumu sniegšanas rīkojuma un Eiropas e-pierādījumu saglabāšanas rīkojuma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izslēgt likumprojekta 3.pantu, kas paredz izdarīt grozījumu Informācijas sabiedrības pakalpojuma 21.pantā par skaitļa un vārda “20.pantā” aizstāšānu ar skaitļiem un vārdu “20. un 20.</w:t>
            </w:r>
            <w:r w:rsidR="00000000" w:rsidRPr="00000000" w:rsidDel="00000000">
              <w:rPr>
                <w:vertAlign w:val="superscript"/>
                <w:rtl w:val="0"/>
              </w:rPr>
              <w:t xml:space="preserve">1</w:t>
            </w:r>
            <w:r w:rsidR="00000000" w:rsidRPr="00000000" w:rsidDel="00000000">
              <w:rPr>
                <w:rtl w:val="0"/>
              </w:rPr>
              <w:t xml:space="preserve"> pantā”, vienlaikus nepieciešams papildināt likumprojektu ar jaunu pantu, kas paredzētu izdarīt attiecīgus grozījumus Informācijas sabiedrības pakalpojumu likumā, nosakot, ka Sabiedrisko pakalpojumu regulēšanas komisija ir kompetentā iestāde, kas veic administratīvā pārkāpuma procesu par Eiropas e-pierādījumu sniegšanas rīkojuma un Eiropas e-pierādījumu saglabāšanas rīkojuma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tika panākta vienošanās par Ģenerālprokuratūras noteikšanu par izpildiestādi regulas Nr.2023/1543 3.panta 17.punkta izpratnē un par Valsts policijas kompetenci  Regulas 16.panta 10.punktā paredzēto naudas sodu piemērošanu, ja adresāts nepilda savus pienākumus saskaņā ar atzītu Eiropas e-pierādījumu sniegšanas rīkojumu vai Eiropas e-pierādījumu saglabāšanas rīkojumu, kura izpildes nodrošināšanu ir apstiprinājusi izpildes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21. pantā skaitli un vārdu “20.pantā” ar skaitļiem un vārdu “20., 20.1 un 20.2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21.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šā likuma 20.2 pantā minēto pārkāpumu līdz administratīvā pārkāpuma lietas izskatīšanai veic Datu valsts inspekcija. Administratīvā pārkāpuma lietu izskata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likuma 21. panta otrajā daļā noteikt, ka administratīvā pārkāpuma procesu par šā likuma 20.</w:t>
            </w:r>
            <w:r w:rsidR="00000000" w:rsidRPr="00000000" w:rsidDel="00000000">
              <w:rPr>
                <w:vertAlign w:val="superscript"/>
                <w:rtl w:val="0"/>
              </w:rPr>
              <w:t xml:space="preserve">2</w:t>
            </w:r>
            <w:r w:rsidR="00000000" w:rsidRPr="00000000" w:rsidDel="00000000">
              <w:rPr>
                <w:rtl w:val="0"/>
              </w:rPr>
              <w:t xml:space="preserve"> pantā minēto pārkāpumu līdz administratīvā pārkāpuma lietas izskatīšanai veic Datu valsts inspekcija. Administratīvā pārkāpuma lietu izskata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iebilst par to, ka attiecībā uz likuma 20.</w:t>
            </w:r>
            <w:r w:rsidR="00000000" w:rsidRPr="00000000" w:rsidDel="00000000">
              <w:rPr>
                <w:vertAlign w:val="superscript"/>
                <w:rtl w:val="0"/>
              </w:rPr>
              <w:t xml:space="preserve">2</w:t>
            </w:r>
            <w:r w:rsidR="00000000" w:rsidRPr="00000000" w:rsidDel="00000000">
              <w:rPr>
                <w:rtl w:val="0"/>
              </w:rPr>
              <w:t xml:space="preserve"> pantā minēto pārkāpumu - par Eiropas e-pierādījumu sniegšanas rīkojuma un Eiropas e-pierādījumu saglabāšanas rīkojuma vai ar tiem saistīto datu konfidencialitātes, slepenības vai integritātes nenodrošināšanu, Inspekcija tiek noteikta par atbildīgo institūciju par administratīvā pārkāpuma lietas uzsākšanu un sagatavošanu izskatīšanai šādu apvērumu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E-pierādījumu regula nošķir gadījumus, kad ir piemērojama šī regula un tajā norādītie sodi, no gadījumiem, kad piemērojama Vispārīgā datu aizsardzības regula (turpmāk - Datu regula) un Direktīva (ES) 2016/680 un piemērojami sodi par nelikumīgām darbībām ar fiziskas personas datiem.  Eiropas e-pierādījumu sniegšanas rīkojuma un Eiropas e-pierādījumu saglabāšanas rīkojuma vai ar tiem saistīto datu konfidencialitātes, slepenības vai integritātes nodoršināšana  ir neatraujami saistīta ar darbībām, kas tiek veiktas konkrēta kriminālprocesa ietvaros, proti, minēto prasību neievērošanas sekas tieši ietekmē kriminālprocesu kā tādu (kriminālizmeklēšanas apdraudējums) un tikai konkrētā procesa virzītājs var izvērtēt, vai ir noticis attiecīgs pārkāpums un noteikt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jautājumi par informācijas sistēmu konfidencialitātes un integritātes nodoršināšanu un citi jautājumi kontekstā ar kiberdrošību nav Datu valsts inspekcijas kompetencē. Valsts policijā ir izveidota Kibernoziegumu apkarošanas pārvalde, kurā darbojas attiecīgās jomas speciālisti un var sniegt attiecīgu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Administratīvās atbildības likuma 46. panta pirmo daļu un 89. pantu pierādīšanas pienākums administratīvajā pārkāpuma procesā ir amatpersonai, kura atbilstoši normatīvajos aktos noteiktajai kompetencei veic administratīvā pārkāpuma procesu: uzsāk administratīvā pārkāpuma procesu, veic izmeklēšanas darbības, piemēro procesuālos piespiedu līdzekļus, pieņem lēmumu administratīvā pārkāpuma lietā. Ņemot vērā minēto, un, pamatojoties uz procesuālās ekonomijas principu, Inspekcijas skatījumā, visas minētās procesuālās darbības būtu jāveic vienai amatpersonai Valsts policijā. Vienas lietas izskatīšanas dalīšana uz divām institūcijām veido sadrumstalotību procesa norisē, dažādu normu piemērošans interpretāciju un vairo birokrātisko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likumprojekta 4. pantu un tajā noteikto Inspekcijas kompetenci savākt pieradījumus, un papildināt likumprojekta 3. pantu ar atsauci uz likuma 22.</w:t>
            </w:r>
            <w:r w:rsidR="00000000" w:rsidRPr="00000000" w:rsidDel="00000000">
              <w:rPr>
                <w:vertAlign w:val="superscript"/>
                <w:rtl w:val="0"/>
              </w:rPr>
              <w:t xml:space="preserve">2</w:t>
            </w:r>
            <w:r w:rsidR="00000000" w:rsidRPr="00000000" w:rsidDel="00000000">
              <w:rPr>
                <w:rtl w:val="0"/>
              </w:rPr>
              <w:t xml:space="preserve"> pantu, kā arī attiecīgi precizēt likumprojekta anotācijā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atzīts par pamatotu, ka administratīvā pārkāpuma procesa veikšanai par 20.2.pantā paredzēto administratīvo pārkāpumu ir nosakāma Patērētāju tiesību aizsardzības centra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Informācijas sabiedrības pakalpojumu likuma (turpmāk – ISPL) 12., 14., 15., 19.¹, 11.¹ un 11.² pantos noteiktās PTAC uzraudzības un kontroles funkcijas, kā arī Administratīvās atbildības likuma 115. panta pirmās daļas 19. punktā noteikto, ka PTAC amatpersonas ir tiesīgas veikt administratīvā pārkāpuma procesu, PTAC nosakāms par kompetento iestādi administratīvā pārkāpuma procesa veikšanai par ISPL 20.² panta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ISPL normām PTAC ir piešķirtas uzraudzības, kontroles un procesuālās pilnvaras digitālo pakalpojumu tirgū, kas aptver arī tiešsaistes starpniecības platformu darbību un citu informācijas sabiedrības pakalpojumu sniedzēju atbilstības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(ES) 2023/1543 13. panta 4. punkts nosaka adresātu un pakalpojumu sniedzēju pienākumu ieviest vismodernākos organizatoriskos un tehniskos pasākumus, lai nodrošinātu EPOC/EPOC‑PR un sniegto vai saglabāto datu konfidencialitāti, slepenību un integritāti. Šo pasākumu ieviešana ir priekšnoteikums, lai pakalpojuma sniedzējs varētu darboties Eiropas Savienības un līdz ar to arī Latvijas tirgū. Datu aizsardzības neievērošana ir tiešas sekas tam, ka pakalpojuma sniedzējs nav izpildījis Regulas prasības veikt šos modernākos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minētie pienākumi ir strukturāli saistīti ar informācijas sabiedrības pakalpojumu sniegšanu, to uzraudzība pēc būtības ietilpst PTAC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21.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šā likuma 20.2 pantā minēto pārkāpumu līdz administratīvā pārkāpuma lietas izskatīšanai veic Datu valsts inspekcija. Administratīvā pārkāpuma lietu izskata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ietvertā Informācijas sabiedrības pakalpojumu likuma 21.panta piektā daļa paredz, ka administratīvā pārkāpuma procesu par likumprojekta 2.pantā ietverto Informācijas sabiedrības pakalpojumu likuma 20.</w:t>
            </w:r>
            <w:r w:rsidR="00000000" w:rsidRPr="00000000" w:rsidDel="00000000">
              <w:rPr>
                <w:vertAlign w:val="superscript"/>
                <w:rtl w:val="0"/>
              </w:rPr>
              <w:t xml:space="preserve">2</w:t>
            </w:r>
            <w:r w:rsidR="00000000" w:rsidRPr="00000000" w:rsidDel="00000000">
              <w:rPr>
                <w:rtl w:val="0"/>
              </w:rPr>
              <w:t xml:space="preserve">pantā minēto pārkāpumu līdz administratīvā pārkāpuma lietas izskatīšanai veic Datu valsts inspekcija, savukārt administratīvā pārkāpuma lietu izskata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datu apstrādes likuma 3.panta pirmo daļu Datu valsts inspekcija ir Ministru kabineta pārraudzībā esoša tiešās pārvaldes iestāde, kas ir datu uzraudzības iestāde datu regulas izpratnē un pilda datu regulā un šajā likumā noteiktos uzdevumus datu apstrādes jomā. Datu valsts inspekcija atbilstoši Fizisko personu datu apstrādes likuma 4.panta pirmajai daļai pilda Vispārīgās datu aizsardzības regulas 57.pantā noteiktos uzdevumus, kā arī, piemēram, uzrauga datu apstrādes atbilstību normatīvo aktu prasībām. Līdz ar to Datu valsts inspekcija ir kompetentā iestāde, kas var izvērtēt un izskatīt jautājumus, kas saistīti ar datu apstrādes pārkāpumiem, tostarp par informācijas sabiedrības pakalpojumu sniedzēju pārkāpumiem saistībā ar datu konfidencialitātes, slepenības vai integritātes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Fizisko personu datu apstrādes likuma 5.panta pirmās daļas 2.punktam un Administratīvās atbildības likuma pirmās daļas 4.punktam Datu valsts inspekcijas ir tiesīga veikt administratīvā pārkāpuma procesu. Ņemot vērā minēto, Datu valsts inspekcijai ir kompetence ne tikai veikt administratīvā pārkāpuma procesu līdz lietas izskatīšanai, bet arī izskatīt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likumprojekta 4.pantā ietverto Informācijas sabiedrības pakalpojumu likuma 21.panta otro daļu, paredzot, ka Datu valsts inspekcija arī izskata administratīvā pārkāpuma procesu par likumprojekta 2.pantā ietverto Informācijas sabiedrības pakalpojumu likuma 20.</w:t>
            </w:r>
            <w:r w:rsidR="00000000" w:rsidRPr="00000000" w:rsidDel="00000000">
              <w:rPr>
                <w:vertAlign w:val="superscript"/>
                <w:rtl w:val="0"/>
              </w:rPr>
              <w:t xml:space="preserve">2</w:t>
            </w:r>
            <w:r w:rsidR="00000000" w:rsidRPr="00000000" w:rsidDel="00000000">
              <w:rPr>
                <w:rtl w:val="0"/>
              </w:rPr>
              <w:t xml:space="preserve"> pantā minēto pārkāpumu.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atzīts par pamatotu, ka administratīvā pārkāpuma procesa veikšanai par 20.2.pantā paredzēto administratīvo pārkāpumu ir nosakāma Patērētāju tiesību aizsardzības centra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Informācijas sabiedrības pakalpojumu likuma (turpmāk – ISPL) 12., 14., 15., 19.¹, 11.¹ un 11.² pantos noteiktās PTAC uzraudzības un kontroles funkcijas, kā arī Administratīvās atbildības likuma 115. panta pirmās daļas 19. punktā noteikto, ka PTAC amatpersonas ir tiesīgas veikt administratīvā pārkāpuma procesu, PTAC nosakāms par kompetento iestādi administratīvā pārkāpuma procesa veikšanai par ISPL 20.² panta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ISPL normām PTAC ir piešķirtas uzraudzības, kontroles un procesuālās pilnvaras digitālo pakalpojumu tirgū, kas aptver arī tiešsaistes starpniecības platformu darbību un citu informācijas sabiedrības pakalpojumu sniedzēju atbilstības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(ES) 2023/1543 13. panta 4. punkts nosaka adresātu un pakalpojumu sniedzēju pienākumu ieviest vismodernākos organizatoriskos un tehniskos pasākumus, lai nodrošinātu EPOC/EPOC‑PR un sniegto vai saglabāto datu konfidencialitāti, slepenību un integritāti. Šo pasākumu ieviešana ir priekšnoteikums, lai pakalpojuma sniedzējs varētu darboties Eiropas Savienības un līdz ar to arī Latvijas tirgū. Datu aizsardzības neievērošana ir tiešas sekas tam, ka pakalpojuma sniedzējs nav izpildījis Regulas prasības veikt šos modernākos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minētie pienākumi ir strukturāli saistīti ar informācijas sabiedrības pakalpojumu sniegšanu, to uzraudzība pēc būtības ietilpst PTAC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15. panta 1. punkts uzliek dalībvalstīm pienākumu piemērot efektīvus un atturošus naudas sodus par 13. panta 4. punkta prasību pārkāpumiem, tostarp līdz 2 % no pakalpojumu sniedzēja globālā apgrozījuma. Šādas sankcijas efektīvi var piemērot tieši PTAC, kurai ir atbilstoša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kompetence ir personas datu aizsardzības uzraudzība, un tā iestājas tikai tad, ja konkrētais pārkāpums vienlaikus ir arī personas datu apstrādes pārkāpums (GDPR). Tomēr Regulas 13. panta 4. punkts attiecas arī uz nepersoniskiem datiem un vispārēju tehnisko drošību, kas ietilpst PTAC  uzraudzības sfērā.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papildināt 21. pantu ar jaunu otro daļu, paredzot, ka  administratīvā pārkāpuma procesu par šā likuma 20.2 pantā minētajiem pārkāpumiem veic PTAC.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iebildumu par ar likumprojektu saistītā likumprojekta “Grozījumi Kriminālprocesa likumā” (25-TA-2555) 7.pantā ietverto Kriminālprocesa likuma 918.panta otro daļu, ka par izpildes iestādi Eiropas Parlamenta un Padomes 2023.gada 12.jūlija regulas (ES) 2023/1543 par Eiropas e-pierādījumu sniegšanas rīkojumiem un Eiropas e-pierādījumu saglabāšanas rīkojumiem e-pierādījumu gūšanai kriminālprocesā un brīvības atņemšanas sodu izpildei pēc kriminālprocesa  3.panta 17.punkta izpratnē ir nosakāma nevis Valsts policija, bet Ģenerālprokuratūra, kā arī, ņemot vērā Iekšlietu ministrijas iebildumus par likumprojekta 3. un 4.pantu, nepieciešams attiecīgi precizēt likumprojekta sākotnējās ietekmes (ex-ante) novērtējuma ziņojuma (anotācijas) (turpmāk – anotācija) 1.3.punktā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likumprojekta sākotnējās ietekmes (ex-ante) novērtējuma ziņojuma (anotācijas) (turpmāk – anotācija) 1.3.punktā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7.1.apakšpunktā ir norādīts, ka viena no likumprojekta izpildē iesaistītajām institūcijām ir Iekšlietu ministrija. Vēršam uzmanību, ka atbilstoši Ministru kabineta 2020.gada 22.septembra noteikumu Nr.589 “Iekšlietu ministrijas nolikums” 4.1.apakšpunktam Iekšlietu ministrija izstrādāt, organizēt un koordinēt politiku tādās jomās kā sabiedriskā kārtība un drošība, valsts robežas drošība, noziedzības novēršana un apkarošana, civilā aizsardzība, ugunsdrošība, ugunsdzēsība un glābšana, pilsonība, iedzīvotāju uzskaite un dokumentēšana, migrācija. Tāpat, ņemot vērā minēto un likumprojektā noteikto, Iekšlietu ministrija nav iesaistīta nevienā no likumprojektā ietverto tiesību normu praktiskajā īstenošanā. nesatur nevienu tiesību normu, kuras izpildē varētu būt iesaistīta Iekšlietu ministrija. Līdz ar to nepieciešams precizēt likumprojekta anotācijas 7.1.apakšpunktā norādīto institūciju uzskaitījuma izslēgt vārdus "Iekšlietu ministrija". Tāpat, ņemot vērā Iekšlietu ministrijas iebildumus par likumprojekta likumprojekta 3. un 4.pantu, nepieciešams no likumprojekta anotācijas 7.1.apakšpunktā norādīto institūciju uzskaitījuma izslēgt vārdus "Valsts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daļā, kas attiecas uz likumprojekta anotācijas 7.1.apakšpunktu, no  norādīto institūciju uzskaitījuma izslēgt vārdus "Valsts policija”, saskaņošanas sanāksmē tika panākta vienošanās par Ģenerālprokuratūras noteikšanu par izpildiestādi regulas Nr.2023/1543 3.panta 17.punkta izpratnē un par Valsts policijas kompetenci  Regulas 16.panta 10.punktā paredzēto naudas sodu piemērošanu, ja adresāts nepilda savus pienākumus saskaņā ar atzītu Eiropas e-pierādījumu sniegšanas rīkojumu vai Eiropas e-pierādījumu saglabāšanas rīkojumu, kura izpildes nodrošināšanu ir apstiprinājusi izpildes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precizēt likumprojekta anotācijas 7.1.apakšpunktā norādīto institūciju uzskaitījumu, no tā izslēdzot vārdus "Iekšlietu ministrija",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regulējums paredz personas datu apstrādi, lūdzam aizpildīt anotācijas 8.1.13. apakšpunktu ar informāciju par likumprojekta ietekmi uz personas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aizpildīšanu ierosinām veikt atbilstoši Valsts kancelejas vadlīniju "Vadlīnijas tiesību akta projekta sākotnējās ietekmes novērtēšanai un novērtējuma ziņojuma sagatavošanai vienotajā tiesību aktu izstrādes un saskaņošanas portālā"  sadaļas  "Ietekme uz datu aizsardzību" prasībām, kā arī skaidri nodalīt, kad personas datu apstrāde tiks veikta balstoties uz E-pierādījumu regulas prasībām un kad uz Datu regulas vai likuma "Par fizisko personu datu apstrādi kriminālprocesā un administratīvā pārkāpuma procesā", norādot konkrētas normas,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8.1.13. apakšpunkts tiks precizēts atbilstoši Valsts kancelejas vadlīniju "Vadlīnijas tiesību akta projekta sākotnējās ietekmes novērtēšanai un novērtējuma ziņojuma sagatavošanai vienotajā tiesību aktu izstrādes un saskaņošanas portālā"  sadaļas  "Ietekme uz datu aizsardzību" prasībām, kā arī tiks skaidri nodalīts, kad personas datu apstrāde tiks veikta balstoties uz E-pierādījumu regulas prasībām un kad uz Datu regulas vai likuma "Par fizisko personu datu apstrādi kriminālprocesā un administratīvā pārkāpuma procesā", norādot konkrētas normas,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likumu ar 7.2 un 7.3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pants. Informācijas izsniegšana kriminālprocesa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Starptautiskajos tiesību aktos noteiktajos gadījumos informācijas sabiedrības pakalpojumu sniedzējam, kura rīcībā atrodas informācijas sabiedrības pakalpojuma lietotāja dati, ir pienākums izpildīt ārvalsts tiesību aizsardzības iestāžu pieprasījumu kriminālprocesa mērķim. Ministru kabinets nosaka informācijas sabiedrības pakalpojumu lietotāju identifikācijas datu nodošanas kārtību ārvalsts tiesību aizsardzības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pants. Eiropas e-pierādījumu sniegšanas rīkojuma un Eiropas e-pierādījumu saglabāšanas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sabiedrības pakalpojumu sniedzējs, kas nodrošina iespēju tā pakalpojuma lietotājam sazināties savā starpā vai iespēju glabāt vai citādā veidā apstrādāt datus tā pakalpojuma lietotāja vārdā, kuriem pakalpojums tiek sniegts, ar noteikumu, ka datu glabāšana ir lietotājam sniegtā pakalpojuma pamatelements, izpilda Eiropas e-pierādījumu sniegšanas rīkojumus un Eiropas e-pierādījumu saglabāšanas rīkojumus  saskaņā ar Eiropas Parlamenta un Padomes 2023. gada 12. jūlija regulu (ES) 2023/1543 par Eiropas e-pierādījumu sniegšanas rīkojumiem un Eiropas e-pierādījumu saglabāšanas rīkojumiem e-pierādījumu gūšanai kriminālprocesā un brīvības atņemšanas sodu izpildei pēc kriminālprocesa.”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7.</w:t>
            </w:r>
            <w:r w:rsidR="00000000" w:rsidRPr="00000000" w:rsidDel="00000000">
              <w:rPr>
                <w:vertAlign w:val="superscript"/>
                <w:rtl w:val="0"/>
              </w:rPr>
              <w:t xml:space="preserve">3</w:t>
            </w:r>
            <w:r w:rsidR="00000000" w:rsidRPr="00000000" w:rsidDel="00000000">
              <w:rPr>
                <w:rtl w:val="0"/>
              </w:rPr>
              <w:t xml:space="preserve"> pantu pārskatāmāk (viennozīmīgāk) (piemēram, kā tas ir Regulas 2023/1543  3.panta 3.punkta "c" apakšpunktā) vai īsāk (jo Regulas teksts ir tieši piemērojams). Šobrīd, lasot to vienā garā rindkopā, paveras iespēja neviennozīmīgi interpretēt - attiecināt teksta daļu "ar noteikumu, ka datu glabāšana ir lietotājam sniegtā pakalpojuma pamatelements" gan uz saziņas pakalpojumiem, gan datu glabāšanas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 </w:t>
            </w:r>
            <w:r w:rsidR="00000000" w:rsidRPr="00000000" w:rsidDel="00000000">
              <w:rPr>
                <w:rtl w:val="0"/>
              </w:rPr>
              <w:t xml:space="preserve">pants. Eiropas e-pierādījumu sniegšanas rīkojuma un Eiropas e-pierādījumu saglabāšanas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sabiedrības pakalpojumu sniedzējs, kas nodrošina iespēju tā pakalpojuma lietotājam sazināties savā starpā vai iespēju glabāt vai citādā veidā apstrādāt datus, izpilda Eiropas e-pierādījumu sniegšanas rīkojumus un Eiropas e-pierādījumu saglabāšanas rīkojumus  saskaņā ar Eiropas Parlamenta un Padomes 2023. gada 12. jūlija regulu (ES) 2023/1543 par Eiropas e-pierādījumu sniegšanas rīkojumiem un Eiropas e-pierādījumu saglabāšanas rīkojumiem e-pierādījumu gūšanai kriminālprocesā un brīvības atņemšanas sodu izpildei pēc kriminālprocesa.”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pants. Eiropas e-pierādījumu sniegšanas rīkojuma un Eiropas e-pierādījumu saglabāšanas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sabiedrības pakalpojumu sniedzējs, kas nodrošina lietotājiem iespēju sazināties savā starpā vai glabāt vai apstrādāt datus lietotāja vārdā, ja datu glabāšana ir pakalpojuma būtiska sastāvdaļa, izpilda Eiropas e-pierādījumu sniegšanas rīkojumus un Eiropas e-pierādījumu saglabāšanas rīkojumus  saskaņā ar Eiropas Parlamenta un Padomes 2023. gada 12. jūlija regulu (ES) 2023/1543 par Eiropas e-pierādījumu sniegšanas rīkojumiem un Eiropas e-pierādījumu saglabāšanas rīkojumiem e-pierādījumu gūšanai kriminālprocesā un brīvības atņemšanas sodu izpildei pēc kriminālprocesa.”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secināts, ka likumprojekta 7.3 panta redakcija, kura izstrādāta un saskaņota Tieslietu ministrijas Kriminālprocesa likuma C daļas darba grupā, pilnībā atbilst Regulas 3.panta 3.punkta c) apakšpunktā ietvertajai definīcijai  - (citi informācijas sabiedrības pakalpojumi, kā minēts Direktīvas (ES) 2015/1535 1. panta 1. punkta b) apakšpunktā un kas nodrošina: i) iespēju to lietotājiem sazināties savā starpā; vai ii) iespēju glabāt vai citādā veidā apstrādāt datus to lietotāju vārdā, kuriem pakalpojums tiek sniegts, ar noteikumu, ka datu glabāšana ir lietotājam sniegtā pakalpojuma pamatelements).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piedāvātās redakcijas, secināts, ka tās neatbilst minētājā Regulas pantā ietvertajam subjekta uz kuru attiecas Regulā noteiktais izpildes pienākums definīcijas tvērumam. Regula ir tieši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7.2 un 7.3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pants. Informācijas izsniegšana kriminālprocesa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Starptautiskajos tiesību aktos noteiktajos gadījumos informācijas sabiedrības pakalpojumu sniedzējam, kura rīcībā atrodas informācijas sabiedrības pakalpojuma lietotāja dati, ir pienākums izpildīt ārvalsts tiesību aizsardzības iestāžu pieprasījumu kriminālprocesa mērķim. Ministru kabinets nosaka informācijas sabiedrības pakalpojumu lietotāju identifikācijas datu nodošanas kārtību ārvalsts tiesību aizsardzības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pants. Eiropas e-pierādījumu sniegšanas rīkojuma un Eiropas e-pierādījumu saglabāšanas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sabiedrības pakalpojumu sniedzējs, kas nodrošina iespēju tā pakalpojuma lietotājam sazināties savā starpā vai iespēju glabāt vai citādā veidā apstrādāt datus tā pakalpojuma lietotāja vārdā, kuriem pakalpojums tiek sniegts, ar noteikumu, ka datu glabāšana ir lietotājam sniegtā pakalpojuma pamatelements, izpilda Eiropas e-pierādījumu sniegšanas rīkojumus un Eiropas e-pierādījumu saglabāšanas rīkojumus  saskaņā ar Eiropas Parlamenta un Padomes 2023. gada 12. jūlija regulu (ES) 2023/1543 par Eiropas e-pierādījumu sniegšanas rīkojumiem un Eiropas e-pierādījumu saglabāšanas rīkojumiem e-pierādījumu gūšanai kriminālprocesā un brīvības atņemšanas sodu izpildei pēc kriminālprocesa.”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7.3 pants par Eiropas e-pierādījumu sniegšanas rīkojuma un Eiropas e-pierādījumu saglabāšanas rīkojuma izpildi, kā arī likuma 20.1 un 20.2 pants un grozījums likuma 21. pantā par administratīvās atbildības noteikšanu par Eiropas e-pierādījumu sniegšanas rīkojuma un Eiropas e-pierādījumu saglabāšanas rīkojuma neizpildi stājas spēkā 2026. gada 18.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Informācijas sabiedrības pakalpojumu likuma pārejas noteikumu 2.punkts paredz, ka grozījums Informācijas sabiedrības pakalpojumu likuma 21.pantā par administratīvās atbildības noteikšanu par Eiropas e-pierādījumu sniegšanas rīkojuma un Eiropas e-pierādījumu saglabāšanas rīkojuma neizpildi stāsies spēkā 2026.gada 18.augustā. Vēršam uzmanību, ka likumprojekta 4.pants paredz papildināt Informācijas sabiedrības pakalpojumu likuma 21.pantu ar otro daļu, kas paredz administratīvās atbildības noteikšanu par likumprojekta 2.pantā ietverto Informācijas sabiedrības pakalpojumu likumā 20.</w:t>
            </w:r>
            <w:r w:rsidR="00000000" w:rsidRPr="00000000" w:rsidDel="00000000">
              <w:rPr>
                <w:vertAlign w:val="superscript"/>
                <w:rtl w:val="0"/>
              </w:rPr>
              <w:t xml:space="preserve">2</w:t>
            </w:r>
            <w:r w:rsidR="00000000" w:rsidRPr="00000000" w:rsidDel="00000000">
              <w:rPr>
                <w:rtl w:val="0"/>
              </w:rPr>
              <w:t xml:space="preserve">pantā ietverto administratīvo pārkāpumu par Eiropas e-pierādījumu sniegšanas rīkojuma un Eiropas e-pierādījumu saglabāšanas rīkojuma vai ar tiem saistīto datu konfidencialitātes, slepenības vai integritātes nenodrošināšanu.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vai likumprojektā ietvertajā Informācijas sabiedrības pakalpojumu likuma pārejas noteikumu 2.punktā nav nepieciešams noteikt, ka arī likumprojekta 4.pantā ietvertā Informācijas sabiedrības pakalpojumu likuma 21.pantu ar otrā daļa stājas spēkā 2026.gada 18.augustā. Nepieciešamības gadījumā attiecīgi aicinām precizēt likumprojektā ietvertā Informācijas sabiedrības pakalpojumu likuma pārejas noteikumu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precizēt likumprojektā 4.pantā ietvertā Informācijas sabiedrības pakalpojumu likuma pārejas noteikumu 2. punktu, un noteikt, ka arī likumprojekta 4.pantā ietvertā Informācijas sabiedrības pakalpojumu likuma 21.panta otrā daļa stājas spēkā 2026.gada 18.augustā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7.3 pants par Eiropas e-pierādījumu sniegšanas rīkojuma un Eiropas e-pierādījumu saglabāšanas rīkojuma izpildi, kā arī likuma 20.1 un 20.2 pants un grozījums likuma 21. pantā par administratīvās atbildības noteikšanu par Eiropas e-pierādījumu sniegšanas rīkojuma un Eiropas e-pierādījumu saglabāšanas rīkojuma neizpildi stājas spēkā 2026. gada 18.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anotācijas 1. sadaļā norādīto naudas soda apmēru, atsaucoties uz E- pierādījumu regulas 15. panta 1.punktu, jo pašlaik anotācijā dažādās vietās norādīts atšķirīgs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norādītais naudas soda apmērs precizēts, atbilstoši E- pierādījumu regulas 15. panta 1.punktam “līdz 2%”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Konsekvences nolūkos aicinām tekstā atrunāt atsauci uz Eiropas Padomes 2001. gada 23. novembra Konvenciju par kibernoziegumiem.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Atrunāta atsauce uz Eiropas Padomes 2001. gada 23. novembra Konvenciju par kibernoziegumiem (turpmāk – Konvencija par kibernoziegumiem)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par ISPL 20.</w:t>
            </w:r>
            <w:r w:rsidR="00000000" w:rsidRPr="00000000" w:rsidDel="00000000">
              <w:rPr>
                <w:vertAlign w:val="superscript"/>
                <w:rtl w:val="0"/>
              </w:rPr>
              <w:t xml:space="preserve">1</w:t>
            </w:r>
            <w:r w:rsidR="00000000" w:rsidRPr="00000000" w:rsidDel="00000000">
              <w:rPr>
                <w:rtl w:val="0"/>
              </w:rPr>
              <w:t xml:space="preserve"> pantu izteiktā doma nav skaidra, kā arī grūti uztverama bez Regulas 3.panta 3.punkta "c" apakšpunktā izmantotā iedalījuma. Ierosinām to izteikt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ISPL 20.</w:t>
            </w:r>
            <w:r w:rsidR="00000000" w:rsidRPr="00000000" w:rsidDel="00000000">
              <w:rPr>
                <w:vertAlign w:val="superscript"/>
                <w:rtl w:val="0"/>
              </w:rPr>
              <w:t xml:space="preserve">1</w:t>
            </w:r>
            <w:r w:rsidR="00000000" w:rsidRPr="00000000" w:rsidDel="00000000">
              <w:rPr>
                <w:rtl w:val="0"/>
              </w:rPr>
              <w:t xml:space="preserve"> panta gadījumā </w:t>
            </w:r>
            <w:r w:rsidR="00000000" w:rsidRPr="00000000" w:rsidDel="00000000">
              <w:rPr>
                <w:b w:val="1"/>
                <w:u w:val="single"/>
                <w:rtl w:val="0"/>
              </w:rPr>
              <w:t xml:space="preserve">pienākums attiecināms uz</w:t>
            </w:r>
            <w:r w:rsidR="00000000" w:rsidRPr="00000000" w:rsidDel="00000000">
              <w:rPr>
                <w:rtl w:val="0"/>
              </w:rPr>
              <w:t xml:space="preserve"> – </w:t>
            </w:r>
            <w:r w:rsidR="00000000" w:rsidRPr="00000000" w:rsidDel="00000000">
              <w:rPr>
                <w:b w:val="1"/>
                <w:u w:val="single"/>
                <w:rtl w:val="0"/>
              </w:rPr>
              <w:t xml:space="preserve">ISPL 1.panta pirmās daļas 2.punkta izpratnē minētajiem informācijas sabiedrības pakalpojumu sniedzējiem</w:t>
            </w:r>
            <w:r w:rsidR="00000000" w:rsidRPr="00000000" w:rsidDel="00000000">
              <w:rPr>
                <w:rtl w:val="0"/>
              </w:rPr>
              <w:t xml:space="preserve"> tiktāl, ciktāl šis informācijas sabiedrības pakalpojums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w:t>
            </w:r>
            <w:r w:rsidR="00000000" w:rsidRPr="00000000" w:rsidDel="00000000">
              <w:rPr>
                <w:rtl w:val="0"/>
              </w:rPr>
              <w:t xml:space="preserve"> iespēju to lietotājiem sazināties savā starpā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b)</w:t>
            </w:r>
            <w:r w:rsidR="00000000" w:rsidRPr="00000000" w:rsidDel="00000000">
              <w:rPr>
                <w:rtl w:val="0"/>
              </w:rPr>
              <w:t xml:space="preserve"> iespēju glabāt vai citādā veidā apstrādāt datus to lietotāju vārdā, kuriem pakalpojums tiek sniegts, ar noteikumu, ka datu glabāšana ir lietotājam sniegtā pakalpojuma pamatelements.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secināts, ka likumprojekta 7.3 panta redakcija, kura izstrādāta un saskaņota Tieslietu ministrijas Kriminālprocesa likuma C daļas darba grupā, pilnībā atbilst Regulas 3.panta 3.punkta c) apakšpunktā ietvertajai definīcijai  - (citi informācijas sabiedrības pakalpojumi, kā minēts Direktīvas (ES) 2015/1535 1. panta 1. punkta b) apakšpunktā un kas nodrošina: i) iespēju to lietotājiem sazināties savā starpā; vai ii) iespēju glabāt vai citādā veidā apstrādāt datus to lietotāju vārdā, kuriem pakalpojums tiek sniegts, ar noteikumu, ka datu glabāšana ir lietotājam sniegtā pakalpojuma pamatelements).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piedāvātās redakcijas, secināts, ka tās neatbilst minētājā Regulas pantā ietvertajam subjekta uz kuru attiecas Regulā noteiktais izpildes pienākums definīcijas tvērumam. Regula ir tieši piemērojama.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konvencijas nosaukums ir iepriekš anotācijā atrunāts kā “Otrais papildprotokols”, aicinām šādu formulējumu izmantot arī 4.1.1.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Amotācijas tekstā atrunāts konvencijas nosaukums  “Otrais papildu protokols”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iepriekš izmantoto atrunu, aicinām konsekventi izmantot “Otrais papildprotokols”.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Amotācijas tekstā atrunāts konvencijas nosaukums  “Otrais papildu protokols”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25-TA-2567</w:t>
    </w:r>
    <w:r>
      <w:br/>
    </w:r>
    <w:r w:rsidR="00000000" w:rsidRPr="00000000" w:rsidDel="00000000">
      <w:rPr>
        <w:rtl w:val="0"/>
      </w:rPr>
      <w:t xml:space="preserve">26.06.2026. 17.52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25-TA-2567</w:t>
    </w:r>
    <w:r>
      <w:br/>
    </w:r>
    <w:r w:rsidR="00000000" w:rsidRPr="00000000" w:rsidDel="00000000">
      <w:rPr>
        <w:rtl w:val="0"/>
      </w:rPr>
      <w:t xml:space="preserve">26.06.2026. 17.52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Izziņa_25-TA-2567.docx</dc:title>
</cp:coreProperties>
</file>

<file path=docProps/custom.xml><?xml version="1.0" encoding="utf-8"?>
<Properties xmlns="http://schemas.openxmlformats.org/officeDocument/2006/custom-properties" xmlns:vt="http://schemas.openxmlformats.org/officeDocument/2006/docPropsVTypes"/>
</file>