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23-TA-3008: Cits plānošanas dokumenta (grozījumu) projekts (Groza ar plānošanas dokumentu)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16. novembra rīkojumā Nr. 841 "Par Eiropas Savienības kohēzijas politikas programmu 2021.–2027.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Atbalstīt Eiropas Savienības kohēzijas politikas programmas 2021.–2027. gadam konsolidēto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Satiksmes ministrija (turpmāk – SM) atbilstoši Finanšu ministrijas (turpmāk – FM) 2023. gada 27. oktobra vēstulei Nr. 5.1-24/21/3230 “Par iespēju posmot ES fondu 2014.–2020. gada plānošanas perioda projektus” 2023.gada 8.novembrī iesniedza FM informāciju par projektiem, kurus paredz pilnībā vai daļēji pārcelt finansēšanai ES fondu 2021.–2027. gada plānošanas perioda ietvaros, pārstrukturējot transporta jomai piešķirto finansējumu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identificētos riskus nepabeigt projektus īstenošanu līdz 2023.gada 31.decembrim, ir paredzēts daļēji pārcelt finansēšanai ES fondu 2021.–2027. gada plānošanas periodā projektus dzelzceļa jomā un projektu par 23 jaunu elektrovilcienu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plānots pilnībā pārcelt no Atveseļošanas fonda projektu par bezemisiju vilcienu iegādi finansēšanai ES fondu 2021.–2027. gada plānošanas perioda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paredzēts visu vai daļu no valsts budžeta finansētajām deviņu elektrovilcienu iegādes izmaksām pārcelt finansēšanai Programmas 2021.–2027.gadam ietvaros, ievērojot 2023.gada 26.septembra MK sēdes protokollēmuma (prot.Nr.47, 43.§) 4.2.apakšpunktu.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ievērojamo paredzēto pārstrukturējamo investīciju apjomu, kas būtiski ietekmēs plānošanas dokumentos paredzēto transporta nozares mērķu sasniegšanu, samazinot vai pilnībā noņemot Programmas 2021.-2027.gadam ES fondu finansējumu citiem transporta nozares prioritāriem projektiem, SM informēja FM, ka nav paredzēts pārcelt citas ES fondu 2014.–2020. gada plānošanas perioda īstenojamās investīcijas, tostarp tramvaja infrastruktūras attīstības investīcijas, finansēšanai ES fondu 2021.–2027.gada plānošanas perioda ietvaros, un Programmā 2021.–2027.gadam nav paredzēts izveidot jaunu specifiskā atbalsta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FM 2023.gada 15.novembra vēstuli “Par grozījumu Eiropas Savienības kohēzijas politikas programmā 2021.–2027.gadam saskaņošanu projektu posmošanas risinājumam”, SM 2023.gada 28.novembrī atkārtoti informēja FM, ka nav paredzēts pārcelt citas ES fondu 2014.–2020. gada plānošanas perioda īstenojamās investīcijas, tostarp tramvaja infrastruktūras attīstības investīcijas, finansēšanai ES fondu 2021.–2027.gada plānošanas perioda ietvaros, un Programmā 2021.–2027.gadam nav paredzēts izveidot jaunu specifiskā atbalsta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SM 2023.gada 23. un 27.novembrī ir organizējusi sanāksmi par Rīgā un Daugavpilī īstenoto tramvaja infrastruktūras attīstības projektu aktuālo progresu. Rīgas pašvaldības SIA “Rīgas satiksme” ir apliecinājusi iepriekš (28.06.2023.) sniegto gatavību Rīgā īstenoto tramvaja infrastruktūras attīstības projektu pilnībā pabeigt pēc 2023.gada beigām, par saviem līdzekļiem nodrošinot projekta mērķa sasniegšanu un tā funkcionalitāti. SIA “Daugavpils satiksme” ir apliecinājusi, ka šobrīd nav apstākļu, kas negatīvi ietekmētu vai apdraudētu projektu īstenošanu pilnā apmērā līdz ES fondu 2014.-2020.gada plānošanas perioda izmaksu attiecināmības beigu datumam. No finansējuma saņēmēja vai Centrālās finanšu un līgumu aģentūras nav saņemta informācija par nespēju pabeigt Liepājā īstenotos tramvaja infrastruktūras attīstības projektus līdz 2023.gada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SM neatbalsta grozījumu, kas paredz tramvaja infrastruktūras attīstības investīciju daļēju pārcelšanu finansēšanai ES fondu 2021.–2027.gada plānošanas perioda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jauna intervences koda atbilstību/nepieciešamību, kā arī grozījumu finansēšanas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ierosinātie grozījumi neparedz tramvaju projektu pārcelšanu finansēšanai Eiropas Savienības (turpmāk – ES) fondu 2021.–2027. gada plānošanas perioda ietvaros, t.i. neparedz lēmumu par konkrētu projektu posmošanu, bet tikai paredz IESPĒJU POSMOT tramvaju projektus, ja tomēr tāds lēmums tiktu pieņemts, ņemot vērā valdības kopējo nostāju par posmošanu kā prioritāru risinājumu nolūkā novērst risku pazaudēt ES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vadlīnijām “Vadlīnijas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slēgšanu” (2022/C 474/01) noteiktajam un Kopējo noteikumu regulas[1]   (turpmāk – KNR) 118. un 118a.pantam posmojamā projekta 2.posma darbībām ir jāatbilst Eiropas Savienības kohēzijas politikas programmā 2021.–2027.gadam (turpmāk – Programma) plānotajām investīcijām – specifiskajam atbalsta mērķim, tā ietvaros atbalstāmajām darbībām un intervences laukuma kodam. Attiecīgi Programmas grozījumi tikai paredz teorētisku iespēju, lai vajadzības gadījumā Programmā būtu atbilstošas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šobrīd netiek plānots vai noteikts ne konkrēts finansējuma apjoms, ne avots. Ja nacionāli netiks pieņemti lēmumi par tramvaju infrastruktūras projektu posmošanu, tad ierosinātie Programmas grozījumi neuzliek pienākumu obligāti projektus posmot, vai paredzēt šāda veida investīcijas. Ņemot vērā, ka šādi grozījumi ir jāiesniedz Eiropas Komisijā līdz gada beigām, lai nodrošinātu attiecināmības nepārtrauktību, tad faktiski ierosinātie grozījumi ir preventīvs riskus mazinošs pasākums, lai nezaudētu iespēju tomēr vēlāk lemt par posmošanu.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projektu posmošana ļautu mazināt gan riskus pazaudēt ES struktūrfondu un Kohēzijas fonda 2014.-2020.gada plānošanas perioda finansējumu nepabeigtu projektu dēļ, gan mazināt riskus “n+3” principa neizpildei ES fondu 2021.-2027.gada plānošanas perioda daudzgadu finanšu plūsmas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2021.gada 24.jūnija Regula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https://eur-lex.europa.eu/legal-content/LV/TXT/HTML/?uri=CELEX:02021R1060-20230301#tocId124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Atbalstīt Eiropas Savienības kohēzijas politikas programmas 2021.–2027. gadam konsolidēto redakciju.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nepieciešamības gadījumā precizēt tādus formulējumus, kā, piemēram, "Atbalsts tiks sniegts tikai moderna biometāna ražošanai atbilstoši ilgtspējības un siltumnīcefekta gāzu emisiju samazināšanas kritērijiem, kas noteikti Direktīvas 2018/2001 29. pantā". Vēršam uzmanību, ka saskaņā ar Līguma par Eiropas Savienības darbību 288. pantu direktīvas ir saistošas tikai dalībvalstīm (ne privātpersonām). Attiecīgi, lai tajās ietvertie noteikumi kļūtu saistoši un varētu tikt piemēroti attiecībā uz privātpersonām, tās ir jāpārņem valsts tiesību sistēmā, tāpēc konkrētā formulējuma gadījumā līdz ar atsauci uz direktīvu ietverama arī atsauce uz nacionālo tiesību aktu, kurā tā pārņemta.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nodrošinātu rosināto grozījumu steidzamu virzību iesniegšanai Eiropas Komisijā lēmuma pieņemšanai tiek virzīti tikai atsevišķi pieteiktie grozījumi (plānošanas dokumenta konsolidētās versijas 205.paragrāfā un tabulas Nr.14 divās rindās).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citi līdz šim atbildīgo iestāžu pieteiktie tehniskie un redakcionālie precizējumi, un citi nepieciešamie grozījumi, kas nav nepieciešami posmojamo projektu izdevumu attiecināmības nepārtrauktībai, Programmā tiks virzīti saskaņošanai 2024.gada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šobrīd netiks pārskatītas citas jau iepriekš Programmā iekļautās redakcijas.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Eiropas Savienības kohēzijas politikas programmu 2021.-2027. gadam nav nepieciešams saskaņot arī ar citām ministrijām, piemēram, Klimata un enerģētikas ministriju, ņemot vērā, ka tiek ieviests apjomīgs papildinājums par 6.1. prioritāti “Pāreja uz klimatneitralitāti”, kas atbilstoši Ministru kabineta 2022. gada 20. decembra noteikumiem Nr. 817 "Klimata un enerģētikas ministrijas nolikums" ir Klimata un enerģētikas ministrijas kompetence. Nepieciešamības gadījumā lūdzam nodrošināt saskaņošanu.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6.1.prioritāte Programmas konsolidētajā versijā tika iekļauta ar Ministru kabineta 2022.gada 3.novembra rīkojumu Nr. 793 “Grozījumi Ministru kabineta 2021. gada 16. novembra rīkojumā Nr. 841 "Par Eiropas Savienības kohēzijas politikas programmu 2021.-2027. gadam”” (turpmāk – MK rīkojums Nr. 793);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https://likumi.lv/ta/id/336972-grozijumi-ministru-kabineta-2021-gada-16-novembra-rikojuma-nr-841-par-eiropas-savienibas-kohezijas-politikas-programmu-2021-202...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minētie grozījumi (MK rīkojums Nr. 793) tika saskaņoti ar visām ES fondu atbildīgajām iestādēm (ministrijām). Papildus skaidrojam, ka 6.1.prioritāte, kurā iekļautas Taisnīgas pārkārtošanās fonda investīcijas, ir Vides aizsardzības un reģionālās attīstības ministrijas pārraudzībā, kas arī izstrādāja Taisnīgas pārkārtošanās teritoriālo plānu (Programmas 8.pielikums).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likumprojekts “Grozījumi Eiropas Savienības fondu 2021.–2027. gada plānošanas perioda vadības likumā”, nosakot Klimata un enerģētikas ministriju kā vienu no ES fondu atbildīgajām iestādēm, Saeimā vēl nav pieņemts.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saīsinājumu "prof.izgl.", "Prof. izgl. Likums", "RePowerEU", terminu "Vides aizsardzības un reģionālās attīstības ministrija" un tā saīsinājumu "VARAM", kā arī tādiem nepieteiktiem saīsinājumiem, kā "Regula Nr.2021/1060".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sniegto skaidrojumu šīs izziņas 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Programmas izstrādes un saskaņošanas procesā tekstā tika iekļauti daudzi saīsinājumi, lai plānošanas dokumentu, kas veidots atbilstoši KNR V.pielikumam, būtu iespējams ievadīt Eiropas Komisijas SFC2021 sistēmā, kur katrai sadaļai noteikts ierobežots zīmju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Eiropas Savienības kohēzijas politikas programmā 2021.-2027. gadam ietvertās atsauces uz tiesību normām, kas nav sasaistītas ar konkrētiem tiesību aktiem. Piemēram, no formulējuma </w:t>
            </w:r>
            <w:r w:rsidR="00000000" w:rsidRPr="00000000" w:rsidDel="00000000">
              <w:rPr>
                <w:rtl w:val="0"/>
              </w:rPr>
              <w:t xml:space="preserve">94. panta 2. punkts</w:t>
            </w:r>
            <w:r w:rsidR="00000000" w:rsidRPr="00000000" w:rsidDel="00000000">
              <w:rPr>
                <w:rtl w:val="0"/>
              </w:rPr>
              <w:t xml:space="preserve"> vai 88. pants nav skaidrs, kāda nacionālā vai starptautiskā tiesību akta norma ar to ir domāta un līdz ar to nav precīzi saprotams Eiropas Savienības kohēzijas politikas programmas 2021.-2027. gadam saturs.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šīs izziņas 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KNR (regula Nr. 2021/1060) saīsinājums ir atrunāts Programmas saīsinājumu sarakstā. Skaidrojam, ka Programmas 28.tabulā atsauce uz 94. un 95.pantu pārņemta, kāda tā noteikta Programmas veidnei KNR V.pielikuma 14.tabulā.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precizējumi, nodrošinot vienota saīsinājuma “KNR” lietošanu saīsinājuma “regula Nr. 2021/1060” vietā tiks iekļauti ar nākamajiem Programmas grozījumiem.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Komisijas 2015. gada 28. aprīļa Regula (ES) 2015/1189, ar ko Eiropas Parlamenta un Padomes Direktīvu 2009/125/EK īsteno attiecībā uz ekodizaina prasībām cietā kurināmā katliem (turpmāk - Regula 2015/1189).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šīs izziņas 2. un 5.punktā.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23-TA-3008</w:t>
    </w:r>
    <w:r>
      <w:br/>
    </w:r>
    <w:r w:rsidR="00000000" w:rsidRPr="00000000" w:rsidDel="00000000">
      <w:rPr>
        <w:rtl w:val="0"/>
      </w:rPr>
      <w:t xml:space="preserve">28.12.2023. 09.56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23-TA-3008</w:t>
    </w:r>
    <w:r>
      <w:br/>
    </w:r>
    <w:r w:rsidR="00000000" w:rsidRPr="00000000" w:rsidDel="00000000">
      <w:rPr>
        <w:rtl w:val="0"/>
      </w:rPr>
      <w:t xml:space="preserve">28.12.2023. 09.56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Izziņa_23-TA-3008.docx</dc:title>
</cp:coreProperties>
</file>

<file path=docProps/custom.xml><?xml version="1.0" encoding="utf-8"?>
<Properties xmlns="http://schemas.openxmlformats.org/officeDocument/2006/custom-properties" xmlns:vt="http://schemas.openxmlformats.org/officeDocument/2006/docPropsVTypes"/>
</file>