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līdzdalības saglabāšanu sabiedrībā ar ierobežotu atbildību "Starptautiskā Rakstnieku un tulkotāju māja" un vispārējo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29.05.2026. 13:11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sadaļā “Risinājuma apraksts” norādīto informāciju par kapitālsabiedrības darbībai nodrošināto valsts budžeta dotāciju 2025. gadā, kur tostarp minēts, ka Latvijas literatūras profesionālā novērtējuma un sasniegumu apbalvošanai bija nodrošināts 81 600 000 euro (ņemot vērā anotācijā minēto kopējā piešķirtā finansējuma apjomu 2025. gadā un finansējuma apjomu pārējiem pasākumiem, profesionālā novērtējuma un sasniegumu apbalvošanai tika izmantoti 81 600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 punkta “Pašreizējā situācija, problēmas un risinājumi”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kapitālsabiedrības 2025. gada gada pārskats ir apstiprināts, aicinām papildināt anotāciju ar 2025. gada finanšu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 punkta “Pašreizējā situācija, problēmas un risinājumi”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17.01.2026. 11:53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Kultūras ministrija ir analizējusi, kādas juridiskās formas tiek izmantotas kultūras jomas darbībā un secinājusi, ka SIA ir vispiemērotākais veids. Tomēr anotācijā nav ietverts salīdzinošs izvērtējums, kas minēto pamatotu. Lūdzu precizēt anotāciju ar izvērtējumu, kas pamato, kāpēc izvēlētā forma (SIA) ir piemērotāka nekā citi iespējamie risinājumi.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punkts papildināts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iespējamos risinājumus kultūras nozares uzdevumu īstenošanai, tai skaitā funkciju nodošanu nevalstiskajām organizācijām, secināts, ka sabiedrība ar ierobežotu atbildību ir vispiemērotākais veids, kā īstenot deleģēto valsts pārvaldes uzdevumu izpildi kultūras jomā ar privāttiesiskiem instrumentiem, lai nodrošinātu sabiedrības vajadzību apmierināšanu, sniedzot tai publiskos pakalpojumus vai īstenojot projektus. Kapitālsabiedrība ar valsts kapitāla daļām nodrošina visu nozarei būtisko funkciju īstenošanu vienkopus, koncentrētu administratīvo struktūru, lielāku operatīvo elastību, iespēju slēgt civiltiesiskus līgumus starptautiskā vidē un piesaistīt ārējo finansējumu, vienlaikus īstenojot valsts noteiktus stratēģiskos mērķus. Savukārt gadījumā, ja funkcijas tiktu uzticētas nevalstiskā sektora organizācijām, valsts nevarētu nodrošināt tiešu stratēģisku kontroli pār publisko līdzekļu izmantošanu un funkciju jēgpilnu korelāciju un efektīvu izpildi Turklāt funkciju fragmentācijas dēļ pieaugtu izdevumi funkciju izpildes administrēšanai vismaz 30 % apmērā, jo nozari pārstāvošās nevalstiskās organizācijas savas kapacitātes ietvaros jau veic atsevišķus deleģētus valsts pārvaldes uzdevumus un papildu uzdevumu veikšana prasītu būtisku administratīvās kapacitātes palielināšanu. Līdz ar to pašreizējais modelis nodrošina līdzsvaru starp publiskā uzdevuma izpildi, caurskatāmu pārvaldību un darbības elastību kultūras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kapitālsabiedrības ekonomiskais izvērtējums ir sniegts 1. pielikumā, tomēr tajā nav ietverti salīdzinoši dati, kas ļautu objektīvi izdarīt secinājumus par izmaksu efektivitāti. Lūdzam precizēt un papildināt ekonomisko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 pielikums papildināts ar sadaļu “Izmaksu efektivitātes un alternatīvo risinājumu salīdzinošu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sabiedrībā ar ierobežotu atbildību "Starptautiskā Rakstnieku un tulkotāju māja"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- 23.02.2026.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ir iepazinusies ar  Anotācijā sniegto skaidrojumu un KP ieskatā ) līdzdalība SIA  "Starptautiskā Rakstnieku un tulkotāju māja" atbilst VPIL 88.panta pirmās daļas 2.punktam, tas ir, tiek sniegti stratēģiski svarīgi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KP vērš uzmanību, ka nepieciešams regulāri izvērtēt, vai atsevišķus segmenta pakalpojumus nav iespējams nodot privātajiem pakalpojumu sniedzējiem. Dalības organizēšana starptautiskās izstādēs ietver mārketingu, komunikāciju un projektu vadību, ko privātais sektors bieži spēj nodrošināt efektīvi un profesionāli. Līdz ar to ir būtiski vērtēt, vai šo darbību veikšana ar saviem resursiem ir objektīvi pamatota, ja minētajās aktivitātēs (noteiktu posmu nodrošināšanā) privātā sektora iesaistīšana ir iespējama, izvērtējot to pieejamību un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aicinām regulāri pārvērtēt, vai esošā  juridiskā forma ir piemērotākā SIA  "Starptautiskā Rakstnieku un tulkotāju māja"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anotācijas 1.3. punkts papildināts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iespējamos risinājumus kultūras nozares uzdevumu īstenošanai, tai skaitā funkciju nodošanu nevalstiskajām organizācijām, secināts, ka sabiedrība ar ierobežotu atbildību ir vispiemērotākais veids, kā īstenot deleģēto valsts pārvaldes uzdevumu izpildi kultūras jomā ar privāttiesiskiem instrumentiem, lai nodrošinātu sabiedrības vajadzību apmierināšanu, sniedzot tai publiskos pakalpojumus vai īstenojot projektus. Kapitālsabiedrība ar valsts kapitāla daļām nodrošina visu nozarei būtisko funkciju īstenošanu vienkopus, koncentrētu administratīvo struktūru, lielāku operatīvo elastību, iespēju slēgt civiltiesiskus līgumus starptautiskā vidē un piesaistīt ārējo finansējumu, vienlaikus īstenojot valsts noteiktus stratēģiskos mērķus. Savukārt gadījumā, ja funkcijas tiktu uzticētas nevalstiskā sektora organizācijām, valsts nevarētu nodrošināt tiešu stratēģisku kontroli pār publisko līdzekļu izmantošanu un funkciju jēgpilnu korelāciju un efektīvu izpildi Turklāt funkciju fragmentācijas dēļ pieaugtu izdevumi funkciju izpildes administrēšanai vismaz 30 % apmērā, jo nozari pārstāvošās nevalstiskās organizācijas savas kapacitātes ietvaros jau veic atsevišķus deleģētus valsts pārvaldes uzdevumus un papildu uzdevumu veikšana prasītu būtisku administratīvās kapacitātes palielināšanu. Līdz ar to pašreizējais modelis nodrošina līdzsvaru starp publiskā uzdevuma izpildi, caurskatāmu pārvaldību un darbības elastību kultūras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 pielikums papildināts ar sadaļu “Izmaksu efektivitātes un alternatīvo risinājumu salīdzinošs izvērtējums”, kurā ieļauta informācija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izvērtēta funkcijas nodošana tirgus dalībniekiem (izdevējiem), jo tas rada interešu konfliktu autoru pārstāvniecībā un lobēšanā.”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sabiedrībā ar ierobežotu atbildību "Starptautiskā Rakstnieku un tulkotāju māja" un vispārējo stratēģisko mērķi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informācija tabulā "Kapitālsabiedrības ieņēmumi 2020.–2024. gads, </w:t>
            </w:r>
            <w:r w:rsidR="00000000" w:rsidRPr="00000000" w:rsidDel="00000000">
              <w:rPr>
                <w:i w:val="1"/>
                <w:rtl w:val="0"/>
              </w:rPr>
              <w:t xml:space="preserve">euro</w:t>
            </w:r>
            <w:r w:rsidR="00000000" w:rsidRPr="00000000" w:rsidDel="00000000">
              <w:rPr>
                <w:rtl w:val="0"/>
              </w:rPr>
              <w:t xml:space="preserve">", ņemot vērā, ka summējot ieņēmumus pa apakšpozīcijām netiek iegūta korekta kopsumma 2022. - 2024.gadā.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punkta tabulā “Kapitālsabiedrības ieņēmumi 2020.–2024. gads, </w:t>
            </w:r>
            <w:r w:rsidR="00000000" w:rsidRPr="00000000" w:rsidDel="00000000">
              <w:rPr>
                <w:i w:val="1"/>
                <w:rtl w:val="0"/>
              </w:rPr>
              <w:t xml:space="preserve">euro</w:t>
            </w:r>
            <w:r w:rsidR="00000000" w:rsidRPr="00000000" w:rsidDel="00000000">
              <w:rPr>
                <w:rtl w:val="0"/>
              </w:rPr>
              <w:t xml:space="preserve">” precizēti kapitālsabiedrības ieņēmumu apjoms, lai summējot ieņēmumus pa apakšpozīcijām tiktu iegūta korekta kopsumma 2022.–2024.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konkrētu, datos balstītu pamatojumu apgalvojumam par kapitālsabiedrības sniegto pakalpojumu ietekmi uz tautsaimniecības ekonomisko izaugsmi un citu tautsaimniecības nozaru attīstību. Vienlaikus lūdzam precizēt un pamatot ar faktiem apgalvojumu par kapitālsabiedrības darbības ietekmi uz teritorijas attīstību, dzīves kvalitāti un vietas vai reģiona tēla veidošanos, norādot izmantotos rādītājus un informācijas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punkts papildināts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darbība sniedz izmērāmu pienesumu tautsaimniecībai un teritorijas attīstībai: kapitālsabiedrības rezidencē – Annas ielā 13, Ventspilī, no 2006. gada līdz 2025. gadam uzņemti 1 912 rezidenti no 56 valstīm un īstenoti 255 starptautiski projekti. Līdztekus kapitālsabiedrības rezidences kā stratēģiski nozīmīga kultūras mantojuma objekta (valsts nozīmes kultūras piemineklis “Rātsnams” Nr. 6926) uzturēšana un vismaz 570 publisku literāru pasākumu organizēšana Ventspilī, uzlabo vietējo iedzīvotāju līdzdalību kultūrā un dzīves kvalitāti. Pateicoties dalībai starptautiskos rezidenču tīklos (RECIT, RES Art u. c.), kapitālsabiedrība stiprina Ventspils atpazīstamību kā Baltijas mēroga kultūras galamērķi (datu avoti: kapitālsabiedrības gada pārskati 2006.–2025.). Tāpat kapitālsabiedrības darbības netieša ietekme uz tautsaimniecību atspoguļojas arī Latvijas literatūras eksporta rādītāju dinamikā 2019.–2024.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26-TA-105</w:t>
    </w:r>
    <w:r>
      <w:br/>
    </w:r>
    <w:r w:rsidR="00000000" w:rsidRPr="00000000" w:rsidDel="00000000">
      <w:rPr>
        <w:rtl w:val="0"/>
      </w:rPr>
      <w:t xml:space="preserve">13.07.2026. 18.31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26-TA-105</w:t>
    </w:r>
    <w:r>
      <w:br/>
    </w:r>
    <w:r w:rsidR="00000000" w:rsidRPr="00000000" w:rsidDel="00000000">
      <w:rPr>
        <w:rtl w:val="0"/>
      </w:rPr>
      <w:t xml:space="preserve">13.07.2026. 18.31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Izziņa_26-TA-105.docx</dc:title>
</cp:coreProperties>
</file>

<file path=docProps/custom.xml><?xml version="1.0" encoding="utf-8"?>
<Properties xmlns="http://schemas.openxmlformats.org/officeDocument/2006/custom-properties" xmlns:vt="http://schemas.openxmlformats.org/officeDocument/2006/docPropsVTypes"/>
</file>