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24-TA-409: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Konkurences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Konkurences likumā (Latvijas Republikas Saeimas un Ministru Kabineta Ziņotājs, 2001, 22. nr.; 2004, 10. nr.; 2008, 9., 24. nr.; 2009, 14. nr.; Latvijas Vēstnesis, 2009, 194. nr.; 2013, 188. nr.; 2015, 107. nr.; 2016, 104. nr.; 2017, 208. nr.; 2019, 71. nr.; 2021, 234A nr.; 2022, 120. nr.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izziņā paustajam Konkurences padomes viedoklim par to, ka regulējums par publisko iepirkumu līgumos ietveramajām pušu tiesībām un pienākumiem konkurences tiesību pārkāpuma gadījumā būtu jānosaka publisko iepirkumu jomas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Publisko iepirkumu likuma viens no mērķiem ir nodrošināt pasūtītāja līdzekļu efektīvu izmantošanu, maksimāli samazinot tā risku. Mērķa sasniegšanai likuma 60.pantā jau ir noteiktas līgumā iekļaujamās prasības. Tajā skaitā ir noteikts, ka līgumā jāparedz kārtība, kādā pieļaujama atkāpšanās no iepirkuma līguma, un jāparedz līgumslēdzēju pušu atbildība par radītajiem zaudējumiem, atbilstoši Civillikumā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2024.gada 9.janvāra sēdes protokola Nr.1 71.§ "Informatīvais ziņojums "Par īstenojamiem pasākumiem, lai veicinātu aktīvāku publisko pasūtītāju iesaisti zaudējumu atgūšanā, kas tiem radušies organizētajos iepirkumos tirgus dalībnieku īstenoto konkurences tiesību pārkāpumu dēļ"" uzdotā uzdevuma specifisko mērķi, proti, noteikt pasūtītājam pienākumu attiecīgi rīkoties gadījumos, kad ir pierādāmi radušies zaudējumi tieši konkurences tiesību pārkāpuma dēļ, iepirkumus regulējošo normatīvo aktu tvērums ir šaurāks par uzdevuma mērķī ietverto.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09.01.2024. MK sēdes prot. Nr.1  71.§  3.punkts aicina FM veikt izvērtējumu par nepieciešamību sagatavot priekšlikumus grozījumiem publisko iepirkumu jomu reglamentējošajos normatīvajos aktos, lai noteiktu publisko iepirkumu līgumos ietveramās pušu tiesības un pienākumus konkurences tiesību pārkāpuma gadījumā. Atbilstoši FM 28.03.2024.  vēstulē Nr. 11-2/7-2/979 sniegtajai informācijai secināms, ka FM iepriekš minēto izvērtējumu jau ir veikusi un secinājusi, ka grozījumi publisko iepirkumu jomu reglamentējošajos normatīvajos aktos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ņem vērā FM veikto izvērtējumu, vienlaikus atkārtoti norāda, ka arī Konkurences likumā nav lietderīgi iekļaut regulējumu par publisko iepirkumu līgumos ietveramām pušu tiesībām un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Konkurences likumā (Latvijas Republikas Saeimas un Ministru Kabineta Ziņotājs, 2001, 22. nr.; 2004, 10. nr.; 2008, 9., 24. nr.; 2009, 14. nr.; Latvijas Vēstnesis, 2009, 194. nr.; 2013, 188. nr.; 2015, 107. nr.; 2016, 104. nr.; 2017, 208. nr.; 2019, 71. nr.; 2021, 234A nr.; 2022, 120. nr. )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Konkurences likumā (Latvijas Republikas Saeimas un Ministru Kabineta Ziņotājs, 2001, 22. nr.; 2004, 10. nr.; 2008, 9., 24. nr.; 2009, 14. nr.; Latvijas Vēstnesis, 2009, 194. nr.; 2013, 188. nr.; 2015, 107. nr.; 2016, 104. nr.; 2017, 208. nr.; 2019, 71. nr.; 2021, 234A nr.; 2022, 120. nr.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2024.gada 9.janvāra sēdes protokola Nr.1 71.§ "Informatīvais ziņojums "Par īstenojamiem pasākumiem, lai veicinātu aktīvāku publisko pasūtītāju iesaisti zaudējumu atgūšanā, kas tiem radušies organizētajos iepirkumos tirgus dalībnieku īstenoto konkurences tiesību pārkāpumu dēļ"" uzdoto uzdevumu izvērtēt nepieciešamību sagatavot priekšlikumus grozījumiem publisko iepirkumu jomu reglamentējošajos normatīvajos aktos, lai noteiktu publisko iepirkumu līgumos ietveramās pušu tiesības un pienākumus konkurences tiesību pārkāpuma gadījumā, Finanšu ministrija kopīgi ar Iepirkumu uzraudzības biroju ir secinājusi, ka grozījumi publiskos iepirkumus regulējošajos normatīvajos aktos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publiskais pasūtītājs līgumus slēdz ne tikai publiska iepirkuma rezultātā (piemēram, tieši piešķirot pakalpojumu valsts līgumu saskaņā ar 2007. gada 23. oktobra Eiropas Parlamenta un Padomes Regulas (EK) Nr. 1370/2007 par sabiedriskā pasažieru transporta pakalpojumiem, izmantojot dzelzceļu un autoceļus, un ar ko atceļ Padomes Regulu (EEK) Nr. 1191/69 un Padomes Regulu (EEK) Nr. 1107/70). Tādējādi zaudējumu rašanās potenciāls publiskajam pasūtītājam tirgus dalībnieku īstenoto konkurences tiesību pārkāpumu dēļ ir plašāks par Publisko iepirkumu likuma regulējuma tvērumu. Attiecīgi īstenojamie pasākumi, lai veicinātu aktīvāku publisko pasūtītāju iesaisti zaudējumu atgūšanā, kas tiem radušies tirgus dalībnieku īstenoto konkurences tiesību pārkāpumu dēļ, būtu nosakāmi konkurences tiesību vispārīgajā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w:t>
            </w:r>
            <w:r w:rsidR="00000000" w:rsidRPr="00000000" w:rsidDel="00000000">
              <w:rPr>
                <w:i w:val="1"/>
                <w:rtl w:val="0"/>
              </w:rPr>
              <w:t xml:space="preserve">Grozījumi Konkurences likumā ar </w:t>
            </w:r>
            <w:r w:rsidR="00000000" w:rsidRPr="00000000" w:rsidDel="00000000">
              <w:rPr>
                <w:rtl w:val="0"/>
              </w:rPr>
              <w:t xml:space="preserve">regulējumu publiskajiem pasūtītājiem īstenojamiem pasākumiem, lai veicinātu aktīvāku iesaisti zaudējumu atgūšanā, kas tiem radušies tirgus dalībnieku īstenoto konkurences tiesību pārkāpumu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saistībā ap aizliegtām vienošanām publiskajos iepirkumos atsaukties arī uz 2007. gada 23. oktobra Eiropas Parlamenta un Padomes Regulu (EK) Nr. 1370/2007 par sabiedriskā pasažieru transporta pakalpojumiem, izmantojot dzelzceļu un autoceļus, un ar ko atceļ Padomes Regulu (EEK) Nr. 1191/69 un Padomes Regulu (EEK) Nr. 1107/70). Šī regula paredz, ka publiskie pasūtītāji var piešķirt pakalpojumu sniegšanas tiesības tieši (bez iepirkuma procedūras), slēdzot tiešus līgumus ar pakalpojumu sniedzējiem. Konkurence starp piegādātājiem tiešā veidā nenotiek, tiek izmantoti kritēriji, kas ir noteikti publiskajā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tiesības uz zaudējumu atlīdzināšanu par konkurences tiesību pārkāpumu izriet ne tikai no Konkurences likuma (KL) 21. panta, bet arī no Eiropas Savienības Tiesas (EST) prakses, tās arī kodificētas Direktīvas 2014/104/ES 3. pantā. Šāda tiesība piemīt jebkurai personai, kas cietusi zaudējumus. No EST prakses arī izriet, ka tiesisks pamats saņemt zaudējumu atlīdzību konstatējams tur, kur zaudējumus cietušais var pierādīt 1) pārkāpuma esamību, 2) zaudējumu esamību un 3) cēloņsakarību starp minētajiem diviem. Tas nozīmē, ka tiesību uz zaudējumu atlīdzību par konkurences tiesību pārkāpumu izmantošanas priekšnoteikums nav tikai KP pieņemts lēmums par konkurences tiesību pārkāpuma konstatēšanu, tiesiskā pienākuma un naudas soda uzlikšanu. Saskaņā ar Civilprocesa likuma 250.</w:t>
            </w:r>
            <w:r w:rsidR="00000000" w:rsidRPr="00000000" w:rsidDel="00000000">
              <w:rPr>
                <w:vertAlign w:val="superscript"/>
                <w:rtl w:val="0"/>
              </w:rPr>
              <w:t xml:space="preserve">69</w:t>
            </w:r>
            <w:r w:rsidR="00000000" w:rsidRPr="00000000" w:rsidDel="00000000">
              <w:rPr>
                <w:rtl w:val="0"/>
              </w:rPr>
              <w:t xml:space="preserve"> panta pirmo daļu šāda KP lēmuma, kas kļuvis nepārsūdzams, pastāvēšana vien atvieglo kritērija “pārkāpuma esamība” pierādīšanu.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Zaudējumus cietušais var jebkurā gadījumā pierādīt šī kritērija pastāvēšanu arī patstāvīgi, ceļot tiesā prasību par zaudējumu atlīdzināšanu (skat. arī KL 20.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KL saistībā ar zaudējumu atlīdzināšanu nav lietderīgi iekļaut regulējumu par publisko iepirkumu līgumos ietveramām pušu tiesībām un pienākumiem, turklāt to jau tagad specifiski reglamentē citi ārējie normatīvie akti, citastarp arī Publisko iepirkumu likuma 60. panta otrās daļas 8. punkts paredz pienākumu atrunāt kārtību, kādā pieļaujama atkāpšanās no iepirkuma līguma.  KL 21. panta regulējums par zaudējumu atlīdzināšanu nevar tikt saistīts ar publisko iepirkumu līgumu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pasūtītāja pienākums ir būt aktīvam savu tiesību un pienākumu realizācijā, t.sk. pie noteiktiem apstākļiem ceļot prasību par tam radītajiem zaudējumiem arī konkurences tiesību pārkāpumu gadījumos. </w:t>
            </w:r>
            <w:r w:rsidR="00000000" w:rsidRPr="00000000" w:rsidDel="00000000">
              <w:rPr>
                <w:u w:val="single"/>
                <w:rtl w:val="0"/>
              </w:rPr>
              <w:t xml:space="preserve">Pušu tiesību līgumā noregulējuma mērķis būtu mazināt zaudējumus nākotnē, kas nav saistīts zaudējumu atgūšanu</w:t>
            </w:r>
            <w:r w:rsidR="00000000" w:rsidRPr="00000000" w:rsidDel="00000000">
              <w:rPr>
                <w:rtl w:val="0"/>
              </w:rPr>
              <w:t xml:space="preserve">.  Attiecīgi ir pamats uzskatīt, ka publisko iepirkumu līgumos ietveramās pušu tiesības un pienākumus konkurences tiesību pārkāpuma gadījumā būtu jānostiprina publisko iepirkumu jomu reglamentējošajos normatīvajos aktos. Tā kā šis jautājums ir sarežģīts un skar gan tiesību, gan ekonomisko dimensiju, publiskajiem pasūtītājiem ir jāievēro skaidri regulējumi un ir pamats uzskatīt, ka radniecīgāks tiesiskais ietvars (vai publiskas vadlīnijas) varētu būt Publisko iepirkumu likuma regulējuma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Ministru kabinets, izskatot informatīvo ziņojumu “Par īstenojamiem pasākumiem, lai veicinātu aktīvāku publisko pasūtītāju iesaisti zaudējumu atgūšanā, kas tiem radušies organizētajos iepirkumos tirgus dalībnieku īstenoto konkurences tiesību pārkāpumu dēļ” (23-TA-1161), jau ir lēmis (09.01.2024. MK sēdes prot. Nr.1  71.§  3.punkts), ka izvērtējums par nepieciešamību sagatavot priekšlikumus publisko iepirkumu līgumos ietveramām pušu tiesībām un pienākumiem konkurences tiesību pārkāpuma gadījumā ir veicams publisko iepirkumu jomu reglamentējošajos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Konkurences likumā (Latvijas Republikas Saeimas un Ministru Kabineta Ziņotājs, 2001, 22. nr.; 2004, 10. nr.; 2008, 9., 24. nr.; 2009, 14. nr.; Latvijas Vēstnesis, 2009, 194. nr.; 2013, 188. nr.; 2015, 107. nr.; 2016, 104. nr.; 2017, 208. nr.; 2019, 71. nr.; 2021, 234A nr.; 2022, 120. nr. )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nobeigumā uzsvērts, ka par "publiskajiem pasūtītājiem" uzskatāmi pasūtītāji PIL 1. panta 19. punkta izpratnē un sabiedrisko pakalpojumu sniedzēji SPSIL 1. panta 27. punkta "a" apakšpunkta izpratnē, kuri tiek finansēti no publiskajiem naudas līdzekļiem. Nav saprotams, uz kuriem subjektiem attiecas palīgteikums "kuri tiek finansēti no publiskajiem naudas līdzekļiem", proti, vai šis palīgteikums kā nosacījums tiek attiecināts  arī uz PIL 1. panta 19. punkta pasūtītājiem, tāpēc  lūdzam anotācijā viennozīmīgi aprakstīt "publiskā pasūtītāja"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 1. panta 19. punkta izpratnē par pasūtītājiem var būt arī privāto tiesību juridiskās personas, kas kumulatīvi atbilst 1. panta 19. punkta a) un b) apakšpunktu pazīmēm. Savukārt, PIL 1. panta 19. punkta b) apakšpunktā ir aptvertas alternatīvas pazīmes, proti," b) ir publiskas personas vai tās institūcijas padotībā vai publiska persona vai tās institūcija, vai cita šajā punktā minētajiem kritērijiem atbilstoša privāto tiesību juridiskā persona uzrauga šādas privāto tiesību juridiskās personas pārvaldību, tostarp attiecībā uz šādu privāto tiesību juridisko personu īsteno izšķirošo ietekmi Koncernu likuma izpratnē, vai arī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I sadaļas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izvērstāks skaidrojums par subjektiem, uz kuriem attiecas metodiskā atbalsta saņemšana konkurences tiesību pārkāpuma rezultātā radīto zaudējumu apzināšanā, novērtēšanā un aprēķināšanā atrodams arī Informatīvajā ziņojumā "</w:t>
            </w:r>
            <w:r w:rsidR="00000000" w:rsidRPr="00000000" w:rsidDel="00000000">
              <w:rPr>
                <w:i w:val="1"/>
                <w:rtl w:val="0"/>
              </w:rPr>
              <w:t xml:space="preserve">Par īstenojamiem pasākumiem, lai veicinātu aktīvāku publisko pasūtītāju iesaisti zaudējumu atgūšanā, kas tiem radušies organizētajos iepirkumos tirgus dalībnieku īstenoto konkurences tiesību pārkāpumu dēļ</w:t>
            </w:r>
            <w:r w:rsidR="00000000" w:rsidRPr="00000000" w:rsidDel="00000000">
              <w:rPr>
                <w:rtl w:val="0"/>
              </w:rPr>
              <w:t xml:space="preserve">" (23-TA-1161).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Atzinumus, konsultācijas, aprēķinus un citus dokumentus sniedz Konkurences padomes nodarbinātais un tiem ir ieteikuma raksturs. Konkurences padomes priekšsēdētājs nedod tiešus rīkojumus Konkurences padomes nodarbinātajam saistībā ar šā panta pirmās daļas 9.</w:t>
            </w:r>
            <w:r w:rsidR="00000000" w:rsidRPr="00000000" w:rsidDel="00000000">
              <w:rPr>
                <w:vertAlign w:val="superscript"/>
                <w:rtl w:val="0"/>
              </w:rPr>
              <w:t xml:space="preserve">1</w:t>
            </w:r>
            <w:r w:rsidR="00000000" w:rsidRPr="00000000" w:rsidDel="00000000">
              <w:rPr>
                <w:rtl w:val="0"/>
              </w:rPr>
              <w:t xml:space="preserve"> punktā minētā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normā nebūtu iekļaujama skaidrāka norāde, ka lēmumiem ir ne tikai ieteikuma raksturs, bet tie arī nav saistoši iestādēm un tiesām.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I sadaļas 1.3. apakšpunkts, skaidrāk norādot, ka lēmumiem ir ne tikai ieteikuma raksturs, bet tie arī nav saistoši iestādēm un tiesām (skatīt anotācijas  I sadaļas 1.3. apakšpunktā [2.4]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Atzinumus, konsultācijas, aprēķinus un citus dokumentus sniedz Konkurences padomes nodarbinātais un tiem ir ieteikuma raksturs. Konkurences padomes priekšsēdētājs nedod tiešus rīkojumus Konkurences padomes nodarbinātajam saistībā ar šā panta pirmās daļas 9.</w:t>
            </w:r>
            <w:r w:rsidR="00000000" w:rsidRPr="00000000" w:rsidDel="00000000">
              <w:rPr>
                <w:vertAlign w:val="superscript"/>
                <w:rtl w:val="0"/>
              </w:rPr>
              <w:t xml:space="preserve">1</w:t>
            </w:r>
            <w:r w:rsidR="00000000" w:rsidRPr="00000000" w:rsidDel="00000000">
              <w:rPr>
                <w:rtl w:val="0"/>
              </w:rPr>
              <w:t xml:space="preserve"> punktā minētā uzdevuma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nodrošina, lai uzdevums, ko tā veic saskaņā ar šā panta pirmās daļas 9.</w:t>
            </w:r>
            <w:r w:rsidR="00000000" w:rsidRPr="00000000" w:rsidDel="00000000">
              <w:rPr>
                <w:vertAlign w:val="superscript"/>
                <w:rtl w:val="0"/>
              </w:rPr>
              <w:t xml:space="preserve">1</w:t>
            </w:r>
            <w:r w:rsidR="00000000" w:rsidRPr="00000000" w:rsidDel="00000000">
              <w:rPr>
                <w:rtl w:val="0"/>
              </w:rPr>
              <w:t xml:space="preserve"> punktu, tiktu īstenots nodalīti no citiem Konkurences padomes veiktajiem uzdevumiem un tā izpildē Konkurences padome izmanto tikai publiskā pasūtītāja iesniegto informāciju. Atzinumus, konsultācijas, aprēķinus un citus dokumentus sniedz Konkurences padomes nodarbinātais un tiem ir ieteikuma raksturs. Konkurences padomes priekšsēdētājs nedod tiešus rīkojumus Konkurences padomes nodarbinātajam saistībā ar šā panta pirmās daļas 9.</w:t>
            </w:r>
            <w:r w:rsidR="00000000" w:rsidRPr="00000000" w:rsidDel="00000000">
              <w:rPr>
                <w:vertAlign w:val="superscript"/>
                <w:rtl w:val="0"/>
              </w:rPr>
              <w:t xml:space="preserve">1</w:t>
            </w:r>
            <w:r w:rsidR="00000000" w:rsidRPr="00000000" w:rsidDel="00000000">
              <w:rPr>
                <w:rtl w:val="0"/>
              </w:rPr>
              <w:t xml:space="preserve"> punktā minētā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ierosina izteikt Konkurences likuma 6.panta 1.</w:t>
            </w:r>
            <w:r w:rsidR="00000000" w:rsidRPr="00000000" w:rsidDel="00000000">
              <w:rPr>
                <w:vertAlign w:val="superscript"/>
                <w:rtl w:val="0"/>
              </w:rPr>
              <w:t xml:space="preserve">1</w:t>
            </w:r>
            <w:r w:rsidR="00000000" w:rsidRPr="00000000" w:rsidDel="00000000">
              <w:rPr>
                <w:rtl w:val="0"/>
              </w:rPr>
              <w:t xml:space="preserve">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ierosina izteikt Konkurences likuma 6.panta 1.</w:t>
            </w:r>
            <w:r w:rsidR="00000000" w:rsidRPr="00000000" w:rsidDel="00000000">
              <w:rPr>
                <w:vertAlign w:val="superscript"/>
                <w:rtl w:val="0"/>
              </w:rPr>
              <w:t xml:space="preserve">1</w:t>
            </w:r>
            <w:r w:rsidR="00000000" w:rsidRPr="00000000" w:rsidDel="00000000">
              <w:rPr>
                <w:rtl w:val="0"/>
              </w:rPr>
              <w:t xml:space="preserve">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Atzinumus, konsultācijas, aprēķinus un citus dokumentus sniedz Konkurences padomes nodarbinātais un tiem ir ieteikuma raksturs. Konkurences padomes priekšsēdētājs nedod tiešus rīkojumus Konkurences padomes nodarbinātajam saistībā ar šā panta pirmās daļas 9.</w:t>
            </w:r>
            <w:r w:rsidR="00000000" w:rsidRPr="00000000" w:rsidDel="00000000">
              <w:rPr>
                <w:vertAlign w:val="superscript"/>
                <w:rtl w:val="0"/>
              </w:rPr>
              <w:t xml:space="preserve">1</w:t>
            </w:r>
            <w:r w:rsidR="00000000" w:rsidRPr="00000000" w:rsidDel="00000000">
              <w:rPr>
                <w:rtl w:val="0"/>
              </w:rPr>
              <w:t xml:space="preserve"> punktā minētā uzdevuma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anotācijā iekļaut arī Konkurences likuma 13. panta dominējošā stāvokļa ļaunprātīgas izmantošanas gadījumus. Norādām, ka Eiropas Savienības likumdevējs un Eiropas Savienības Tiesa ir pateikusi, ka efektīva konkurence ir aizsargājama visos līmeņos, tai skaitā dominējoša stāvokļa ļaunprātīgas izmantošanas gadījumā. Norādām, ka vienas no skaļākām lietvedībām ir aktualizējušas problemātiku, tai skaitā, zaudējuma atlīdzināšanai arī dominējošā stāvokļa ļaunprātīgas izmantošanas gadījumā (sk. Judgment of the General Court (Third Chamber) Lietuvos geležinkeliai AB v Commission. Case C-42/21. Pieejams: https://curia.europa.eu/juris/liste.jsf?num=C-42/21 un Judgment of the general court (Sixth Chamber, Extended Composition) 14 September 2022. Google and Alphabet v Commission (Google Android). Case T-604/18. Pieejams: https://curia.europa.eu/juris/document/document.jsf?text=&amp;docid=265421&amp;pageIndex=0&amp;doclang=en&amp;mode=lst&amp;dir=&amp;occ=first&amp;part=1&amp;cid=8765912)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īstenojamiem pasākumiem, lai veicinātu aktīvāku publisko pasūtītāju iesaisti zaudējumu atgūšanā, kas tiem radušies organizētajos iepirkumos tirgus dalībnieku īstenoto konkurences tiesību pārkāpumu dēļ" (23-TA-1161) (turpmāk – IZ) jau pēc sava nosaukuma un saturiskās analīzes mērķēts uz zaudējumu atgūšanu, kas radušies publiskajiem pasūtītājiem aizliegtas vienošanās (KL 11. panta) pārkāpuma rezultātā, kas aptver konkurentu aizliegtas vienošanās par dalības, kā arī citiem nosacījumiem iepirkumos jeb karteļa vienošanās. Pamatojoties uz IZ izdarītajiem secinājumiem, Likumprojekts sagatavots, lai pildītu Ministru kabineta 2024. gada 9. janvāra sēdes protokollēmumā (prot. Nr.1  71.§  2.punkts) doto uzdevumu, IZ izskatot Ministru kabinetā. Tādējādi KP jaunā funkcija ir sniegt metodisko atbalstu publiskajiem pasūtītājiem konkurences tiesību pārkāpuma rezultātā radīto zaudējumu apzināšanā, kā arī to novērtēšanā un aprēķināšanā. Ja KP saņems iesniegumu no publiskas personas vai tās kapitālsabiedrības ar lūgumu sniegt metodisko atbalstu arī KL 13. panta/LESD 102. panta tvērumā, šis lūgums tiks izskatīts atbilstoši KP iespējām, prioritātēm un pieejamajiem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tiks nodrošināta likumā “Par valsts budžetu 2024. gadam un budžeta ietvaru 2024., 2025. un 2026. gadam” Ekonomikas ministrijas budžeta apakšprogrammā 26.02.00 “Konkurences politikas ieviešana” prioritārajam pasākumam “Atbalsta sniegšana publiskajiem pasūtītājiem karteļa vienošanās rezultātā nodarīto zaudējumu atgūšanā” piešķirtā finansējuma ietvaros 2024.gadā 360 128 euro apmērā, 2025.gadā 322 799 euro apmērā un 2026.gadā 322 096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FM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24-TA-409</w:t>
    </w:r>
    <w:r>
      <w:br/>
    </w:r>
    <w:r w:rsidR="00000000" w:rsidRPr="00000000" w:rsidDel="00000000">
      <w:rPr>
        <w:rtl w:val="0"/>
      </w:rPr>
      <w:t xml:space="preserve">27.05.2024. 12.02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24-TA-409</w:t>
    </w:r>
    <w:r>
      <w:br/>
    </w:r>
    <w:r w:rsidR="00000000" w:rsidRPr="00000000" w:rsidDel="00000000">
      <w:rPr>
        <w:rtl w:val="0"/>
      </w:rPr>
      <w:t xml:space="preserve">27.05.2024. 12.02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Izziņa_24-TA-409.docx</dc:title>
</cp:coreProperties>
</file>

<file path=docProps/custom.xml><?xml version="1.0" encoding="utf-8"?>
<Properties xmlns="http://schemas.openxmlformats.org/officeDocument/2006/custom-properties" xmlns:vt="http://schemas.openxmlformats.org/officeDocument/2006/docPropsVTypes"/>
</file>