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24-TA-2692: Noteikumu 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2023. gada 10. janvāra noteikumos Nr. 10 "Latvijas Atveseļošanas un noturības mehānisma plāna 2. komponentes "Digitālā transformācija" 2.2. reformu un investīciju virziena "Uzņēmumu digitālā transformācija un inovācijas" 2.2.1.r. "Uzņēmējdarbības digitālās transformācijas pilna cikla atbalsta izveide ar reģionālo tvērumu" 2.2.1.2.i. investīcijas "Atbalsts procesu digitalizācijai komercdarbībā" īstenošanas noteikumi"</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left w:val="nil"/>
              <w:right w:val="nil"/>
            </w:tcBorders>
          </w:tcPr>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1.0 Likumi.lv (11.07.2024.)</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- 28.10.2024.)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pārskatīt anotācijā norādīto noteikumu projekta izstrādes pamatojumu, izvērtējot vai noteikumu projekta izstrāde nav saistīta arī ar Kultūras ministrijas noteikumu projektu "Grozījumi Ministru kabineta 2024. gada 20. februāra noteikumos Nr. 119 "Eiropas Savienības Atveseļošanas un noturības mehānisma plāna 2.2. reformu un investīciju virziena "Uzņēmumu digitālā transformācija un inovācijas" 2.2.1.5.i. investīcijas "Mediju nozares uzņēmumu digitālās transformācijas veicināšana" pasākuma "Mediju nozares uzņēmumu procesu modernizēšana" īstenošanas noteikumi"" (Tiesību akta lietas ID: 24-TA-2721) un tā protokollēmuma projekta 3. punktā Ekonomikas ministrijai uzdoto uzdevumu izstrādāt grozījumus Ministru kabineta 2023. gada 10. janvāra noteikumos Nr. 10 "Latvijas Atveseļošanas un noturības mehānisma plāna 2. komponentes "Digitālā transformācija" 2.2. reformu un investīciju virziena "Uzņēmumu digitālā transformācija un inovācijas" 2.2.1.r. "Uzņēmējdarbības digitālās transformācijas pilna cikla atbalsta izveide ar reģionālo tvērumu" 2.2.1.2.i. investīcijas "Atbalsts procesu digitalizācijai komercdarbībā" īstenošanas noteikumi".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 ir izvērtējusi Tieslietu ministrijas priekšlikumu un informē, ka abās minētajās investīcijās grozījumi tiek sagatavoti vienlaicīgi, un vienlaicīgi tiks pieņemti Ministru kabinetā. Attiecīgi, nav nepieciešams mainīt noteikumu projekta izstrādes pamatojumu.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- 29.10.2024.)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informāciju par grozījumu ietekmi uz īstenošanā esošajiem projektiem, tostarp informāciju par to, vai tiks veikti grozījumi vienošanās starp Ekonomikas ministriju un Latvijas Investīciju un attīstības aģentūru un līgumos starp Latvijas Investīciju un attīstības aģentūru un gala labuma guvējiem, un vai grozījumi līgumos un vienošanās uzskatāmi par būtiskiem un ietekmē darbību veidu, mērķus vai īstenošanas nosacījumus.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anotācija papildināta.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- 28.10.2024.)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skaidrot ietekmi uz komersantiem, kuri vēl tikai plāno pretendēt uz 2.2.1.2.i. investīciju atbalsta programmās pieejamo finansējumu, ņemot vērā, ka, pamatojoties uz noteikumu projektu, tajā tiks samazināts kopējais attiecināmais finansējuma apmērs.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raksturot, piemēram, to, vai tiek ievērots tiesiskās paļāvības princips un vai nepastāv riski, ka finansējuma samazināšanas rezultātā potenciālajiem finansējuma saņēmējiem, kuriem bija iespēja saņemt atbalstu, tā zūd nepietiekama finansējuma dēļ, kas radies pamatojoties uz noteikumu projektā ietvertajiem grozījumiem. Kā arī lūdzam izvērtēt to, vai nepastāv risks, ka kāds subjekts tiek nostādīts sliktākā stāvoklī par citiem.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ņemot vērā iepriekš minēto, lūdzam izvērtēt tiesību akta projekta ietekmējamās sabiedrības grupas un ietekmi uz tautsaimniecības attīstību, aizpildot arī anotācijas 2. sadaļu. Vēršam uzmanību, ka, ņemot vērā noteikumu projekta būtību, tas var ietekmēt, piemēram, potenciālos atbalsta programmu dalībniekus.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 skaidro, ka 2.2.1.2.i. investīcijas ietvaros komersantu pieprasījums rada risku finansējuma apgūšanai un rādītāju sasniegšanai. Attiecīgi, Ekonomikas ministrija nesaskata risku finansējuma nepietiekamībai arī pēc finansējuma pārdales. Papildināta anotācija.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- 28.10.2024.)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skaidrojumus anotācijas 1.3. apakšsadaļā un veikt tajos nepieciešamos precizējumus. Piemēram, vēršam uzmanību, ka atbilstoši noteikumu projekta mērķa aprakstam tiek norādīts uz finansējuma pārdali "</w:t>
            </w:r>
            <w:r w:rsidR="00000000" w:rsidRPr="00000000" w:rsidDel="00000000">
              <w:rPr>
                <w:i w:val="1"/>
                <w:rtl w:val="0"/>
              </w:rPr>
              <w:t xml:space="preserve">no 2.2.1.2.i. investīcijas uz 2.2.1.5.i. investīciju,</w:t>
            </w:r>
            <w:r w:rsidR="00000000" w:rsidRPr="00000000" w:rsidDel="00000000">
              <w:rPr>
                <w:i w:val="1"/>
                <w:u w:val="single"/>
                <w:rtl w:val="0"/>
              </w:rPr>
              <w:t xml:space="preserve"> lai samazinātu finansējuma neapguves risku 2.2.1.2.i. investīcijas ietvaros</w:t>
            </w:r>
            <w:r w:rsidR="00000000" w:rsidRPr="00000000" w:rsidDel="00000000">
              <w:rPr>
                <w:rtl w:val="0"/>
              </w:rPr>
              <w:t xml:space="preserve">", tajā pašā laikā anotācijas 1.3. apakšsadaļā pretēji iepriekš minētajam norādīts, ka "</w:t>
            </w:r>
            <w:r w:rsidR="00000000" w:rsidRPr="00000000" w:rsidDel="00000000">
              <w:rPr>
                <w:i w:val="1"/>
                <w:rtl w:val="0"/>
              </w:rPr>
              <w:t xml:space="preserve">Ekonomikas ministrija </w:t>
            </w:r>
            <w:r w:rsidR="00000000" w:rsidRPr="00000000" w:rsidDel="00000000">
              <w:rPr>
                <w:i w:val="1"/>
                <w:u w:val="single"/>
                <w:rtl w:val="0"/>
              </w:rPr>
              <w:t xml:space="preserve">nesaskata risku rādītāju sasniegšanai</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 skaidro, ka norādītais ir pareizs, jo rādītāji apliecina, ka komersantu skaits, kam tiks sniegts atbalsts līdz 2026. gada 30. jūnijam tiks sasniegts. Bet šie komersanti pieprasa mazāku atbalsta finansējumu nekā sākotnēji tika plānots, tādējādi pastāv risks neapgūt finansējumu.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- 29.10.2024.)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precizēt anotācijas 3.sadaļā sniegto informāciju par ietekmi uz valsts budžetu, jo šobrīd sadaļā nav atspoguļots noteikumu projektā paredzētais finansējuma samazinājums 4 milj. euro apmērā, turklāt nav saprotams kādēļ 1.2.apakšpunktā ir norādīti valsts speciālā budžeta ieņēmumi. Vienlaikus jāpapildina 6.punkts ar skaidrojošo informāciju, kas pamato finansējuma pārdales iespēju, savukārt punktā “Cita informācija” jānorāda, ka Atveseļošanas fonda finansējums 4 000 000 euro apmērā tiks pārdalīts no 2.2.1.2.i. investīcijas uz 2.2.1.5.i. investīciju, kā arī jāpapildina ar informāciju, kuras ministrijas budžeta programmā/apakšprogrammā 2024.gadā ir paredzēts finansējums 2.2.1.2.i. investīcijas īstenošanai.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anotācija precizēta.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- 29.10.2024.)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2.2.1.2.i. investīcijas īstenošanai paredzēto kopējo finansējumu veido Atveseļošanas fonda finansējums un valsts budžeta finansējums pievienotās vērtības nodokļa segšanai, lūdzam skaidrot kādēļ pārdalot Atveseļošanas fonda finansējumu netiek samazināta valsts budžeta finansējuma daļa pievienotās vērtības nodokļa segšanai.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anotācijas 3. sadaļa papildināta.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Projekta izstrādē iesaistītās institūcijas un sabiedrības līdzdalības process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- 28.10.2024.)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aizpildīt anotācijas 6. sadaļu, ņemot vērā, ka gadījumā, ja uz noteikumu projektu attiecas sabiedrības līdzdalības process, kā tas norādīts arī attiecībā uz konkrēto noteikumu projektu, tad:</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anotācijas 6.1. apakšsadaļā norāda konkrētās valsts un pašvaldību institūcijas un nevalstiskās organizācijas, kuras bija iesaistītas noteikumu projekta izstrādē;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anotācijas 6.2. apakšsadaļā norāda īstenotos līdzdalības veidus, izvēloties veidu, kā arī īsi aprakstot rezultātus katram no izmantotajiem veidiem;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anotācijas 6.3. apakšsadaļā sniedz apkopojumu par līdzdalības procesa kopējiem rezultātiem (raksturojot visus izmantotos veidus) un to ietekmi uz projekta saturu.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ka sabiedrības līdzdalība uz šo noteikumu projektu neattiecas.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Projekta izstrādē iesaistītās institūcijas un sabiedrības līdzdalības process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13.1. darbībām, kuras veic Ekonomikas ministrija un Latvijas Investīciju un attīstības aģentūra, lai atbalsta programmas īstenošanas laikā novērstu korupcijas, krāpšanas, interešu konflikta principus saskaņā ar Komisijas 2018. gada 18. jūlija Regulas (ES) Nr. </w:t>
            </w:r>
            <w:r w:rsidR="00000000" w:rsidRPr="00000000" w:rsidDel="00000000">
              <w:rPr>
                <w:rtl w:val="0"/>
              </w:rPr>
              <w:t xml:space="preserve">2018/1046</w:t>
            </w:r>
            <w:r w:rsidR="00000000" w:rsidRPr="00000000" w:rsidDel="00000000">
              <w:rPr>
                <w:rtl w:val="0"/>
              </w:rPr>
              <w:t xml:space="preserve"> par finanšu noteikumiem, ko piemēro Savienības vispārējam budžetam, ar kuru groza Regulas (ES) Nr. 1296/2013, (ES) Nr. 1301/2013, (ES) Nr. 1303/2013, (ES) Nr. 1304/2013, (ES) Nr. 1309/2013, (ES) Nr. 1316/2013, (ES) Nr. 223/2014, (ES) Nr. 283/2014 un Lēmumu Nr. 541/2014/ES un atceļ Regulu (ES, Euratom) Nr. 966/2012 (turpmāk – Komisijas regula Nr. 2018/1046), 61. pantu un dubultfinansējuma risku arī gala labuma guvēja līmenī;</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- 29.10.2024.)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2024. gada 30. septembrī stājusies spēkā jaunā “Finanšu regula” – Eiropas Parlamenta un Padomes 2024. gada 23. septembra Regula (ES, Euratom) 2024/2509 par finanšu noteikumiem, ko piemēro Savienības vispārējam budžetam (pārstrādāta redakcija) (turpmāk - Regula 2024/2509), un saskaņā ar Regulas 2024/2509 279. pantu tā atceļ iepriekšējo “Finanšu regulu” – Eiropas Parlamenta un Padomes 2018. gada 18. jūlija Regula (ES, Euratom) 2018/1046 par finanšu noteikumiem, ko piemēro Savienības vispārējam budžetam, ar kuru groza Regulas (ES) Nr. 1296/2013, (ES) Nr. 1301/2013, (ES) Nr. 1303/2013, (ES) Nr. 1304/2013, (ES) Nr. 1309/2013, (ES) Nr. 1316/2013, (ES) Nr. 223/2014, (ES) Nr. 283/2014 un Lēmumu Nr. 541/2014/ES un atceļ Regulu (ES, Euratom) Nr. 966/2012 (turpmāk – Regula 2018/1046).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lūdzam Ministru kabineta 2023. gada 10. janvāra noteikumos Nr. 10 "Latvijas Atveseļošanas un noturības mehānisma plāna 2. komponentes "Digitālā transformācija" 2.2. reformu un investīciju virziena "Uzņēmumu digitālā transformācija un inovācijas" 2.2.1.r. "Uzņēmējdarbības digitālās transformācijas pilna cikla atbalsta izveide ar reģionālo tvērumu" 2.2.1.2.i. investīcijas "Atbalsts procesu digitalizācijai komercdarbībā" īstenošanas noteikumi" precizēt atsauces uz Regulu 2018/1046, to vietā norādot atsauces uz Regulu 2024/2509. Saskaņā ar Regulas 2024/2509 279. pantu atsauces uz atcelto Regulu 2018/1046 uzskata par atsaucēm uz Regulu 2024/2509, un tās lasa saskaņā ar atbilstības tabulu Regulas 2024/2509 II pielikumā.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un anotācija precizēta.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13.1. darbībām, kuras veic Ekonomikas ministrija un Latvijas Investīciju un attīstības aģentūra, lai atbalsta programmas īstenošanas laikā novērstu korupcijas, krāpšanas, interešu konflikta principus saskaņā ar Eiropas Parlamenta un Padomes 2024. gada 23 .septembra regulas Nr. 2024/2509 par finanšu noteikumiem, ko piemēro Savienības vispārējam budžetam (turpmāk – Regula Nr. 2024/2509) 61. pantu un dubultfinansējuma risku arī gala labuma guvēja līmenī;</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34.4.1.9. uz to attiecas līdzekļu atgūšanas rīkojums, kas minēts Komisijas regulas Nr. </w:t>
            </w:r>
            <w:r w:rsidR="00000000" w:rsidRPr="00000000" w:rsidDel="00000000">
              <w:rPr>
                <w:rtl w:val="0"/>
              </w:rPr>
              <w:t xml:space="preserve">651/2014</w:t>
            </w:r>
            <w:r w:rsidR="00000000" w:rsidRPr="00000000" w:rsidDel="00000000">
              <w:rPr>
                <w:rtl w:val="0"/>
              </w:rPr>
              <w:t xml:space="preserve"> 1. panta 4. punkta "a" apakšpunktā, ja atbalsts tiek sniegts saskaņā ar Komisijas regulu Nr. 651/2014;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- 29.10.2024.)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Komisijas 2014. gada 17. jūnija Regulas (ES) Nr. 651/2014, ar ko noteiktas atbalsta kategorijas atzīst par saderīgām ar iekšējo tirgu, piemērojot Līguma 107. un 108. pantu (turpmāk – Komisijas Regula Nr. 651/2014), 1. panta 4. punkta a) apakšpunktā iekļautais nosacījums ir jāvērtē/jāpiemēro uzņēmuma grupas līmenī (Komisijas Regulas Nr. 651/2014 angliskajā versijā nosacījumi, kas ir attiecināmi uz ‘undertaking’, ir jāpārbauda/jāpiemēro uzņēmuma grupas līmenī), lūdzam papildināt noteikumu projekta 34.4.1.9. apakšpunktu, paredzot, ka šo nosacījumu vērtē uzņēmuma grupas līmenī.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papildināts.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34.4.1.9. uz to attiecas līdzekļu atgūšanas rīkojums, kas minēts Komisijas regulas Nr. </w:t>
            </w:r>
            <w:r w:rsidR="00000000" w:rsidRPr="00000000" w:rsidDel="00000000">
              <w:rPr>
                <w:rtl w:val="0"/>
              </w:rPr>
              <w:t xml:space="preserve">651/2014</w:t>
            </w:r>
            <w:r w:rsidR="00000000" w:rsidRPr="00000000" w:rsidDel="00000000">
              <w:rPr>
                <w:rtl w:val="0"/>
              </w:rPr>
              <w:t xml:space="preserve"> 1. panta 4. punkta "a" apakšpunktā, ja atbalsts tiek sniegts saskaņā ar Komisijas regulu Nr. 651/2014. Šo nosacījumu vērtē uzņēmuma grupas līmenī;</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66. Gala labuma guvēja lielumu un to, vai gala labuma guvējs neatbilst grūtībās nonākuša uzņēmēja statusam saskaņā ar Komisijas regulas Nr. </w:t>
            </w:r>
            <w:r w:rsidR="00000000" w:rsidRPr="00000000" w:rsidDel="00000000">
              <w:rPr>
                <w:rtl w:val="0"/>
              </w:rPr>
              <w:t xml:space="preserve">651/2014</w:t>
            </w:r>
            <w:r w:rsidR="00000000" w:rsidRPr="00000000" w:rsidDel="00000000">
              <w:rPr>
                <w:rtl w:val="0"/>
              </w:rPr>
              <w:t xml:space="preserve"> 2. panta 18. punkta nosacījumiem, Latvijas Investīciju un attīstības aģentūra vērtē uz brīdi, kad tiek pieņemts lēmums par komercdarbības atbalsta piešķiršanu.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- 29.10.2024.)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Komisijas Regulas Nr. 651/2014 2. panta 18. punkta nosacījumi ir jāvērtē/jāpiemēro uzņēmuma grupas līmenī (Komisijas Regulas Nr. 651/2014 angliskajā versijā nosacījumi, kas ir attiecināmi uz ‘undertaking’, ir jāpārbauda/jāpiemēro uzņēmuma grupas līmenī), lūdzam papildināt noteikumu projekta 66. punktu ar nosacījumu, ka gala labuma guvējs attiecībā uz grūtībās nonākuša uzņēmuma pazīmēm tiek vērtēts grupas līmenī.</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papildināts.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66. Gala labuma guvēja lielumu un to, vai gala labuma guvējs neatbilst grūtībās nonākuša uzņēmēja statusam saskaņā ar Komisijas regulas Nr. </w:t>
            </w:r>
            <w:r w:rsidR="00000000" w:rsidRPr="00000000" w:rsidDel="00000000">
              <w:rPr>
                <w:rtl w:val="0"/>
              </w:rPr>
              <w:t xml:space="preserve">651/2014</w:t>
            </w:r>
            <w:r w:rsidR="00000000" w:rsidRPr="00000000" w:rsidDel="00000000">
              <w:rPr>
                <w:rtl w:val="0"/>
              </w:rPr>
              <w:t xml:space="preserve"> 2. panta 18. punkta nosacījumiem, Latvijas Investīciju un attīstības aģentūra vērtē uz brīdi, kad tiek pieņemts lēmums par komercdarbības atbalsta piešķiršanu. Gala labuma guvējs attiecībā uz grūtībās nonākuša uzņēmuma pazīmēm tiek vērtēts grupas līmenī.</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83. </w:t>
            </w:r>
            <w:r w:rsidR="00000000" w:rsidRPr="00000000" w:rsidDel="00000000">
              <w:rPr>
                <w:i w:val="1"/>
                <w:rtl w:val="0"/>
              </w:rPr>
              <w:t xml:space="preserve">De minimis</w:t>
            </w:r>
            <w:r w:rsidR="00000000" w:rsidRPr="00000000" w:rsidDel="00000000">
              <w:rPr>
                <w:rtl w:val="0"/>
              </w:rPr>
              <w:t xml:space="preserve"> atbalsta uzskaiti veic saskaņā ar normatīvajiem aktiem par </w:t>
            </w:r>
            <w:r w:rsidR="00000000" w:rsidRPr="00000000" w:rsidDel="00000000">
              <w:rPr>
                <w:i w:val="1"/>
                <w:rtl w:val="0"/>
              </w:rPr>
              <w:t xml:space="preserve">de minimis</w:t>
            </w:r>
            <w:r w:rsidR="00000000" w:rsidRPr="00000000" w:rsidDel="00000000">
              <w:rPr>
                <w:rtl w:val="0"/>
              </w:rPr>
              <w:t xml:space="preserve"> atbalsta uzskaites un piešķiršanas kārtību un </w:t>
            </w:r>
            <w:r w:rsidR="00000000" w:rsidRPr="00000000" w:rsidDel="00000000">
              <w:rPr>
                <w:i w:val="1"/>
                <w:rtl w:val="0"/>
              </w:rPr>
              <w:t xml:space="preserve">de minimis </w:t>
            </w:r>
            <w:r w:rsidR="00000000" w:rsidRPr="00000000" w:rsidDel="00000000">
              <w:rPr>
                <w:rtl w:val="0"/>
              </w:rPr>
              <w:t xml:space="preserve">atbalsta uzskaites veidlapu paraugiem.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- 29.10.2024.)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šā gada 1.jūlijā stājušies spēkā grozījumi Ministru kabineta 2018. gada 21. novembra noteikumos Nr. 715 "De minimis atbalsta uzskaites un piešķiršanas kārtība", lūdzam precizēt noteikumu projekta 83. punktu, svītrojot vārdus "un de minimis atbalsta uzskaites veidlapu paraugiem".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punkts precizēts.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83. </w:t>
            </w:r>
            <w:r w:rsidR="00000000" w:rsidRPr="00000000" w:rsidDel="00000000">
              <w:rPr>
                <w:i w:val="1"/>
                <w:rtl w:val="0"/>
              </w:rPr>
              <w:t xml:space="preserve">De minimis</w:t>
            </w:r>
            <w:r w:rsidR="00000000" w:rsidRPr="00000000" w:rsidDel="00000000">
              <w:rPr>
                <w:rtl w:val="0"/>
              </w:rPr>
              <w:t xml:space="preserve"> atbalsta uzskaiti veic saskaņā ar normatīvajiem aktiem par </w:t>
            </w:r>
            <w:r w:rsidR="00000000" w:rsidRPr="00000000" w:rsidDel="00000000">
              <w:rPr>
                <w:i w:val="1"/>
                <w:rtl w:val="0"/>
              </w:rPr>
              <w:t xml:space="preserve">de minimis</w:t>
            </w:r>
            <w:r w:rsidR="00000000" w:rsidRPr="00000000" w:rsidDel="00000000">
              <w:rPr>
                <w:rtl w:val="0"/>
              </w:rPr>
              <w:t xml:space="preserve"> atbalsta uzskaites un piešķiršanas kārtību.</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24-TA-2692</w:t>
    </w:r>
    <w:r>
      <w:br/>
    </w:r>
    <w:r w:rsidR="00000000" w:rsidRPr="00000000" w:rsidDel="00000000">
      <w:rPr>
        <w:rtl w:val="0"/>
      </w:rPr>
      <w:t xml:space="preserve">29.10.2024. 10.46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24-TA-2692</w:t>
    </w:r>
    <w:r>
      <w:br/>
    </w:r>
    <w:r w:rsidR="00000000" w:rsidRPr="00000000" w:rsidDel="00000000">
      <w:rPr>
        <w:rtl w:val="0"/>
      </w:rPr>
      <w:t xml:space="preserve">29.10.2024. 10.46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Izziņa_24-TA-2692.docx</dc:title>
</cp:coreProperties>
</file>

<file path=docProps/custom.xml><?xml version="1.0" encoding="utf-8"?>
<Properties xmlns="http://schemas.openxmlformats.org/officeDocument/2006/custom-properties" xmlns:vt="http://schemas.openxmlformats.org/officeDocument/2006/docPropsVTypes"/>
</file>