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25-TA-3111: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2025. gada 7. janvāra noteikumos Nr. 24 "Noteikumi par produktivitātes aizdevumiem uzņēmumu inovācijām"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(28.06.2025.)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04.02.2026. 18:36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ir iepazinusies ar Ekonomikas ministrijas virzītajiem grozījumiem Ministru kabineta 2025. gada 7. janvāra noteikumos Nr. 24 "Noteikumi par produktivitātes aizdevumiem uzņēmumu inovācijām" (turpmāk - MK noteikumu projekts) un secina, ka MK noteikumu projekts precizē atbalsta saņemšanas nosacījumus, kapitāla atlaides rādītājus un pēcuzraudzības kritērijus, kā arī paredz papildu uzraudzības tiesības attiecībā uz atbalsta saņēmējiem, projekts ietekmē komersantus kā atbalsta saņēmējus un administratīvās prasības programmas īstenošanā. Attiecīgi būtu aizpildāma anotācijas 2. sadaļa par ietekmējamām sabiedrības grupām, tautsaimniecību un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norādīts, ka projekts neietekmē nevienu sabiedrības grupu. Vienlaikus no grozījumu satura izriet, ka tiek mainīti atbilstības nosacījumi un rezultatīvie rādītāji komersantiem, kuri pretendē uz produktivitātes aizdevumiem uzņēmumu inovācijām.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tiesību akta projekts ietekmē juridiskās personas – komersantus (gala saņēmējus), jo tiem tiek precizēti, piemēram, nodokļu saistību vērtēšanas nosacījumi, darba vietu saglabāšanas un atalgojuma prasības, u.c.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anotācijas 2.1. apakšpunktu, norādot ietekmēto sabiedrības grupu un skaidri aprakstot, kas tieši šai mērķa grupai mainās salīdzinājumā ar spēkā esošo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šobrīd ir norādīts, ka tiesību akta projekta izpildes nodrošināšanā nav iesaistīta neviena institūcija un ka projekts neietekmē institūciju darbību. Vienlaikus no grozījumu satura izriet, ka Ekonomikas ministrijai tiek paredzētas papildu tiesības veikt rādītāju faktiskās izpildes pārbaudi projekta īstenošanas vietā, kā arī pieprasīt no gala saņēmējiem skaidrojumus un dokumentāciju. Tāpat izmaiņas atbilstības nosacījumos un rezultatīvajos rādītājos var ietekmēt arī sabiedrības “Altum” uzraudzības un vērtēšanas funkciju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anotācijas 7. sadaļu, norādot institūcijas, kas nodrošinās tiesību akta izpildi, kā arī izvērtēt vai grozījumi ietekmē to funkciju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atbilstoši sniegtajiem norādījumiem. Vienlaikus skaidrojam, ka attiecībā uz nodokļu parāda pārbaudi, ko veic sabiedrība "Altum", tiek nodrošināta vienkāršotāka pieeja, tādējādi mazinot administratīvo slogu projektu vērtēšanas procesā. MK noteikumu projekts redakcionāli precizē atbalsta saņemšanas nosacījumus atbilstoši Komisijas regulai Nr.651/2014, līdz ar to, sabiedrības "Altum" uzraudzības un projektu vērtēšanas funkciju apjoms netiek palielināts, bet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katru darba vietu, kas radīta ieguldījuma rezultātā, attiecīgajā teritoriālajā apgabalā (pilsētas, novads vai reģions) saglabā vismaz trīs gadus no dienas, kad attiecīgā amata vieta pirmo reizi aizpildīta.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2.11.1. apakšpunktā kā atbalsta gala saņēmējs ir noteikti arī mazais vidējas kapitalizācijas komersants vai vidējas kapitalizācijas komersants, piešķirot atbalstu tiem ir jāpiemēro Komisijas regulas Nr.651/2014 prasības, kas izvirzītas “lielajiem uzņēmumiem”, tai skaitā, nosacījums par to, ka projektā algu izmaksas jaunai darba vietai var attiecināt, ja jaunā darba vieta, kas radīta ieguldījuma rezultātā, attiecīgajā teritoriālajā apgabalā tiek saglabāta vismaz piecus gadus no dienas, kad attiecīgā amata vieta pirmo reizi aizpildīta. Attiecīgi, lai nodrošinātu, ka korekti tiek ievērotas Komisijas regulas Nr.651/2014 14.panta 3.punktā un 9.punktā noteiktās prasības, lūdzam atbilstoši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katru darba vietu, kas radīta ieguldījuma rezultātā, attiecīgajā teritoriālajā apgabalā (pilsētas, novads vai reģions) saglabā vismaz trīs gadus (sīkajiem (mikro), mazajiem vai vidējiem komersantiem) vai vismaz piecus gadus (mazajiem vidējas kapitalizācijas komersantiem vai vidējas kapitalizācijas komersantiem), no dienas, kad attiecīgā amata vieta pirmo reizi aizpildīta.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2</w:t>
            </w:r>
            <w:r w:rsidR="00000000" w:rsidRPr="00000000" w:rsidDel="00000000">
              <w:rPr>
                <w:rtl w:val="0"/>
              </w:rPr>
              <w:t xml:space="preserve"> Ekonomikas ministrijai ir tiesības veikt rādītāju faktiskās izpildes pārbaudi projekta īstenošanas vietā, kā arī lūgt gala saņēmējam skaidrot informāciju attiecībā uz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minēto rādītāju izpildi pamatojošo dokumentāciju.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aicina papildināt šo MK noteikumu punktu, lai mazinātu riskus par ar uzraudzības īstenošanu saistīto pārbaužu pārmērīgu administratīvo slogu gala saņēmējam, kā arī nodrošinātu to, ka netiek papildus prasīts iesniegt informācija, kas ir pieejama, piemēram, publiskos informācijas avotos/datu bāzes, tādā veidā radot papildus administratīvo slogu. Kā arī jāņem vērā aspekti, ka gala saņēmējam būtu pienākums sniegt papildus skaidrojošo informāciju tikai tādā apjomā, kas tiešām pamatoti ir nepieciešama rādītāju faktiskās izpildes pārbaudei un turklāt arī neietver informāciju, kas nav izpaužam trešajām pusēm (piemēram, komercnoslēpumu saturoša informācija).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ja 32.punkts paredz arī vērtēt ieguldījumu apjomu pētniecībā un attīstībā Latvijā gala saņēmēja līmenī, tad būtu jābūt viennozīmīgi skaidram, ka šāda rādītāju izpildi pamatojošā dokumentācija, ko Ekonomikas ministrija var pieprasīt ir tāda (satura un apjoma ziņā), kas attiecas tieši uz veikto finanšu apjomu ieguldījumu, nevis, piemēram, jau par konkrētu, detalizētu pētniecības un attīstības aktivitāšu veikšanas saturu, kas var saturēt arī komercnoslēpumu (piemēram, patenti).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56.2 Ekonomikas ministrijai ir tiesības veikt rādītāju faktiskās izpildes pārbaudi projekta īstenošanas vietā, kā arī lūgt gala saņēmējam skaidrot informāciju attiecībā uz šo noteikumu 32. punktā minēto rādītāju izpildi pamatojošo dokumentāciju</w:t>
            </w:r>
            <w:r w:rsidR="00000000" w:rsidRPr="00000000" w:rsidDel="00000000">
              <w:rPr>
                <w:u w:val="single"/>
                <w:rtl w:val="0"/>
              </w:rPr>
              <w:t xml:space="preserve"> tādā apjomā, kas pamatoti nepieciešama rādītāju faktiskās izpildes pārbaudei.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sniegtajiem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2</w:t>
            </w:r>
            <w:r w:rsidR="00000000" w:rsidRPr="00000000" w:rsidDel="00000000">
              <w:rPr>
                <w:rtl w:val="0"/>
              </w:rPr>
              <w:t xml:space="preserve"> Ekonomikas ministrijai ir tiesības veikt rādītāju faktiskās izpildes pārbaudi projekta īstenošanas vietā, kā arī lūgt gala saņēmējam skaidrot informāciju attiecībā uz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minēto rādītāju izpildi pamatojošo dokumentāciju tādā apjomā, kas pamatoti nepieciešama rādītāju faktiskās izpildes pārbaudei.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25-TA-3111</w:t>
    </w:r>
    <w:r>
      <w:br/>
    </w:r>
    <w:r w:rsidR="00000000" w:rsidRPr="00000000" w:rsidDel="00000000">
      <w:rPr>
        <w:rtl w:val="0"/>
      </w:rPr>
      <w:t xml:space="preserve">24.02.2026. 13.06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25-TA-3111</w:t>
    </w:r>
    <w:r>
      <w:br/>
    </w:r>
    <w:r w:rsidR="00000000" w:rsidRPr="00000000" w:rsidDel="00000000">
      <w:rPr>
        <w:rtl w:val="0"/>
      </w:rPr>
      <w:t xml:space="preserve">24.02.2026. 13.06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Izziņa_25-TA-3111.docx</dc:title>
</cp:coreProperties>
</file>

<file path=docProps/custom.xml><?xml version="1.0" encoding="utf-8"?>
<Properties xmlns="http://schemas.openxmlformats.org/officeDocument/2006/custom-properties" xmlns:vt="http://schemas.openxmlformats.org/officeDocument/2006/docPropsVTypes"/>
</file>