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0654815" w:displacedByCustomXml="next"/>
    <w:bookmarkEnd w:id="0" w:displacedByCustomXml="next"/>
    <w:sdt>
      <w:sdtPr>
        <w:rPr>
          <w:highlight w:val="yellow"/>
        </w:rPr>
        <w:id w:val="-1673177141"/>
        <w:docPartObj>
          <w:docPartGallery w:val="Cover Pages"/>
          <w:docPartUnique/>
        </w:docPartObj>
      </w:sdtPr>
      <w:sdtEndPr>
        <w:rPr>
          <w:rFonts w:ascii="Times New Roman" w:hAnsi="Times New Roman" w:cs="Times New Roman"/>
          <w:b/>
          <w:bCs/>
          <w:sz w:val="40"/>
          <w:szCs w:val="40"/>
        </w:rPr>
      </w:sdtEndPr>
      <w:sdtContent>
        <w:p w14:paraId="42EAD3DB" w14:textId="3E533620" w:rsidR="00444AD7" w:rsidRPr="00883EE7" w:rsidRDefault="0043127A">
          <w:pPr>
            <w:rPr>
              <w:highlight w:val="yellow"/>
            </w:rPr>
          </w:pPr>
          <w:r>
            <w:rPr>
              <w:rFonts w:ascii="Times New Roman" w:hAnsi="Times New Roman" w:cs="Times New Roman"/>
              <w:b/>
              <w:noProof/>
              <w:sz w:val="40"/>
            </w:rPr>
            <w:drawing>
              <wp:anchor distT="0" distB="0" distL="114300" distR="114300" simplePos="0" relativeHeight="251662336" behindDoc="1" locked="0" layoutInCell="1" allowOverlap="1" wp14:anchorId="689DFE24" wp14:editId="3F92C840">
                <wp:simplePos x="0" y="0"/>
                <wp:positionH relativeFrom="page">
                  <wp:align>center</wp:align>
                </wp:positionH>
                <wp:positionV relativeFrom="paragraph">
                  <wp:posOffset>-811520</wp:posOffset>
                </wp:positionV>
                <wp:extent cx="1383665" cy="1511935"/>
                <wp:effectExtent l="0" t="0" r="6985" b="0"/>
                <wp:wrapNone/>
                <wp:docPr id="903570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3665" cy="1511935"/>
                        </a:xfrm>
                        <a:prstGeom prst="rect">
                          <a:avLst/>
                        </a:prstGeom>
                        <a:noFill/>
                      </pic:spPr>
                    </pic:pic>
                  </a:graphicData>
                </a:graphic>
                <wp14:sizeRelH relativeFrom="page">
                  <wp14:pctWidth>0</wp14:pctWidth>
                </wp14:sizeRelH>
                <wp14:sizeRelV relativeFrom="page">
                  <wp14:pctHeight>0</wp14:pctHeight>
                </wp14:sizeRelV>
              </wp:anchor>
            </w:drawing>
          </w:r>
        </w:p>
        <w:p w14:paraId="1098F6D4" w14:textId="19DA8DD7" w:rsidR="00FE0EAE" w:rsidRDefault="00FE0EAE">
          <w:pPr>
            <w:rPr>
              <w:rFonts w:ascii="Times New Roman" w:hAnsi="Times New Roman" w:cs="Times New Roman"/>
              <w:b/>
              <w:sz w:val="40"/>
            </w:rPr>
          </w:pPr>
        </w:p>
        <w:p w14:paraId="47CB8D98" w14:textId="69B4456A" w:rsidR="00FE0EAE" w:rsidRDefault="00FE0EAE" w:rsidP="0043127A">
          <w:pPr>
            <w:jc w:val="center"/>
            <w:rPr>
              <w:rFonts w:ascii="Times New Roman" w:hAnsi="Times New Roman" w:cs="Times New Roman"/>
              <w:b/>
              <w:sz w:val="40"/>
            </w:rPr>
          </w:pPr>
        </w:p>
        <w:p w14:paraId="1CDC4014" w14:textId="6FDAA8F6" w:rsidR="00FE0EAE" w:rsidRDefault="00FE0EAE">
          <w:pPr>
            <w:rPr>
              <w:rFonts w:ascii="Times New Roman" w:hAnsi="Times New Roman" w:cs="Times New Roman"/>
              <w:b/>
              <w:sz w:val="40"/>
            </w:rPr>
          </w:pPr>
        </w:p>
        <w:p w14:paraId="47C21CD8" w14:textId="485CA8E8" w:rsidR="00FE0EAE" w:rsidRDefault="00FE0EAE">
          <w:pPr>
            <w:rPr>
              <w:rFonts w:ascii="Times New Roman" w:hAnsi="Times New Roman" w:cs="Times New Roman"/>
              <w:b/>
              <w:sz w:val="40"/>
            </w:rPr>
          </w:pPr>
        </w:p>
        <w:p w14:paraId="3982AC8A" w14:textId="19504890" w:rsidR="00FE0EAE" w:rsidRDefault="0043127A">
          <w:pPr>
            <w:rPr>
              <w:rFonts w:ascii="Times New Roman" w:hAnsi="Times New Roman" w:cs="Times New Roman"/>
              <w:b/>
              <w:sz w:val="40"/>
            </w:rPr>
          </w:pPr>
          <w:r>
            <w:rPr>
              <w:rFonts w:ascii="Times New Roman" w:hAnsi="Times New Roman" w:cs="Times New Roman"/>
              <w:b/>
              <w:noProof/>
              <w:sz w:val="40"/>
            </w:rPr>
            <w:drawing>
              <wp:anchor distT="0" distB="0" distL="114300" distR="114300" simplePos="0" relativeHeight="251663360" behindDoc="1" locked="0" layoutInCell="1" allowOverlap="1" wp14:anchorId="10003056" wp14:editId="0B4193D0">
                <wp:simplePos x="0" y="0"/>
                <wp:positionH relativeFrom="page">
                  <wp:posOffset>-15240</wp:posOffset>
                </wp:positionH>
                <wp:positionV relativeFrom="paragraph">
                  <wp:posOffset>262255</wp:posOffset>
                </wp:positionV>
                <wp:extent cx="7577455" cy="7943215"/>
                <wp:effectExtent l="0" t="0" r="4445" b="635"/>
                <wp:wrapNone/>
                <wp:docPr id="16450671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26322"/>
                        <a:stretch/>
                      </pic:blipFill>
                      <pic:spPr bwMode="auto">
                        <a:xfrm>
                          <a:off x="0" y="0"/>
                          <a:ext cx="7577455" cy="7943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A69FAB" w14:textId="22845AA0" w:rsidR="00FE0EAE" w:rsidRDefault="0043127A">
          <w:pPr>
            <w:rPr>
              <w:rFonts w:ascii="Times New Roman" w:hAnsi="Times New Roman" w:cs="Times New Roman"/>
              <w:b/>
              <w:sz w:val="40"/>
            </w:rPr>
          </w:pPr>
          <w:r w:rsidRPr="00D241E2">
            <w:rPr>
              <w:rFonts w:ascii="Times New Roman" w:hAnsi="Times New Roman" w:cs="Times New Roman"/>
              <w:b/>
              <w:noProof/>
              <w:sz w:val="40"/>
            </w:rPr>
            <mc:AlternateContent>
              <mc:Choice Requires="wps">
                <w:drawing>
                  <wp:anchor distT="45720" distB="45720" distL="114300" distR="114300" simplePos="0" relativeHeight="251659264" behindDoc="0" locked="0" layoutInCell="1" allowOverlap="1" wp14:anchorId="1FBC0D50" wp14:editId="4EBA445D">
                    <wp:simplePos x="0" y="0"/>
                    <wp:positionH relativeFrom="margin">
                      <wp:align>center</wp:align>
                    </wp:positionH>
                    <wp:positionV relativeFrom="paragraph">
                      <wp:posOffset>394326</wp:posOffset>
                    </wp:positionV>
                    <wp:extent cx="5772150" cy="1247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247775"/>
                            </a:xfrm>
                            <a:prstGeom prst="rect">
                              <a:avLst/>
                            </a:prstGeom>
                            <a:solidFill>
                              <a:srgbClr val="FFFFFF"/>
                            </a:solidFill>
                            <a:ln w="9525">
                              <a:noFill/>
                              <a:miter lim="800000"/>
                              <a:headEnd/>
                              <a:tailEnd/>
                            </a:ln>
                          </wps:spPr>
                          <wps:txbx>
                            <w:txbxContent>
                              <w:p w14:paraId="40E06B77" w14:textId="6C788142" w:rsidR="00D241E2" w:rsidRPr="00F71627" w:rsidRDefault="00D241E2" w:rsidP="00D241E2">
                                <w:pPr>
                                  <w:jc w:val="center"/>
                                  <w:rPr>
                                    <w:rFonts w:ascii="Times New Roman" w:hAnsi="Times New Roman" w:cs="Times New Roman"/>
                                    <w:b/>
                                    <w:bCs/>
                                    <w:color w:val="203966"/>
                                    <w:sz w:val="52"/>
                                    <w:szCs w:val="52"/>
                                  </w:rPr>
                                </w:pPr>
                                <w:r w:rsidRPr="00F71627">
                                  <w:rPr>
                                    <w:rFonts w:ascii="Times New Roman" w:hAnsi="Times New Roman" w:cs="Times New Roman"/>
                                    <w:b/>
                                    <w:bCs/>
                                    <w:color w:val="203966"/>
                                    <w:sz w:val="52"/>
                                    <w:szCs w:val="52"/>
                                  </w:rPr>
                                  <w:t>INFORMATĪVAIS ZIŅOJUMS</w:t>
                                </w:r>
                              </w:p>
                              <w:p w14:paraId="1396AFAE" w14:textId="5D31F9AA" w:rsidR="00D241E2" w:rsidRPr="00F71627" w:rsidRDefault="00D241E2" w:rsidP="00D241E2">
                                <w:pPr>
                                  <w:jc w:val="center"/>
                                  <w:rPr>
                                    <w:rFonts w:ascii="Times New Roman" w:hAnsi="Times New Roman" w:cs="Times New Roman"/>
                                    <w:b/>
                                    <w:bCs/>
                                    <w:color w:val="203966"/>
                                    <w:sz w:val="52"/>
                                    <w:szCs w:val="52"/>
                                  </w:rPr>
                                </w:pPr>
                                <w:r w:rsidRPr="00F71627">
                                  <w:rPr>
                                    <w:rFonts w:ascii="Times New Roman" w:hAnsi="Times New Roman" w:cs="Times New Roman"/>
                                    <w:b/>
                                    <w:bCs/>
                                    <w:color w:val="203966"/>
                                    <w:sz w:val="52"/>
                                    <w:szCs w:val="52"/>
                                  </w:rPr>
                                  <w:t>"FISKĀLO RISKU DEKLARĀCIJA</w:t>
                                </w:r>
                                <w:r w:rsidR="006643F4">
                                  <w:rPr>
                                    <w:rFonts w:ascii="Times New Roman" w:hAnsi="Times New Roman" w:cs="Times New Roman"/>
                                    <w:b/>
                                    <w:bCs/>
                                    <w:color w:val="203966"/>
                                    <w:sz w:val="52"/>
                                    <w:szCs w:val="5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C0D50" id="_x0000_t202" coordsize="21600,21600" o:spt="202" path="m,l,21600r21600,l21600,xe">
                    <v:stroke joinstyle="miter"/>
                    <v:path gradientshapeok="t" o:connecttype="rect"/>
                  </v:shapetype>
                  <v:shape id="Text Box 2" o:spid="_x0000_s1026" type="#_x0000_t202" style="position:absolute;margin-left:0;margin-top:31.05pt;width:454.5pt;height:9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" stroked="f">
                    <v:textbox>
                      <w:txbxContent>
                        <w:p w14:paraId="40E06B77" w14:textId="6C788142" w:rsidR="00D241E2" w:rsidRPr="00F71627" w:rsidRDefault="00D241E2" w:rsidP="00D241E2">
                          <w:pPr>
                            <w:jc w:val="center"/>
                            <w:rPr>
                              <w:rFonts w:ascii="Times New Roman" w:hAnsi="Times New Roman" w:cs="Times New Roman"/>
                              <w:b/>
                              <w:bCs/>
                              <w:color w:val="203966"/>
                              <w:sz w:val="52"/>
                              <w:szCs w:val="52"/>
                            </w:rPr>
                          </w:pPr>
                          <w:r w:rsidRPr="00F71627">
                            <w:rPr>
                              <w:rFonts w:ascii="Times New Roman" w:hAnsi="Times New Roman" w:cs="Times New Roman"/>
                              <w:b/>
                              <w:bCs/>
                              <w:color w:val="203966"/>
                              <w:sz w:val="52"/>
                              <w:szCs w:val="52"/>
                            </w:rPr>
                            <w:t>INFORMATĪVAIS ZIŅOJUMS</w:t>
                          </w:r>
                        </w:p>
                        <w:p w14:paraId="1396AFAE" w14:textId="5D31F9AA" w:rsidR="00D241E2" w:rsidRPr="00F71627" w:rsidRDefault="00D241E2" w:rsidP="00D241E2">
                          <w:pPr>
                            <w:jc w:val="center"/>
                            <w:rPr>
                              <w:rFonts w:ascii="Times New Roman" w:hAnsi="Times New Roman" w:cs="Times New Roman"/>
                              <w:b/>
                              <w:bCs/>
                              <w:color w:val="203966"/>
                              <w:sz w:val="52"/>
                              <w:szCs w:val="52"/>
                            </w:rPr>
                          </w:pPr>
                          <w:r w:rsidRPr="00F71627">
                            <w:rPr>
                              <w:rFonts w:ascii="Times New Roman" w:hAnsi="Times New Roman" w:cs="Times New Roman"/>
                              <w:b/>
                              <w:bCs/>
                              <w:color w:val="203966"/>
                              <w:sz w:val="52"/>
                              <w:szCs w:val="52"/>
                            </w:rPr>
                            <w:t>"FISKĀLO RISKU DEKLARĀCIJA</w:t>
                          </w:r>
                          <w:r w:rsidR="006643F4">
                            <w:rPr>
                              <w:rFonts w:ascii="Times New Roman" w:hAnsi="Times New Roman" w:cs="Times New Roman"/>
                              <w:b/>
                              <w:bCs/>
                              <w:color w:val="203966"/>
                              <w:sz w:val="52"/>
                              <w:szCs w:val="52"/>
                            </w:rPr>
                            <w:t>"</w:t>
                          </w:r>
                        </w:p>
                      </w:txbxContent>
                    </v:textbox>
                    <w10:wrap type="square" anchorx="margin"/>
                  </v:shape>
                </w:pict>
              </mc:Fallback>
            </mc:AlternateContent>
          </w:r>
        </w:p>
        <w:p w14:paraId="7E577B09" w14:textId="77777777" w:rsidR="00FE0EAE" w:rsidRDefault="00FE0EAE">
          <w:pPr>
            <w:rPr>
              <w:rFonts w:ascii="Times New Roman" w:hAnsi="Times New Roman" w:cs="Times New Roman"/>
              <w:b/>
              <w:sz w:val="40"/>
            </w:rPr>
          </w:pPr>
        </w:p>
        <w:p w14:paraId="314A3E52" w14:textId="58F316FC" w:rsidR="00FE0EAE" w:rsidRDefault="00FE0EAE">
          <w:pPr>
            <w:rPr>
              <w:rFonts w:ascii="Times New Roman" w:hAnsi="Times New Roman" w:cs="Times New Roman"/>
              <w:b/>
              <w:sz w:val="40"/>
            </w:rPr>
          </w:pPr>
        </w:p>
        <w:p w14:paraId="6FD4C1D6" w14:textId="5CC774BA" w:rsidR="00FE0EAE" w:rsidRDefault="00FE0EAE">
          <w:pPr>
            <w:rPr>
              <w:rFonts w:ascii="Times New Roman" w:hAnsi="Times New Roman" w:cs="Times New Roman"/>
              <w:b/>
              <w:sz w:val="40"/>
            </w:rPr>
          </w:pPr>
        </w:p>
        <w:p w14:paraId="0762F0E9" w14:textId="6C643BE5" w:rsidR="00FE0EAE" w:rsidRDefault="00FE0EAE">
          <w:pPr>
            <w:rPr>
              <w:rFonts w:ascii="Times New Roman" w:hAnsi="Times New Roman" w:cs="Times New Roman"/>
              <w:b/>
              <w:sz w:val="40"/>
            </w:rPr>
          </w:pPr>
        </w:p>
        <w:p w14:paraId="754E65D1" w14:textId="0E6FDA9F" w:rsidR="00FE0EAE" w:rsidRDefault="00FE0EAE">
          <w:pPr>
            <w:rPr>
              <w:rFonts w:ascii="Times New Roman" w:hAnsi="Times New Roman" w:cs="Times New Roman"/>
              <w:b/>
              <w:sz w:val="40"/>
            </w:rPr>
          </w:pPr>
        </w:p>
        <w:p w14:paraId="64EE954D" w14:textId="3B0CA52F" w:rsidR="00FE0EAE" w:rsidRDefault="00FE0EAE">
          <w:pPr>
            <w:rPr>
              <w:rFonts w:ascii="Times New Roman" w:hAnsi="Times New Roman" w:cs="Times New Roman"/>
              <w:b/>
              <w:sz w:val="40"/>
            </w:rPr>
          </w:pPr>
        </w:p>
        <w:p w14:paraId="23D6A5A7" w14:textId="6E295698" w:rsidR="00FE0EAE" w:rsidRDefault="00FE0EAE">
          <w:pPr>
            <w:rPr>
              <w:rFonts w:ascii="Times New Roman" w:hAnsi="Times New Roman" w:cs="Times New Roman"/>
              <w:b/>
              <w:sz w:val="40"/>
            </w:rPr>
          </w:pPr>
        </w:p>
        <w:p w14:paraId="4C41E7FF" w14:textId="170FC0D2" w:rsidR="00FE0EAE" w:rsidRDefault="00FE0EAE">
          <w:pPr>
            <w:rPr>
              <w:rFonts w:ascii="Times New Roman" w:hAnsi="Times New Roman" w:cs="Times New Roman"/>
              <w:b/>
              <w:sz w:val="40"/>
            </w:rPr>
          </w:pPr>
        </w:p>
        <w:p w14:paraId="6F9A9CE8" w14:textId="5565A54C" w:rsidR="00FE0EAE" w:rsidRDefault="00FE0EAE">
          <w:pPr>
            <w:rPr>
              <w:rFonts w:ascii="Times New Roman" w:hAnsi="Times New Roman" w:cs="Times New Roman"/>
              <w:b/>
              <w:sz w:val="40"/>
            </w:rPr>
          </w:pPr>
        </w:p>
        <w:p w14:paraId="397035D5" w14:textId="7F20EF2C" w:rsidR="00FE0EAE" w:rsidRDefault="00FE0EAE">
          <w:pPr>
            <w:rPr>
              <w:rFonts w:ascii="Times New Roman" w:hAnsi="Times New Roman" w:cs="Times New Roman"/>
              <w:b/>
              <w:sz w:val="40"/>
            </w:rPr>
          </w:pPr>
        </w:p>
        <w:p w14:paraId="1A898740" w14:textId="41629214" w:rsidR="00FE0EAE" w:rsidRDefault="00FE0EAE">
          <w:pPr>
            <w:rPr>
              <w:rFonts w:ascii="Times New Roman" w:hAnsi="Times New Roman" w:cs="Times New Roman"/>
              <w:b/>
              <w:sz w:val="40"/>
            </w:rPr>
          </w:pPr>
        </w:p>
        <w:p w14:paraId="3AF5C715" w14:textId="7D8ADB4F" w:rsidR="00444AD7" w:rsidRPr="00FE0EAE" w:rsidRDefault="00E93743" w:rsidP="009D39BF">
          <w:pPr>
            <w:rPr>
              <w:rFonts w:ascii="Times New Roman" w:hAnsi="Times New Roman" w:cs="Times New Roman"/>
              <w:b/>
              <w:sz w:val="40"/>
            </w:rPr>
          </w:pPr>
          <w:r w:rsidRPr="00D241E2">
            <w:rPr>
              <w:rFonts w:ascii="Times New Roman" w:hAnsi="Times New Roman" w:cs="Times New Roman"/>
              <w:b/>
              <w:noProof/>
              <w:sz w:val="40"/>
            </w:rPr>
            <mc:AlternateContent>
              <mc:Choice Requires="wps">
                <w:drawing>
                  <wp:anchor distT="45720" distB="45720" distL="114300" distR="114300" simplePos="0" relativeHeight="251661312" behindDoc="0" locked="0" layoutInCell="1" allowOverlap="1" wp14:anchorId="2389DABE" wp14:editId="3961D962">
                    <wp:simplePos x="0" y="0"/>
                    <wp:positionH relativeFrom="page">
                      <wp:align>center</wp:align>
                    </wp:positionH>
                    <wp:positionV relativeFrom="paragraph">
                      <wp:posOffset>14605</wp:posOffset>
                    </wp:positionV>
                    <wp:extent cx="1552575" cy="381000"/>
                    <wp:effectExtent l="0" t="0" r="0" b="0"/>
                    <wp:wrapSquare wrapText="bothSides"/>
                    <wp:docPr id="911304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81000"/>
                            </a:xfrm>
                            <a:prstGeom prst="rect">
                              <a:avLst/>
                            </a:prstGeom>
                            <a:noFill/>
                            <a:ln w="9525">
                              <a:noFill/>
                              <a:miter lim="800000"/>
                              <a:headEnd/>
                              <a:tailEnd/>
                            </a:ln>
                          </wps:spPr>
                          <wps:txbx>
                            <w:txbxContent>
                              <w:p w14:paraId="3C04AF83" w14:textId="2FF6DB9E" w:rsidR="00D241E2" w:rsidRPr="0043127A" w:rsidRDefault="00D241E2" w:rsidP="00D241E2">
                                <w:pPr>
                                  <w:jc w:val="center"/>
                                  <w:rPr>
                                    <w:rFonts w:ascii="Times New Roman" w:hAnsi="Times New Roman" w:cs="Times New Roman"/>
                                    <w:color w:val="FFFFFF" w:themeColor="background1"/>
                                    <w:sz w:val="32"/>
                                    <w:szCs w:val="32"/>
                                  </w:rPr>
                                </w:pPr>
                                <w:r w:rsidRPr="0043127A">
                                  <w:rPr>
                                    <w:rFonts w:ascii="Times New Roman" w:hAnsi="Times New Roman" w:cs="Times New Roman"/>
                                    <w:color w:val="FFFFFF" w:themeColor="background1"/>
                                    <w:sz w:val="32"/>
                                    <w:szCs w:val="32"/>
                                  </w:rPr>
                                  <w:t>Rīga,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9DABE" id="_x0000_s1027" type="#_x0000_t202" style="position:absolute;margin-left:0;margin-top:1.15pt;width:122.25pt;height:30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" filled="f" stroked="f">
                    <v:textbox>
                      <w:txbxContent>
                        <w:p w14:paraId="3C04AF83" w14:textId="2FF6DB9E" w:rsidR="00D241E2" w:rsidRPr="0043127A" w:rsidRDefault="00D241E2" w:rsidP="00D241E2">
                          <w:pPr>
                            <w:jc w:val="center"/>
                            <w:rPr>
                              <w:rFonts w:ascii="Times New Roman" w:hAnsi="Times New Roman" w:cs="Times New Roman"/>
                              <w:color w:val="FFFFFF" w:themeColor="background1"/>
                              <w:sz w:val="32"/>
                              <w:szCs w:val="32"/>
                            </w:rPr>
                          </w:pPr>
                          <w:r w:rsidRPr="0043127A">
                            <w:rPr>
                              <w:rFonts w:ascii="Times New Roman" w:hAnsi="Times New Roman" w:cs="Times New Roman"/>
                              <w:color w:val="FFFFFF" w:themeColor="background1"/>
                              <w:sz w:val="32"/>
                              <w:szCs w:val="32"/>
                            </w:rPr>
                            <w:t>Rīga, 2025</w:t>
                          </w:r>
                        </w:p>
                      </w:txbxContent>
                    </v:textbox>
                    <w10:wrap type="square" anchorx="page"/>
                  </v:shape>
                </w:pict>
              </mc:Fallback>
            </mc:AlternateContent>
          </w:r>
          <w:r w:rsidR="00FE0EAE">
            <w:rPr>
              <w:rFonts w:ascii="Times New Roman" w:hAnsi="Times New Roman" w:cs="Times New Roman"/>
              <w:b/>
              <w:sz w:val="40"/>
            </w:rPr>
            <w:br w:type="page"/>
          </w:r>
        </w:p>
      </w:sdtContent>
    </w:sdt>
    <w:sdt>
      <w:sdtPr>
        <w:rPr>
          <w:rFonts w:ascii="Times New Roman" w:eastAsiaTheme="minorEastAsia" w:hAnsi="Times New Roman" w:cs="Times New Roman"/>
          <w:b w:val="0"/>
          <w:bCs w:val="0"/>
          <w:smallCaps w:val="0"/>
          <w:color w:val="auto"/>
          <w:sz w:val="24"/>
          <w:szCs w:val="24"/>
          <w:highlight w:val="yellow"/>
        </w:rPr>
        <w:id w:val="494848509"/>
        <w:docPartObj>
          <w:docPartGallery w:val="Table of Contents"/>
          <w:docPartUnique/>
        </w:docPartObj>
      </w:sdtPr>
      <w:sdtEndPr>
        <w:rPr>
          <w:noProof/>
        </w:rPr>
      </w:sdtEndPr>
      <w:sdtContent>
        <w:p w14:paraId="01E351E4" w14:textId="4C277A0C" w:rsidR="002A186B" w:rsidRPr="006643F4" w:rsidRDefault="002A186B" w:rsidP="00D241E2">
          <w:pPr>
            <w:pStyle w:val="TOCHeading"/>
            <w:numPr>
              <w:ilvl w:val="0"/>
              <w:numId w:val="0"/>
            </w:numPr>
            <w:pBdr>
              <w:bottom w:val="single" w:sz="4" w:space="12" w:color="595959" w:themeColor="text1" w:themeTint="A6"/>
            </w:pBdr>
            <w:ind w:left="432" w:hanging="612"/>
            <w:jc w:val="center"/>
            <w:rPr>
              <w:rFonts w:ascii="Times New Roman" w:hAnsi="Times New Roman" w:cs="Times New Roman"/>
              <w:sz w:val="24"/>
              <w:szCs w:val="24"/>
            </w:rPr>
          </w:pPr>
          <w:r w:rsidRPr="006643F4">
            <w:rPr>
              <w:rFonts w:ascii="Times New Roman" w:hAnsi="Times New Roman" w:cs="Times New Roman"/>
              <w:sz w:val="24"/>
              <w:szCs w:val="24"/>
            </w:rPr>
            <w:t>Saturs</w:t>
          </w:r>
        </w:p>
        <w:p w14:paraId="386DF589" w14:textId="152F80FF" w:rsidR="006643F4" w:rsidRPr="006643F4" w:rsidRDefault="002A186B">
          <w:pPr>
            <w:pStyle w:val="TOC1"/>
            <w:rPr>
              <w:kern w:val="2"/>
              <w:lang w:eastAsia="lv-LV"/>
              <w14:ligatures w14:val="standardContextual"/>
            </w:rPr>
          </w:pPr>
          <w:r w:rsidRPr="006643F4">
            <w:rPr>
              <w:noProof w:val="0"/>
              <w:highlight w:val="yellow"/>
            </w:rPr>
            <w:fldChar w:fldCharType="begin"/>
          </w:r>
          <w:r w:rsidRPr="006643F4">
            <w:rPr>
              <w:highlight w:val="yellow"/>
            </w:rPr>
            <w:instrText xml:space="preserve"> TOC \o "1-3" \h \z \u </w:instrText>
          </w:r>
          <w:r w:rsidRPr="006643F4">
            <w:rPr>
              <w:noProof w:val="0"/>
              <w:highlight w:val="yellow"/>
            </w:rPr>
            <w:fldChar w:fldCharType="separate"/>
          </w:r>
          <w:hyperlink w:anchor="_Toc205554401" w:history="1">
            <w:r w:rsidR="006643F4" w:rsidRPr="006643F4">
              <w:rPr>
                <w:rStyle w:val="Hyperlink"/>
              </w:rPr>
              <w:t>Saīsinājumu saraksts</w:t>
            </w:r>
            <w:r w:rsidR="006643F4" w:rsidRPr="006643F4">
              <w:rPr>
                <w:webHidden/>
              </w:rPr>
              <w:tab/>
            </w:r>
            <w:r w:rsidR="006643F4" w:rsidRPr="006643F4">
              <w:rPr>
                <w:webHidden/>
              </w:rPr>
              <w:fldChar w:fldCharType="begin"/>
            </w:r>
            <w:r w:rsidR="006643F4" w:rsidRPr="006643F4">
              <w:rPr>
                <w:webHidden/>
              </w:rPr>
              <w:instrText xml:space="preserve"> PAGEREF _Toc205554401 \h </w:instrText>
            </w:r>
            <w:r w:rsidR="006643F4" w:rsidRPr="006643F4">
              <w:rPr>
                <w:webHidden/>
              </w:rPr>
            </w:r>
            <w:r w:rsidR="006643F4" w:rsidRPr="006643F4">
              <w:rPr>
                <w:webHidden/>
              </w:rPr>
              <w:fldChar w:fldCharType="separate"/>
            </w:r>
            <w:r w:rsidR="000E7137">
              <w:rPr>
                <w:webHidden/>
              </w:rPr>
              <w:t>4</w:t>
            </w:r>
            <w:r w:rsidR="006643F4" w:rsidRPr="006643F4">
              <w:rPr>
                <w:webHidden/>
              </w:rPr>
              <w:fldChar w:fldCharType="end"/>
            </w:r>
          </w:hyperlink>
        </w:p>
        <w:p w14:paraId="6D715AD0" w14:textId="2317E1F3" w:rsidR="006643F4" w:rsidRPr="006643F4" w:rsidRDefault="006643F4">
          <w:pPr>
            <w:pStyle w:val="TOC1"/>
            <w:rPr>
              <w:kern w:val="2"/>
              <w:lang w:eastAsia="lv-LV"/>
              <w14:ligatures w14:val="standardContextual"/>
            </w:rPr>
          </w:pPr>
          <w:hyperlink w:anchor="_Toc205554402" w:history="1">
            <w:r w:rsidRPr="006643F4">
              <w:rPr>
                <w:rStyle w:val="Hyperlink"/>
              </w:rPr>
              <w:t>Ievads</w:t>
            </w:r>
            <w:r w:rsidRPr="006643F4">
              <w:rPr>
                <w:webHidden/>
              </w:rPr>
              <w:tab/>
            </w:r>
            <w:r w:rsidRPr="006643F4">
              <w:rPr>
                <w:webHidden/>
              </w:rPr>
              <w:fldChar w:fldCharType="begin"/>
            </w:r>
            <w:r w:rsidRPr="006643F4">
              <w:rPr>
                <w:webHidden/>
              </w:rPr>
              <w:instrText xml:space="preserve"> PAGEREF _Toc205554402 \h </w:instrText>
            </w:r>
            <w:r w:rsidRPr="006643F4">
              <w:rPr>
                <w:webHidden/>
              </w:rPr>
            </w:r>
            <w:r w:rsidRPr="006643F4">
              <w:rPr>
                <w:webHidden/>
              </w:rPr>
              <w:fldChar w:fldCharType="separate"/>
            </w:r>
            <w:r w:rsidR="000E7137">
              <w:rPr>
                <w:webHidden/>
              </w:rPr>
              <w:t>6</w:t>
            </w:r>
            <w:r w:rsidRPr="006643F4">
              <w:rPr>
                <w:webHidden/>
              </w:rPr>
              <w:fldChar w:fldCharType="end"/>
            </w:r>
          </w:hyperlink>
        </w:p>
        <w:p w14:paraId="30B5D9CB" w14:textId="111F5F41" w:rsidR="006643F4" w:rsidRPr="006643F4" w:rsidRDefault="006643F4">
          <w:pPr>
            <w:pStyle w:val="TOC1"/>
            <w:rPr>
              <w:kern w:val="2"/>
              <w:lang w:eastAsia="lv-LV"/>
              <w14:ligatures w14:val="standardContextual"/>
            </w:rPr>
          </w:pPr>
          <w:hyperlink w:anchor="_Toc205554403" w:history="1">
            <w:r w:rsidRPr="006643F4">
              <w:rPr>
                <w:rStyle w:val="Hyperlink"/>
              </w:rPr>
              <w:t>1.</w:t>
            </w:r>
            <w:r w:rsidRPr="006643F4">
              <w:rPr>
                <w:kern w:val="2"/>
                <w:lang w:eastAsia="lv-LV"/>
                <w14:ligatures w14:val="standardContextual"/>
              </w:rPr>
              <w:tab/>
            </w:r>
            <w:r w:rsidRPr="006643F4">
              <w:rPr>
                <w:rStyle w:val="Hyperlink"/>
              </w:rPr>
              <w:t>Fiskālo risku vispārējā vadība</w:t>
            </w:r>
            <w:r w:rsidRPr="006643F4">
              <w:rPr>
                <w:webHidden/>
              </w:rPr>
              <w:tab/>
            </w:r>
            <w:r w:rsidRPr="006643F4">
              <w:rPr>
                <w:webHidden/>
              </w:rPr>
              <w:fldChar w:fldCharType="begin"/>
            </w:r>
            <w:r w:rsidRPr="006643F4">
              <w:rPr>
                <w:webHidden/>
              </w:rPr>
              <w:instrText xml:space="preserve"> PAGEREF _Toc205554403 \h </w:instrText>
            </w:r>
            <w:r w:rsidRPr="006643F4">
              <w:rPr>
                <w:webHidden/>
              </w:rPr>
            </w:r>
            <w:r w:rsidRPr="006643F4">
              <w:rPr>
                <w:webHidden/>
              </w:rPr>
              <w:fldChar w:fldCharType="separate"/>
            </w:r>
            <w:r w:rsidR="000E7137">
              <w:rPr>
                <w:webHidden/>
              </w:rPr>
              <w:t>8</w:t>
            </w:r>
            <w:r w:rsidRPr="006643F4">
              <w:rPr>
                <w:webHidden/>
              </w:rPr>
              <w:fldChar w:fldCharType="end"/>
            </w:r>
          </w:hyperlink>
        </w:p>
        <w:p w14:paraId="4B7120E1" w14:textId="784C24E0"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04" w:history="1">
            <w:r w:rsidRPr="006643F4">
              <w:rPr>
                <w:rStyle w:val="Hyperlink"/>
                <w:rFonts w:ascii="Times New Roman" w:hAnsi="Times New Roman" w:cs="Times New Roman"/>
                <w:noProof/>
                <w:sz w:val="24"/>
                <w:szCs w:val="24"/>
              </w:rPr>
              <w:t>1.1.</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Fiskālo risku vispārējās vadības mehānisms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_Toc205554404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8</w:t>
            </w:r>
            <w:r w:rsidRPr="006643F4">
              <w:rPr>
                <w:rFonts w:ascii="Times New Roman" w:hAnsi="Times New Roman" w:cs="Times New Roman"/>
                <w:noProof/>
                <w:webHidden/>
                <w:sz w:val="24"/>
                <w:szCs w:val="24"/>
              </w:rPr>
              <w:fldChar w:fldCharType="end"/>
            </w:r>
          </w:hyperlink>
        </w:p>
        <w:p w14:paraId="4E07334D" w14:textId="4ED1D73E"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05" w:history="1">
            <w:r w:rsidRPr="006643F4">
              <w:rPr>
                <w:rStyle w:val="Hyperlink"/>
                <w:rFonts w:ascii="Times New Roman" w:hAnsi="Times New Roman" w:cs="Times New Roman"/>
                <w:noProof/>
                <w:sz w:val="24"/>
                <w:szCs w:val="24"/>
              </w:rPr>
              <w:t>1.2.</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Fiskālo risku klasifikācija</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_Toc205554405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8</w:t>
            </w:r>
            <w:r w:rsidRPr="006643F4">
              <w:rPr>
                <w:rFonts w:ascii="Times New Roman" w:hAnsi="Times New Roman" w:cs="Times New Roman"/>
                <w:noProof/>
                <w:webHidden/>
                <w:sz w:val="24"/>
                <w:szCs w:val="24"/>
              </w:rPr>
              <w:fldChar w:fldCharType="end"/>
            </w:r>
          </w:hyperlink>
        </w:p>
        <w:p w14:paraId="0547E978" w14:textId="2DF6688C"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06" w:history="1">
            <w:r w:rsidRPr="006643F4">
              <w:rPr>
                <w:rStyle w:val="Hyperlink"/>
                <w:rFonts w:ascii="Times New Roman" w:hAnsi="Times New Roman" w:cs="Times New Roman"/>
                <w:noProof/>
                <w:sz w:val="24"/>
                <w:szCs w:val="24"/>
              </w:rPr>
              <w:t>1.3.</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Fiskālo risku ietekmes un iestāšanās varbūtības novērtēšanas metodes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_Toc205554406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9</w:t>
            </w:r>
            <w:r w:rsidRPr="006643F4">
              <w:rPr>
                <w:rFonts w:ascii="Times New Roman" w:hAnsi="Times New Roman" w:cs="Times New Roman"/>
                <w:noProof/>
                <w:webHidden/>
                <w:sz w:val="24"/>
                <w:szCs w:val="24"/>
              </w:rPr>
              <w:fldChar w:fldCharType="end"/>
            </w:r>
          </w:hyperlink>
        </w:p>
        <w:p w14:paraId="32D44190" w14:textId="3E2374E2" w:rsidR="006643F4" w:rsidRPr="006643F4" w:rsidRDefault="006643F4">
          <w:pPr>
            <w:pStyle w:val="TOC1"/>
            <w:rPr>
              <w:kern w:val="2"/>
              <w:lang w:eastAsia="lv-LV"/>
              <w14:ligatures w14:val="standardContextual"/>
            </w:rPr>
          </w:pPr>
          <w:hyperlink w:anchor="_Toc205554407" w:history="1">
            <w:r w:rsidRPr="006643F4">
              <w:rPr>
                <w:rStyle w:val="Hyperlink"/>
              </w:rPr>
              <w:t>2.</w:t>
            </w:r>
            <w:r w:rsidRPr="006643F4">
              <w:rPr>
                <w:kern w:val="2"/>
                <w:lang w:eastAsia="lv-LV"/>
                <w14:ligatures w14:val="standardContextual"/>
              </w:rPr>
              <w:tab/>
            </w:r>
            <w:r w:rsidRPr="006643F4">
              <w:rPr>
                <w:rStyle w:val="Hyperlink"/>
              </w:rPr>
              <w:t>Kvantificējamie fiskālie riski</w:t>
            </w:r>
            <w:r w:rsidRPr="006643F4">
              <w:rPr>
                <w:webHidden/>
              </w:rPr>
              <w:tab/>
            </w:r>
            <w:r w:rsidRPr="006643F4">
              <w:rPr>
                <w:webHidden/>
              </w:rPr>
              <w:fldChar w:fldCharType="begin"/>
            </w:r>
            <w:r w:rsidRPr="006643F4">
              <w:rPr>
                <w:webHidden/>
              </w:rPr>
              <w:instrText xml:space="preserve"> PAGEREF _Toc205554407 \h </w:instrText>
            </w:r>
            <w:r w:rsidRPr="006643F4">
              <w:rPr>
                <w:webHidden/>
              </w:rPr>
            </w:r>
            <w:r w:rsidRPr="006643F4">
              <w:rPr>
                <w:webHidden/>
              </w:rPr>
              <w:fldChar w:fldCharType="separate"/>
            </w:r>
            <w:r w:rsidR="000E7137">
              <w:rPr>
                <w:webHidden/>
              </w:rPr>
              <w:t>11</w:t>
            </w:r>
            <w:r w:rsidRPr="006643F4">
              <w:rPr>
                <w:webHidden/>
              </w:rPr>
              <w:fldChar w:fldCharType="end"/>
            </w:r>
          </w:hyperlink>
        </w:p>
        <w:p w14:paraId="13E40828" w14:textId="50747F7E"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08" w:history="1">
            <w:r w:rsidRPr="006643F4">
              <w:rPr>
                <w:rStyle w:val="Hyperlink"/>
                <w:rFonts w:ascii="Times New Roman" w:hAnsi="Times New Roman" w:cs="Times New Roman"/>
                <w:noProof/>
                <w:sz w:val="24"/>
                <w:szCs w:val="24"/>
              </w:rPr>
              <w:t>2.1.</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Valsts un pašvaldību galvojumi</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_Toc205554408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11</w:t>
            </w:r>
            <w:r w:rsidRPr="006643F4">
              <w:rPr>
                <w:rFonts w:ascii="Times New Roman" w:hAnsi="Times New Roman" w:cs="Times New Roman"/>
                <w:noProof/>
                <w:webHidden/>
                <w:sz w:val="24"/>
                <w:szCs w:val="24"/>
              </w:rPr>
              <w:fldChar w:fldCharType="end"/>
            </w:r>
          </w:hyperlink>
        </w:p>
        <w:p w14:paraId="2E19AE04" w14:textId="50F81839"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09" w:history="1">
            <w:r w:rsidRPr="006643F4">
              <w:rPr>
                <w:rStyle w:val="Hyperlink"/>
                <w:rFonts w:ascii="Times New Roman" w:hAnsi="Times New Roman" w:cs="Times New Roman"/>
                <w:noProof/>
                <w:sz w:val="24"/>
                <w:szCs w:val="24"/>
              </w:rPr>
              <w:t>2.2.</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Valsts galvojums studiju un studējošo kreditēšanai</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_Toc205554409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14</w:t>
            </w:r>
            <w:r w:rsidRPr="006643F4">
              <w:rPr>
                <w:rFonts w:ascii="Times New Roman" w:hAnsi="Times New Roman" w:cs="Times New Roman"/>
                <w:noProof/>
                <w:webHidden/>
                <w:sz w:val="24"/>
                <w:szCs w:val="24"/>
              </w:rPr>
              <w:fldChar w:fldCharType="end"/>
            </w:r>
          </w:hyperlink>
        </w:p>
        <w:p w14:paraId="2A358DDF" w14:textId="13D963E8"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10" w:history="1">
            <w:r w:rsidRPr="006643F4">
              <w:rPr>
                <w:rStyle w:val="Hyperlink"/>
                <w:rFonts w:ascii="Times New Roman" w:hAnsi="Times New Roman" w:cs="Times New Roman"/>
                <w:noProof/>
                <w:sz w:val="24"/>
                <w:szCs w:val="24"/>
              </w:rPr>
              <w:t>2.3.</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Valsts aizdevumi</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_Toc205554410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14</w:t>
            </w:r>
            <w:r w:rsidRPr="006643F4">
              <w:rPr>
                <w:rFonts w:ascii="Times New Roman" w:hAnsi="Times New Roman" w:cs="Times New Roman"/>
                <w:noProof/>
                <w:webHidden/>
                <w:sz w:val="24"/>
                <w:szCs w:val="24"/>
              </w:rPr>
              <w:fldChar w:fldCharType="end"/>
            </w:r>
          </w:hyperlink>
        </w:p>
        <w:p w14:paraId="63906340" w14:textId="128D3248"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11" w:history="1">
            <w:r w:rsidRPr="006643F4">
              <w:rPr>
                <w:rStyle w:val="Hyperlink"/>
                <w:rFonts w:ascii="Times New Roman" w:hAnsi="Times New Roman" w:cs="Times New Roman"/>
                <w:noProof/>
                <w:sz w:val="24"/>
                <w:szCs w:val="24"/>
              </w:rPr>
              <w:t>2.4.</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Kvantificējamie riski labklājības nozarē</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_Toc205554411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16</w:t>
            </w:r>
            <w:r w:rsidRPr="006643F4">
              <w:rPr>
                <w:rFonts w:ascii="Times New Roman" w:hAnsi="Times New Roman" w:cs="Times New Roman"/>
                <w:noProof/>
                <w:webHidden/>
                <w:sz w:val="24"/>
                <w:szCs w:val="24"/>
              </w:rPr>
              <w:fldChar w:fldCharType="end"/>
            </w:r>
          </w:hyperlink>
        </w:p>
        <w:p w14:paraId="353C73C7" w14:textId="3279A45D"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12" w:history="1">
            <w:r w:rsidRPr="006643F4">
              <w:rPr>
                <w:rStyle w:val="Hyperlink"/>
                <w:rFonts w:ascii="Times New Roman" w:hAnsi="Times New Roman" w:cs="Times New Roman"/>
                <w:noProof/>
                <w:sz w:val="24"/>
                <w:szCs w:val="24"/>
              </w:rPr>
              <w:t>2.5.</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Kārtējo maksājumu Eiropas Savienības budžetā un starptautiskai sadarbībai pieaugums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_Toc205554412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19</w:t>
            </w:r>
            <w:r w:rsidRPr="006643F4">
              <w:rPr>
                <w:rFonts w:ascii="Times New Roman" w:hAnsi="Times New Roman" w:cs="Times New Roman"/>
                <w:noProof/>
                <w:webHidden/>
                <w:sz w:val="24"/>
                <w:szCs w:val="24"/>
              </w:rPr>
              <w:fldChar w:fldCharType="end"/>
            </w:r>
          </w:hyperlink>
        </w:p>
        <w:p w14:paraId="6B3277DA" w14:textId="40C0D9B7"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13" w:history="1">
            <w:r w:rsidRPr="006643F4">
              <w:rPr>
                <w:rStyle w:val="Hyperlink"/>
                <w:rFonts w:ascii="Times New Roman" w:hAnsi="Times New Roman" w:cs="Times New Roman"/>
                <w:noProof/>
                <w:sz w:val="24"/>
                <w:szCs w:val="24"/>
              </w:rPr>
              <w:t>2.6.</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Eiropas Savienības politiku instrumentu un citu ārvalstu finanšu palīdzības programmas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_Toc205554413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21</w:t>
            </w:r>
            <w:r w:rsidRPr="006643F4">
              <w:rPr>
                <w:rFonts w:ascii="Times New Roman" w:hAnsi="Times New Roman" w:cs="Times New Roman"/>
                <w:noProof/>
                <w:webHidden/>
                <w:sz w:val="24"/>
                <w:szCs w:val="24"/>
              </w:rPr>
              <w:fldChar w:fldCharType="end"/>
            </w:r>
          </w:hyperlink>
        </w:p>
        <w:p w14:paraId="0A2CC8E1" w14:textId="73DAE7AA" w:rsidR="006643F4" w:rsidRPr="006643F4" w:rsidRDefault="006643F4">
          <w:pPr>
            <w:pStyle w:val="TOC3"/>
            <w:rPr>
              <w:rFonts w:ascii="Times New Roman" w:hAnsi="Times New Roman" w:cs="Times New Roman"/>
              <w:noProof/>
              <w:kern w:val="2"/>
              <w:sz w:val="24"/>
              <w:szCs w:val="24"/>
              <w:lang w:eastAsia="lv-LV"/>
              <w14:ligatures w14:val="standardContextual"/>
            </w:rPr>
          </w:pPr>
          <w:hyperlink w:anchor="_Toc205554414" w:history="1">
            <w:r w:rsidRPr="006643F4">
              <w:rPr>
                <w:rStyle w:val="Hyperlink"/>
                <w:rFonts w:ascii="Times New Roman" w:hAnsi="Times New Roman" w:cs="Times New Roman"/>
                <w:noProof/>
                <w:sz w:val="24"/>
                <w:szCs w:val="24"/>
              </w:rPr>
              <w:t>2.6.1. Atveseļošanas fonda un noturības mehānisma finansējuma apgūšana</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_Toc205554414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27</w:t>
            </w:r>
            <w:r w:rsidRPr="006643F4">
              <w:rPr>
                <w:rFonts w:ascii="Times New Roman" w:hAnsi="Times New Roman" w:cs="Times New Roman"/>
                <w:noProof/>
                <w:webHidden/>
                <w:sz w:val="24"/>
                <w:szCs w:val="24"/>
              </w:rPr>
              <w:fldChar w:fldCharType="end"/>
            </w:r>
          </w:hyperlink>
        </w:p>
        <w:p w14:paraId="73231BC1" w14:textId="4278FBA4"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15" w:history="1">
            <w:r w:rsidRPr="006643F4">
              <w:rPr>
                <w:rStyle w:val="Hyperlink"/>
                <w:rFonts w:ascii="Times New Roman" w:hAnsi="Times New Roman" w:cs="Times New Roman"/>
                <w:noProof/>
                <w:sz w:val="24"/>
                <w:szCs w:val="24"/>
              </w:rPr>
              <w:t>2.7.</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Apropriācijas palielināšana</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_Toc205554415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28</w:t>
            </w:r>
            <w:r w:rsidRPr="006643F4">
              <w:rPr>
                <w:rFonts w:ascii="Times New Roman" w:hAnsi="Times New Roman" w:cs="Times New Roman"/>
                <w:noProof/>
                <w:webHidden/>
                <w:sz w:val="24"/>
                <w:szCs w:val="24"/>
              </w:rPr>
              <w:fldChar w:fldCharType="end"/>
            </w:r>
          </w:hyperlink>
        </w:p>
        <w:p w14:paraId="24ECA7E9" w14:textId="34C0FAD1" w:rsidR="006643F4" w:rsidRPr="006643F4" w:rsidRDefault="006643F4">
          <w:pPr>
            <w:pStyle w:val="TOC3"/>
            <w:tabs>
              <w:tab w:val="left" w:pos="1200"/>
            </w:tabs>
            <w:rPr>
              <w:rFonts w:ascii="Times New Roman" w:hAnsi="Times New Roman" w:cs="Times New Roman"/>
              <w:noProof/>
              <w:kern w:val="2"/>
              <w:sz w:val="24"/>
              <w:szCs w:val="24"/>
              <w:lang w:eastAsia="lv-LV"/>
              <w14:ligatures w14:val="standardContextual"/>
            </w:rPr>
          </w:pPr>
          <w:hyperlink w:anchor="_Toc205554416" w:history="1">
            <w:r w:rsidRPr="006643F4">
              <w:rPr>
                <w:rStyle w:val="Hyperlink"/>
                <w:rFonts w:ascii="Times New Roman" w:eastAsia="Calibri" w:hAnsi="Times New Roman" w:cs="Times New Roman"/>
                <w:noProof/>
                <w:sz w:val="24"/>
                <w:szCs w:val="24"/>
              </w:rPr>
              <w:t>2.7.1.</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eastAsia="Calibri" w:hAnsi="Times New Roman" w:cs="Times New Roman"/>
                <w:noProof/>
                <w:sz w:val="24"/>
                <w:szCs w:val="24"/>
              </w:rPr>
              <w:t>Ieņēmumu no sniegtajiem maksas pakalpojumiem un citu pašu ieņēmumu atlikums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_Toc205554416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29</w:t>
            </w:r>
            <w:r w:rsidRPr="006643F4">
              <w:rPr>
                <w:rFonts w:ascii="Times New Roman" w:hAnsi="Times New Roman" w:cs="Times New Roman"/>
                <w:noProof/>
                <w:webHidden/>
                <w:sz w:val="24"/>
                <w:szCs w:val="24"/>
              </w:rPr>
              <w:fldChar w:fldCharType="end"/>
            </w:r>
          </w:hyperlink>
        </w:p>
        <w:p w14:paraId="25F26598" w14:textId="4FE56CDF" w:rsidR="006643F4" w:rsidRPr="006643F4" w:rsidRDefault="006643F4">
          <w:pPr>
            <w:pStyle w:val="TOC3"/>
            <w:tabs>
              <w:tab w:val="left" w:pos="1200"/>
            </w:tabs>
            <w:rPr>
              <w:rFonts w:ascii="Times New Roman" w:hAnsi="Times New Roman" w:cs="Times New Roman"/>
              <w:noProof/>
              <w:kern w:val="2"/>
              <w:sz w:val="24"/>
              <w:szCs w:val="24"/>
              <w:lang w:eastAsia="lv-LV"/>
              <w14:ligatures w14:val="standardContextual"/>
            </w:rPr>
          </w:pPr>
          <w:hyperlink w:anchor="_Toc205554417" w:history="1">
            <w:r w:rsidRPr="006643F4">
              <w:rPr>
                <w:rStyle w:val="Hyperlink"/>
                <w:rFonts w:ascii="Times New Roman" w:hAnsi="Times New Roman" w:cs="Times New Roman"/>
                <w:noProof/>
                <w:sz w:val="24"/>
                <w:szCs w:val="24"/>
              </w:rPr>
              <w:t>2.7.2.</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Apropriācijas rezerve</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_Toc205554417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29</w:t>
            </w:r>
            <w:r w:rsidRPr="006643F4">
              <w:rPr>
                <w:rFonts w:ascii="Times New Roman" w:hAnsi="Times New Roman" w:cs="Times New Roman"/>
                <w:noProof/>
                <w:webHidden/>
                <w:sz w:val="24"/>
                <w:szCs w:val="24"/>
              </w:rPr>
              <w:fldChar w:fldCharType="end"/>
            </w:r>
          </w:hyperlink>
        </w:p>
        <w:p w14:paraId="5F304ACA" w14:textId="2F02E9D5" w:rsidR="006643F4" w:rsidRPr="006643F4" w:rsidRDefault="006643F4">
          <w:pPr>
            <w:pStyle w:val="TOC3"/>
            <w:tabs>
              <w:tab w:val="left" w:pos="1200"/>
            </w:tabs>
            <w:rPr>
              <w:rFonts w:ascii="Times New Roman" w:hAnsi="Times New Roman" w:cs="Times New Roman"/>
              <w:noProof/>
              <w:kern w:val="2"/>
              <w:sz w:val="24"/>
              <w:szCs w:val="24"/>
              <w:lang w:eastAsia="lv-LV"/>
              <w14:ligatures w14:val="standardContextual"/>
            </w:rPr>
          </w:pPr>
          <w:hyperlink w:anchor="_Toc205554418" w:history="1">
            <w:r w:rsidRPr="006643F4">
              <w:rPr>
                <w:rStyle w:val="Hyperlink"/>
                <w:rFonts w:ascii="Times New Roman" w:hAnsi="Times New Roman" w:cs="Times New Roman"/>
                <w:noProof/>
                <w:sz w:val="24"/>
                <w:szCs w:val="24"/>
              </w:rPr>
              <w:t>2.7.3.</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Līdzekļi neparedzētiem gadījumiem</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_Toc205554418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30</w:t>
            </w:r>
            <w:r w:rsidRPr="006643F4">
              <w:rPr>
                <w:rFonts w:ascii="Times New Roman" w:hAnsi="Times New Roman" w:cs="Times New Roman"/>
                <w:noProof/>
                <w:webHidden/>
                <w:sz w:val="24"/>
                <w:szCs w:val="24"/>
              </w:rPr>
              <w:fldChar w:fldCharType="end"/>
            </w:r>
          </w:hyperlink>
        </w:p>
        <w:p w14:paraId="5AB207AA" w14:textId="465D2893"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19" w:history="1">
            <w:r w:rsidRPr="006643F4">
              <w:rPr>
                <w:rStyle w:val="Hyperlink"/>
                <w:rFonts w:ascii="Times New Roman" w:hAnsi="Times New Roman" w:cs="Times New Roman"/>
                <w:noProof/>
                <w:sz w:val="24"/>
                <w:szCs w:val="24"/>
              </w:rPr>
              <w:t>2.8.</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Fiskālie riski saistībā ar līdzfinansējumu ārvalstu filmu uzņemšanai un dižpasākumu organizēšanai</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_Toc205554419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31</w:t>
            </w:r>
            <w:r w:rsidRPr="006643F4">
              <w:rPr>
                <w:rFonts w:ascii="Times New Roman" w:hAnsi="Times New Roman" w:cs="Times New Roman"/>
                <w:noProof/>
                <w:webHidden/>
                <w:sz w:val="24"/>
                <w:szCs w:val="24"/>
              </w:rPr>
              <w:fldChar w:fldCharType="end"/>
            </w:r>
          </w:hyperlink>
        </w:p>
        <w:p w14:paraId="7ADCEE41" w14:textId="6067EE32"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0" w:history="1">
            <w:r w:rsidRPr="006643F4">
              <w:rPr>
                <w:rStyle w:val="Hyperlink"/>
                <w:rFonts w:ascii="Times New Roman" w:hAnsi="Times New Roman" w:cs="Times New Roman"/>
                <w:noProof/>
                <w:sz w:val="24"/>
                <w:szCs w:val="24"/>
              </w:rPr>
              <w:t>2.9.</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Fiskālais risks saistībā ar valsts garantijas sistēmu</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_Toc205554420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32</w:t>
            </w:r>
            <w:r w:rsidRPr="006643F4">
              <w:rPr>
                <w:rFonts w:ascii="Times New Roman" w:hAnsi="Times New Roman" w:cs="Times New Roman"/>
                <w:noProof/>
                <w:webHidden/>
                <w:sz w:val="24"/>
                <w:szCs w:val="24"/>
              </w:rPr>
              <w:fldChar w:fldCharType="end"/>
            </w:r>
          </w:hyperlink>
        </w:p>
        <w:p w14:paraId="08AD2A3A" w14:textId="3D68EFC2"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1" w:history="1">
            <w:r w:rsidRPr="006643F4">
              <w:rPr>
                <w:rStyle w:val="Hyperlink"/>
                <w:rFonts w:ascii="Times New Roman" w:hAnsi="Times New Roman" w:cs="Times New Roman"/>
                <w:noProof/>
                <w:sz w:val="24"/>
                <w:szCs w:val="24"/>
              </w:rPr>
              <w:t>2.10.</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Kapitāls uz pieprasījumu</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_Toc205554421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33</w:t>
            </w:r>
            <w:r w:rsidRPr="006643F4">
              <w:rPr>
                <w:rFonts w:ascii="Times New Roman" w:hAnsi="Times New Roman" w:cs="Times New Roman"/>
                <w:noProof/>
                <w:webHidden/>
                <w:sz w:val="24"/>
                <w:szCs w:val="24"/>
              </w:rPr>
              <w:fldChar w:fldCharType="end"/>
            </w:r>
          </w:hyperlink>
        </w:p>
        <w:p w14:paraId="7639BB39" w14:textId="7507D981"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2" w:history="1">
            <w:r w:rsidRPr="006643F4">
              <w:rPr>
                <w:rStyle w:val="Hyperlink"/>
                <w:rFonts w:ascii="Times New Roman" w:hAnsi="Times New Roman" w:cs="Times New Roman"/>
                <w:noProof/>
                <w:sz w:val="24"/>
                <w:szCs w:val="24"/>
              </w:rPr>
              <w:t>2.11.</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Valsts un pašvaldību kapitālsabiedrības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_Toc205554422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34</w:t>
            </w:r>
            <w:r w:rsidRPr="006643F4">
              <w:rPr>
                <w:rFonts w:ascii="Times New Roman" w:hAnsi="Times New Roman" w:cs="Times New Roman"/>
                <w:noProof/>
                <w:webHidden/>
                <w:sz w:val="24"/>
                <w:szCs w:val="24"/>
              </w:rPr>
              <w:fldChar w:fldCharType="end"/>
            </w:r>
          </w:hyperlink>
        </w:p>
        <w:p w14:paraId="1FD076D7" w14:textId="3CA7D688"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3" w:history="1">
            <w:r w:rsidRPr="006643F4">
              <w:rPr>
                <w:rStyle w:val="Hyperlink"/>
                <w:rFonts w:ascii="Times New Roman" w:hAnsi="Times New Roman" w:cs="Times New Roman"/>
                <w:noProof/>
                <w:sz w:val="24"/>
                <w:szCs w:val="24"/>
              </w:rPr>
              <w:t>2.12.</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Superdividendes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_Toc205554423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38</w:t>
            </w:r>
            <w:r w:rsidRPr="006643F4">
              <w:rPr>
                <w:rFonts w:ascii="Times New Roman" w:hAnsi="Times New Roman" w:cs="Times New Roman"/>
                <w:noProof/>
                <w:webHidden/>
                <w:sz w:val="24"/>
                <w:szCs w:val="24"/>
              </w:rPr>
              <w:fldChar w:fldCharType="end"/>
            </w:r>
          </w:hyperlink>
        </w:p>
        <w:p w14:paraId="1B6BD6C5" w14:textId="4B4F4758"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4" w:history="1">
            <w:r w:rsidRPr="006643F4">
              <w:rPr>
                <w:rStyle w:val="Hyperlink"/>
                <w:rFonts w:ascii="Times New Roman" w:hAnsi="Times New Roman" w:cs="Times New Roman"/>
                <w:noProof/>
                <w:sz w:val="24"/>
                <w:szCs w:val="24"/>
              </w:rPr>
              <w:t>2.13.</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Publiskās un privātās partnerības (t.sk. koncesijas) projekti</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_Toc205554424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39</w:t>
            </w:r>
            <w:r w:rsidRPr="006643F4">
              <w:rPr>
                <w:rFonts w:ascii="Times New Roman" w:hAnsi="Times New Roman" w:cs="Times New Roman"/>
                <w:noProof/>
                <w:webHidden/>
                <w:sz w:val="24"/>
                <w:szCs w:val="24"/>
              </w:rPr>
              <w:fldChar w:fldCharType="end"/>
            </w:r>
          </w:hyperlink>
        </w:p>
        <w:p w14:paraId="131B140B" w14:textId="7530579F"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5" w:history="1">
            <w:r w:rsidRPr="006643F4">
              <w:rPr>
                <w:rStyle w:val="Hyperlink"/>
                <w:rFonts w:ascii="Times New Roman" w:hAnsi="Times New Roman" w:cs="Times New Roman"/>
                <w:noProof/>
                <w:sz w:val="24"/>
                <w:szCs w:val="24"/>
              </w:rPr>
              <w:t>2.14.</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Enerģijas publiskais tirgotājs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_Toc205554425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41</w:t>
            </w:r>
            <w:r w:rsidRPr="006643F4">
              <w:rPr>
                <w:rFonts w:ascii="Times New Roman" w:hAnsi="Times New Roman" w:cs="Times New Roman"/>
                <w:noProof/>
                <w:webHidden/>
                <w:sz w:val="24"/>
                <w:szCs w:val="24"/>
              </w:rPr>
              <w:fldChar w:fldCharType="end"/>
            </w:r>
          </w:hyperlink>
        </w:p>
        <w:p w14:paraId="10DCA09F" w14:textId="61AAD889"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6" w:history="1">
            <w:r w:rsidRPr="006643F4">
              <w:rPr>
                <w:rStyle w:val="Hyperlink"/>
                <w:rFonts w:ascii="Times New Roman" w:hAnsi="Times New Roman" w:cs="Times New Roman"/>
                <w:noProof/>
                <w:sz w:val="24"/>
                <w:szCs w:val="24"/>
              </w:rPr>
              <w:t>2.15.</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Finanšu sektors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_Toc205554426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43</w:t>
            </w:r>
            <w:r w:rsidRPr="006643F4">
              <w:rPr>
                <w:rFonts w:ascii="Times New Roman" w:hAnsi="Times New Roman" w:cs="Times New Roman"/>
                <w:noProof/>
                <w:webHidden/>
                <w:sz w:val="24"/>
                <w:szCs w:val="24"/>
              </w:rPr>
              <w:fldChar w:fldCharType="end"/>
            </w:r>
          </w:hyperlink>
        </w:p>
        <w:p w14:paraId="7B0AB732" w14:textId="27AB2A8B" w:rsidR="006643F4" w:rsidRPr="006643F4" w:rsidRDefault="006643F4">
          <w:pPr>
            <w:pStyle w:val="TOC1"/>
            <w:rPr>
              <w:kern w:val="2"/>
              <w:lang w:eastAsia="lv-LV"/>
              <w14:ligatures w14:val="standardContextual"/>
            </w:rPr>
          </w:pPr>
          <w:hyperlink w:anchor="_Toc205554427" w:history="1">
            <w:r w:rsidRPr="006643F4">
              <w:rPr>
                <w:rStyle w:val="Hyperlink"/>
              </w:rPr>
              <w:t>3.</w:t>
            </w:r>
            <w:r w:rsidRPr="006643F4">
              <w:rPr>
                <w:kern w:val="2"/>
                <w:lang w:eastAsia="lv-LV"/>
                <w14:ligatures w14:val="standardContextual"/>
              </w:rPr>
              <w:tab/>
            </w:r>
            <w:r w:rsidRPr="006643F4">
              <w:rPr>
                <w:rStyle w:val="Hyperlink"/>
              </w:rPr>
              <w:t>Nekvantificējamie fiskālie riski</w:t>
            </w:r>
            <w:r w:rsidRPr="006643F4">
              <w:rPr>
                <w:webHidden/>
              </w:rPr>
              <w:tab/>
            </w:r>
            <w:r w:rsidRPr="006643F4">
              <w:rPr>
                <w:webHidden/>
              </w:rPr>
              <w:fldChar w:fldCharType="begin"/>
            </w:r>
            <w:r w:rsidRPr="006643F4">
              <w:rPr>
                <w:webHidden/>
              </w:rPr>
              <w:instrText xml:space="preserve"> PAGEREF _Toc205554427 \h </w:instrText>
            </w:r>
            <w:r w:rsidRPr="006643F4">
              <w:rPr>
                <w:webHidden/>
              </w:rPr>
            </w:r>
            <w:r w:rsidRPr="006643F4">
              <w:rPr>
                <w:webHidden/>
              </w:rPr>
              <w:fldChar w:fldCharType="separate"/>
            </w:r>
            <w:r w:rsidR="000E7137">
              <w:rPr>
                <w:webHidden/>
              </w:rPr>
              <w:t>48</w:t>
            </w:r>
            <w:r w:rsidRPr="006643F4">
              <w:rPr>
                <w:webHidden/>
              </w:rPr>
              <w:fldChar w:fldCharType="end"/>
            </w:r>
          </w:hyperlink>
        </w:p>
        <w:p w14:paraId="6522E549" w14:textId="00E1277F"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8" w:history="1">
            <w:r w:rsidRPr="006643F4">
              <w:rPr>
                <w:rStyle w:val="Hyperlink"/>
                <w:rFonts w:ascii="Times New Roman" w:hAnsi="Times New Roman" w:cs="Times New Roman"/>
                <w:noProof/>
                <w:sz w:val="24"/>
                <w:szCs w:val="24"/>
              </w:rPr>
              <w:t>3.1.</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Starptautisko tiesu un Satversmes tiesas spriedumu izpilde</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_Toc205554428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48</w:t>
            </w:r>
            <w:r w:rsidRPr="006643F4">
              <w:rPr>
                <w:rFonts w:ascii="Times New Roman" w:hAnsi="Times New Roman" w:cs="Times New Roman"/>
                <w:noProof/>
                <w:webHidden/>
                <w:sz w:val="24"/>
                <w:szCs w:val="24"/>
              </w:rPr>
              <w:fldChar w:fldCharType="end"/>
            </w:r>
          </w:hyperlink>
        </w:p>
        <w:p w14:paraId="06C2FF8F" w14:textId="0BEF6CCA"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29" w:history="1">
            <w:r w:rsidRPr="006643F4">
              <w:rPr>
                <w:rStyle w:val="Hyperlink"/>
                <w:rFonts w:ascii="Times New Roman" w:hAnsi="Times New Roman" w:cs="Times New Roman"/>
                <w:noProof/>
                <w:sz w:val="24"/>
                <w:szCs w:val="24"/>
              </w:rPr>
              <w:t>3.2.</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Fiskālie riski saistībā ar valsts līdzdalību airBaltic</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_Toc205554429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52</w:t>
            </w:r>
            <w:r w:rsidRPr="006643F4">
              <w:rPr>
                <w:rFonts w:ascii="Times New Roman" w:hAnsi="Times New Roman" w:cs="Times New Roman"/>
                <w:noProof/>
                <w:webHidden/>
                <w:sz w:val="24"/>
                <w:szCs w:val="24"/>
              </w:rPr>
              <w:fldChar w:fldCharType="end"/>
            </w:r>
          </w:hyperlink>
        </w:p>
        <w:p w14:paraId="01D2C2DB" w14:textId="7EFB5B99" w:rsidR="006643F4" w:rsidRPr="006643F4" w:rsidRDefault="006643F4">
          <w:pPr>
            <w:pStyle w:val="TOC1"/>
            <w:rPr>
              <w:kern w:val="2"/>
              <w:lang w:eastAsia="lv-LV"/>
              <w14:ligatures w14:val="standardContextual"/>
            </w:rPr>
          </w:pPr>
          <w:hyperlink w:anchor="_Toc205554430" w:history="1">
            <w:r w:rsidRPr="006643F4">
              <w:rPr>
                <w:rStyle w:val="Hyperlink"/>
              </w:rPr>
              <w:t>4.</w:t>
            </w:r>
            <w:r w:rsidRPr="006643F4">
              <w:rPr>
                <w:kern w:val="2"/>
                <w:lang w:eastAsia="lv-LV"/>
                <w14:ligatures w14:val="standardContextual"/>
              </w:rPr>
              <w:tab/>
            </w:r>
            <w:r w:rsidRPr="006643F4">
              <w:rPr>
                <w:rStyle w:val="Hyperlink"/>
              </w:rPr>
              <w:t>Ekonomikas šoku transmisijas kanāli uz valsts fiskālajiem rādītājiem un parāda ilgtspēja</w:t>
            </w:r>
            <w:r w:rsidRPr="006643F4">
              <w:rPr>
                <w:webHidden/>
              </w:rPr>
              <w:tab/>
            </w:r>
            <w:r w:rsidRPr="006643F4">
              <w:rPr>
                <w:webHidden/>
              </w:rPr>
              <w:fldChar w:fldCharType="begin"/>
            </w:r>
            <w:r w:rsidRPr="006643F4">
              <w:rPr>
                <w:webHidden/>
              </w:rPr>
              <w:instrText xml:space="preserve"> PAGEREF _Toc205554430 \h </w:instrText>
            </w:r>
            <w:r w:rsidRPr="006643F4">
              <w:rPr>
                <w:webHidden/>
              </w:rPr>
            </w:r>
            <w:r w:rsidRPr="006643F4">
              <w:rPr>
                <w:webHidden/>
              </w:rPr>
              <w:fldChar w:fldCharType="separate"/>
            </w:r>
            <w:r w:rsidR="000E7137">
              <w:rPr>
                <w:webHidden/>
              </w:rPr>
              <w:t>55</w:t>
            </w:r>
            <w:r w:rsidRPr="006643F4">
              <w:rPr>
                <w:webHidden/>
              </w:rPr>
              <w:fldChar w:fldCharType="end"/>
            </w:r>
          </w:hyperlink>
        </w:p>
        <w:p w14:paraId="0D89FDFD" w14:textId="7DEEC5EE"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31" w:history="1">
            <w:r w:rsidRPr="006643F4">
              <w:rPr>
                <w:rStyle w:val="Hyperlink"/>
                <w:rFonts w:ascii="Times New Roman" w:hAnsi="Times New Roman" w:cs="Times New Roman"/>
                <w:noProof/>
                <w:sz w:val="24"/>
                <w:szCs w:val="24"/>
              </w:rPr>
              <w:t>4.1.</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Valsts kapitālsabiedrības, kuras nav pieklasificētas S.13 sektoram</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_Toc205554431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55</w:t>
            </w:r>
            <w:r w:rsidRPr="006643F4">
              <w:rPr>
                <w:rFonts w:ascii="Times New Roman" w:hAnsi="Times New Roman" w:cs="Times New Roman"/>
                <w:noProof/>
                <w:webHidden/>
                <w:sz w:val="24"/>
                <w:szCs w:val="24"/>
              </w:rPr>
              <w:fldChar w:fldCharType="end"/>
            </w:r>
          </w:hyperlink>
        </w:p>
        <w:p w14:paraId="01E18FC2" w14:textId="10D9C9EA"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32" w:history="1">
            <w:r w:rsidRPr="006643F4">
              <w:rPr>
                <w:rStyle w:val="Hyperlink"/>
                <w:rFonts w:ascii="Times New Roman" w:hAnsi="Times New Roman" w:cs="Times New Roman"/>
                <w:noProof/>
                <w:sz w:val="24"/>
                <w:szCs w:val="24"/>
              </w:rPr>
              <w:t>4.2.</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Vispārējās valdības sektora galvojumi</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_Toc205554432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57</w:t>
            </w:r>
            <w:r w:rsidRPr="006643F4">
              <w:rPr>
                <w:rFonts w:ascii="Times New Roman" w:hAnsi="Times New Roman" w:cs="Times New Roman"/>
                <w:noProof/>
                <w:webHidden/>
                <w:sz w:val="24"/>
                <w:szCs w:val="24"/>
              </w:rPr>
              <w:fldChar w:fldCharType="end"/>
            </w:r>
          </w:hyperlink>
        </w:p>
        <w:p w14:paraId="4554BC79" w14:textId="1F7254D0"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33" w:history="1">
            <w:r w:rsidRPr="006643F4">
              <w:rPr>
                <w:rStyle w:val="Hyperlink"/>
                <w:rFonts w:ascii="Times New Roman" w:hAnsi="Times New Roman" w:cs="Times New Roman"/>
                <w:noProof/>
                <w:sz w:val="24"/>
                <w:szCs w:val="24"/>
              </w:rPr>
              <w:t>4.3.</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Valsts parāda vadība</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_Toc205554433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59</w:t>
            </w:r>
            <w:r w:rsidRPr="006643F4">
              <w:rPr>
                <w:rFonts w:ascii="Times New Roman" w:hAnsi="Times New Roman" w:cs="Times New Roman"/>
                <w:noProof/>
                <w:webHidden/>
                <w:sz w:val="24"/>
                <w:szCs w:val="24"/>
              </w:rPr>
              <w:fldChar w:fldCharType="end"/>
            </w:r>
          </w:hyperlink>
        </w:p>
        <w:p w14:paraId="5ECF543C" w14:textId="38808A0D"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34" w:history="1">
            <w:r w:rsidRPr="006643F4">
              <w:rPr>
                <w:rStyle w:val="Hyperlink"/>
                <w:rFonts w:ascii="Times New Roman" w:hAnsi="Times New Roman" w:cs="Times New Roman"/>
                <w:noProof/>
                <w:sz w:val="24"/>
                <w:szCs w:val="24"/>
              </w:rPr>
              <w:t>4.4.</w:t>
            </w:r>
            <w:r w:rsidR="00C12B13">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 xml:space="preserve"> </w:t>
            </w:r>
            <w:r w:rsidRPr="006643F4">
              <w:rPr>
                <w:rStyle w:val="Hyperlink"/>
                <w:rFonts w:ascii="Times New Roman" w:hAnsi="Times New Roman" w:cs="Times New Roman"/>
                <w:noProof/>
                <w:sz w:val="24"/>
                <w:szCs w:val="24"/>
              </w:rPr>
              <w:t>Vispārējās valdības parāda ilgtspēja</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_Toc205554434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60</w:t>
            </w:r>
            <w:r w:rsidRPr="006643F4">
              <w:rPr>
                <w:rFonts w:ascii="Times New Roman" w:hAnsi="Times New Roman" w:cs="Times New Roman"/>
                <w:noProof/>
                <w:webHidden/>
                <w:sz w:val="24"/>
                <w:szCs w:val="24"/>
              </w:rPr>
              <w:fldChar w:fldCharType="end"/>
            </w:r>
          </w:hyperlink>
        </w:p>
        <w:p w14:paraId="52DF7051" w14:textId="5187B48A" w:rsidR="006643F4" w:rsidRPr="006643F4" w:rsidRDefault="006643F4">
          <w:pPr>
            <w:pStyle w:val="TOC1"/>
            <w:rPr>
              <w:kern w:val="2"/>
              <w:lang w:eastAsia="lv-LV"/>
              <w14:ligatures w14:val="standardContextual"/>
            </w:rPr>
          </w:pPr>
          <w:hyperlink w:anchor="_Toc205554435" w:history="1">
            <w:r w:rsidRPr="006643F4">
              <w:rPr>
                <w:rStyle w:val="Hyperlink"/>
              </w:rPr>
              <w:t>5.</w:t>
            </w:r>
            <w:r w:rsidRPr="006643F4">
              <w:rPr>
                <w:kern w:val="2"/>
                <w:lang w:eastAsia="lv-LV"/>
                <w14:ligatures w14:val="standardContextual"/>
              </w:rPr>
              <w:tab/>
            </w:r>
            <w:r w:rsidRPr="006643F4">
              <w:rPr>
                <w:rStyle w:val="Hyperlink"/>
                <w:shd w:val="clear" w:color="auto" w:fill="FFFFFF"/>
              </w:rPr>
              <w:t>Klimata pārmaiņu ietekme</w:t>
            </w:r>
            <w:r w:rsidRPr="006643F4">
              <w:rPr>
                <w:webHidden/>
              </w:rPr>
              <w:tab/>
            </w:r>
            <w:r w:rsidRPr="006643F4">
              <w:rPr>
                <w:webHidden/>
              </w:rPr>
              <w:fldChar w:fldCharType="begin"/>
            </w:r>
            <w:r w:rsidRPr="006643F4">
              <w:rPr>
                <w:webHidden/>
              </w:rPr>
              <w:instrText xml:space="preserve"> PAGEREF _Toc205554435 \h </w:instrText>
            </w:r>
            <w:r w:rsidRPr="006643F4">
              <w:rPr>
                <w:webHidden/>
              </w:rPr>
            </w:r>
            <w:r w:rsidRPr="006643F4">
              <w:rPr>
                <w:webHidden/>
              </w:rPr>
              <w:fldChar w:fldCharType="separate"/>
            </w:r>
            <w:r w:rsidR="000E7137">
              <w:rPr>
                <w:webHidden/>
              </w:rPr>
              <w:t>63</w:t>
            </w:r>
            <w:r w:rsidRPr="006643F4">
              <w:rPr>
                <w:webHidden/>
              </w:rPr>
              <w:fldChar w:fldCharType="end"/>
            </w:r>
          </w:hyperlink>
        </w:p>
        <w:p w14:paraId="60E4AA31" w14:textId="16446898"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36" w:history="1">
            <w:r w:rsidRPr="006643F4">
              <w:rPr>
                <w:rStyle w:val="Hyperlink"/>
                <w:rFonts w:ascii="Times New Roman" w:hAnsi="Times New Roman" w:cs="Times New Roman"/>
                <w:noProof/>
                <w:sz w:val="24"/>
                <w:szCs w:val="24"/>
              </w:rPr>
              <w:t>5.1.</w:t>
            </w:r>
            <w:r w:rsidRPr="006643F4">
              <w:rPr>
                <w:rFonts w:ascii="Times New Roman" w:hAnsi="Times New Roman" w:cs="Times New Roman"/>
                <w:noProof/>
                <w:kern w:val="2"/>
                <w:sz w:val="24"/>
                <w:szCs w:val="24"/>
                <w:lang w:eastAsia="lv-LV"/>
                <w14:ligatures w14:val="standardContextual"/>
              </w:rPr>
              <w:tab/>
            </w:r>
            <w:r w:rsidRPr="006643F4">
              <w:rPr>
                <w:rStyle w:val="Hyperlink"/>
                <w:rFonts w:ascii="Times New Roman" w:hAnsi="Times New Roman" w:cs="Times New Roman"/>
                <w:noProof/>
                <w:sz w:val="24"/>
                <w:szCs w:val="24"/>
              </w:rPr>
              <w:t>Klimata pārmaiņu ilgtermiņa ietekme</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_Toc205554436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63</w:t>
            </w:r>
            <w:r w:rsidRPr="006643F4">
              <w:rPr>
                <w:rFonts w:ascii="Times New Roman" w:hAnsi="Times New Roman" w:cs="Times New Roman"/>
                <w:noProof/>
                <w:webHidden/>
                <w:sz w:val="24"/>
                <w:szCs w:val="24"/>
              </w:rPr>
              <w:fldChar w:fldCharType="end"/>
            </w:r>
          </w:hyperlink>
        </w:p>
        <w:p w14:paraId="3F6200AD" w14:textId="15D4DDF7"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37" w:history="1">
            <w:r w:rsidRPr="006643F4">
              <w:rPr>
                <w:rStyle w:val="Hyperlink"/>
                <w:rFonts w:ascii="Times New Roman" w:hAnsi="Times New Roman" w:cs="Times New Roman"/>
                <w:noProof/>
                <w:sz w:val="24"/>
                <w:szCs w:val="24"/>
              </w:rPr>
              <w:t>5.2.</w:t>
            </w:r>
            <w:r w:rsidR="00C12B13">
              <w:rPr>
                <w:rStyle w:val="Hyperlink"/>
                <w:rFonts w:ascii="Times New Roman" w:hAnsi="Times New Roman" w:cs="Times New Roman"/>
                <w:noProof/>
                <w:sz w:val="24"/>
                <w:szCs w:val="24"/>
              </w:rPr>
              <w:tab/>
            </w:r>
            <w:r>
              <w:rPr>
                <w:rStyle w:val="Hyperlink"/>
                <w:rFonts w:ascii="Times New Roman" w:hAnsi="Times New Roman" w:cs="Times New Roman"/>
                <w:noProof/>
                <w:sz w:val="24"/>
                <w:szCs w:val="24"/>
              </w:rPr>
              <w:t xml:space="preserve"> </w:t>
            </w:r>
            <w:r w:rsidRPr="006643F4">
              <w:rPr>
                <w:rStyle w:val="Hyperlink"/>
                <w:rFonts w:ascii="Times New Roman" w:hAnsi="Times New Roman" w:cs="Times New Roman"/>
                <w:noProof/>
                <w:sz w:val="24"/>
                <w:szCs w:val="24"/>
              </w:rPr>
              <w:t>Starptautiskās saistības klimata pārmaiņu mazināšanā</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_Toc205554437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68</w:t>
            </w:r>
            <w:r w:rsidRPr="006643F4">
              <w:rPr>
                <w:rFonts w:ascii="Times New Roman" w:hAnsi="Times New Roman" w:cs="Times New Roman"/>
                <w:noProof/>
                <w:webHidden/>
                <w:sz w:val="24"/>
                <w:szCs w:val="24"/>
              </w:rPr>
              <w:fldChar w:fldCharType="end"/>
            </w:r>
          </w:hyperlink>
        </w:p>
        <w:p w14:paraId="2DC0D5C0" w14:textId="75CA2716" w:rsidR="006643F4" w:rsidRPr="006643F4" w:rsidRDefault="006643F4">
          <w:pPr>
            <w:pStyle w:val="TOC1"/>
            <w:rPr>
              <w:kern w:val="2"/>
              <w:lang w:eastAsia="lv-LV"/>
              <w14:ligatures w14:val="standardContextual"/>
            </w:rPr>
          </w:pPr>
          <w:hyperlink w:anchor="_Toc205554438" w:history="1">
            <w:r w:rsidRPr="006643F4">
              <w:rPr>
                <w:rStyle w:val="Hyperlink"/>
              </w:rPr>
              <w:t xml:space="preserve">6. </w:t>
            </w:r>
            <w:r w:rsidR="00C12B13">
              <w:rPr>
                <w:rStyle w:val="Hyperlink"/>
              </w:rPr>
              <w:tab/>
            </w:r>
            <w:r w:rsidRPr="006643F4">
              <w:rPr>
                <w:rStyle w:val="Hyperlink"/>
              </w:rPr>
              <w:t>“Zaļais budžets”</w:t>
            </w:r>
            <w:r w:rsidRPr="006643F4">
              <w:rPr>
                <w:webHidden/>
              </w:rPr>
              <w:tab/>
            </w:r>
            <w:r w:rsidRPr="006643F4">
              <w:rPr>
                <w:webHidden/>
              </w:rPr>
              <w:fldChar w:fldCharType="begin"/>
            </w:r>
            <w:r w:rsidRPr="006643F4">
              <w:rPr>
                <w:webHidden/>
              </w:rPr>
              <w:instrText xml:space="preserve"> PAGEREF _Toc205554438 \h </w:instrText>
            </w:r>
            <w:r w:rsidRPr="006643F4">
              <w:rPr>
                <w:webHidden/>
              </w:rPr>
            </w:r>
            <w:r w:rsidRPr="006643F4">
              <w:rPr>
                <w:webHidden/>
              </w:rPr>
              <w:fldChar w:fldCharType="separate"/>
            </w:r>
            <w:r w:rsidR="000E7137">
              <w:rPr>
                <w:webHidden/>
              </w:rPr>
              <w:t>73</w:t>
            </w:r>
            <w:r w:rsidRPr="006643F4">
              <w:rPr>
                <w:webHidden/>
              </w:rPr>
              <w:fldChar w:fldCharType="end"/>
            </w:r>
          </w:hyperlink>
        </w:p>
        <w:p w14:paraId="59D4E59D" w14:textId="3983D88A"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39" w:history="1">
            <w:r w:rsidRPr="006643F4">
              <w:rPr>
                <w:rStyle w:val="Hyperlink"/>
                <w:rFonts w:ascii="Times New Roman" w:hAnsi="Times New Roman" w:cs="Times New Roman"/>
                <w:noProof/>
                <w:sz w:val="24"/>
                <w:szCs w:val="24"/>
              </w:rPr>
              <w:t>6.1.</w:t>
            </w:r>
            <w:r w:rsidR="00C12B13">
              <w:rPr>
                <w:rStyle w:val="Hyperlink"/>
                <w:rFonts w:ascii="Times New Roman" w:hAnsi="Times New Roman" w:cs="Times New Roman"/>
                <w:noProof/>
                <w:sz w:val="24"/>
                <w:szCs w:val="24"/>
              </w:rPr>
              <w:tab/>
            </w:r>
            <w:r w:rsidRPr="006643F4">
              <w:rPr>
                <w:rStyle w:val="Hyperlink"/>
                <w:rFonts w:ascii="Times New Roman" w:hAnsi="Times New Roman" w:cs="Times New Roman"/>
                <w:noProof/>
                <w:sz w:val="24"/>
                <w:szCs w:val="24"/>
              </w:rPr>
              <w:t>“Zaļā budžeta” instrumenti</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_Toc205554439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73</w:t>
            </w:r>
            <w:r w:rsidRPr="006643F4">
              <w:rPr>
                <w:rFonts w:ascii="Times New Roman" w:hAnsi="Times New Roman" w:cs="Times New Roman"/>
                <w:noProof/>
                <w:webHidden/>
                <w:sz w:val="24"/>
                <w:szCs w:val="24"/>
              </w:rPr>
              <w:fldChar w:fldCharType="end"/>
            </w:r>
          </w:hyperlink>
        </w:p>
        <w:p w14:paraId="5779A115" w14:textId="2D65A231" w:rsidR="006643F4" w:rsidRPr="006643F4" w:rsidRDefault="006643F4">
          <w:pPr>
            <w:pStyle w:val="TOC2"/>
            <w:rPr>
              <w:rFonts w:ascii="Times New Roman" w:hAnsi="Times New Roman" w:cs="Times New Roman"/>
              <w:noProof/>
              <w:kern w:val="2"/>
              <w:sz w:val="24"/>
              <w:szCs w:val="24"/>
              <w:lang w:eastAsia="lv-LV"/>
              <w14:ligatures w14:val="standardContextual"/>
            </w:rPr>
          </w:pPr>
          <w:hyperlink w:anchor="_Toc205554440" w:history="1">
            <w:r w:rsidRPr="006643F4">
              <w:rPr>
                <w:rStyle w:val="Hyperlink"/>
                <w:rFonts w:ascii="Times New Roman" w:hAnsi="Times New Roman" w:cs="Times New Roman"/>
                <w:noProof/>
                <w:sz w:val="24"/>
                <w:szCs w:val="24"/>
              </w:rPr>
              <w:t>6.2.</w:t>
            </w:r>
            <w:r w:rsidR="00C12B13">
              <w:rPr>
                <w:rStyle w:val="Hyperlink"/>
                <w:rFonts w:ascii="Times New Roman" w:hAnsi="Times New Roman" w:cs="Times New Roman"/>
                <w:noProof/>
                <w:sz w:val="24"/>
                <w:szCs w:val="24"/>
              </w:rPr>
              <w:tab/>
            </w:r>
            <w:r w:rsidRPr="006643F4">
              <w:rPr>
                <w:rStyle w:val="Hyperlink"/>
                <w:rFonts w:ascii="Times New Roman" w:hAnsi="Times New Roman" w:cs="Times New Roman"/>
                <w:noProof/>
                <w:sz w:val="24"/>
                <w:szCs w:val="24"/>
              </w:rPr>
              <w:t>“Zaļā budžeta” marķēšana Latvijā</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_Toc205554440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74</w:t>
            </w:r>
            <w:r w:rsidRPr="006643F4">
              <w:rPr>
                <w:rFonts w:ascii="Times New Roman" w:hAnsi="Times New Roman" w:cs="Times New Roman"/>
                <w:noProof/>
                <w:webHidden/>
                <w:sz w:val="24"/>
                <w:szCs w:val="24"/>
              </w:rPr>
              <w:fldChar w:fldCharType="end"/>
            </w:r>
          </w:hyperlink>
        </w:p>
        <w:p w14:paraId="702595CB" w14:textId="0C6FDFAC" w:rsidR="006643F4" w:rsidRPr="006643F4" w:rsidRDefault="006643F4">
          <w:pPr>
            <w:pStyle w:val="TOC3"/>
            <w:rPr>
              <w:rFonts w:ascii="Times New Roman" w:hAnsi="Times New Roman" w:cs="Times New Roman"/>
              <w:noProof/>
              <w:kern w:val="2"/>
              <w:sz w:val="24"/>
              <w:szCs w:val="24"/>
              <w:lang w:eastAsia="lv-LV"/>
              <w14:ligatures w14:val="standardContextual"/>
            </w:rPr>
          </w:pPr>
          <w:hyperlink w:anchor="_Toc205554441" w:history="1">
            <w:r w:rsidRPr="006643F4">
              <w:rPr>
                <w:rStyle w:val="Hyperlink"/>
                <w:rFonts w:ascii="Times New Roman" w:hAnsi="Times New Roman" w:cs="Times New Roman"/>
                <w:noProof/>
                <w:sz w:val="24"/>
                <w:szCs w:val="24"/>
              </w:rPr>
              <w:t xml:space="preserve">6.2.1. </w:t>
            </w:r>
            <w:r>
              <w:rPr>
                <w:rStyle w:val="Hyperlink"/>
                <w:rFonts w:ascii="Times New Roman" w:hAnsi="Times New Roman" w:cs="Times New Roman"/>
                <w:noProof/>
                <w:sz w:val="24"/>
                <w:szCs w:val="24"/>
              </w:rPr>
              <w:t xml:space="preserve">    </w:t>
            </w:r>
            <w:r w:rsidRPr="006643F4">
              <w:rPr>
                <w:rStyle w:val="Hyperlink"/>
                <w:rFonts w:ascii="Times New Roman" w:hAnsi="Times New Roman" w:cs="Times New Roman"/>
                <w:noProof/>
                <w:sz w:val="24"/>
                <w:szCs w:val="24"/>
              </w:rPr>
              <w:t>“Zaļā budžeta” marķēšanas ieviešana Latvijā</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_Toc205554441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74</w:t>
            </w:r>
            <w:r w:rsidRPr="006643F4">
              <w:rPr>
                <w:rFonts w:ascii="Times New Roman" w:hAnsi="Times New Roman" w:cs="Times New Roman"/>
                <w:noProof/>
                <w:webHidden/>
                <w:sz w:val="24"/>
                <w:szCs w:val="24"/>
              </w:rPr>
              <w:fldChar w:fldCharType="end"/>
            </w:r>
          </w:hyperlink>
        </w:p>
        <w:p w14:paraId="6CF06D8D" w14:textId="79E07BFA" w:rsidR="006643F4" w:rsidRPr="006643F4" w:rsidRDefault="006643F4">
          <w:pPr>
            <w:pStyle w:val="TOC3"/>
            <w:rPr>
              <w:rFonts w:ascii="Times New Roman" w:hAnsi="Times New Roman" w:cs="Times New Roman"/>
              <w:noProof/>
              <w:kern w:val="2"/>
              <w:sz w:val="24"/>
              <w:szCs w:val="24"/>
              <w:lang w:eastAsia="lv-LV"/>
              <w14:ligatures w14:val="standardContextual"/>
            </w:rPr>
          </w:pPr>
          <w:hyperlink w:anchor="_Toc205554442" w:history="1">
            <w:r w:rsidRPr="006643F4">
              <w:rPr>
                <w:rStyle w:val="Hyperlink"/>
                <w:rFonts w:ascii="Times New Roman" w:hAnsi="Times New Roman" w:cs="Times New Roman"/>
                <w:noProof/>
                <w:sz w:val="24"/>
                <w:szCs w:val="24"/>
              </w:rPr>
              <w:t xml:space="preserve">6.2.2. </w:t>
            </w:r>
            <w:r>
              <w:rPr>
                <w:rStyle w:val="Hyperlink"/>
                <w:rFonts w:ascii="Times New Roman" w:hAnsi="Times New Roman" w:cs="Times New Roman"/>
                <w:noProof/>
                <w:sz w:val="24"/>
                <w:szCs w:val="24"/>
              </w:rPr>
              <w:t xml:space="preserve">     </w:t>
            </w:r>
            <w:r w:rsidRPr="006643F4">
              <w:rPr>
                <w:rStyle w:val="Hyperlink"/>
                <w:rFonts w:ascii="Times New Roman" w:hAnsi="Times New Roman" w:cs="Times New Roman"/>
                <w:noProof/>
                <w:sz w:val="24"/>
                <w:szCs w:val="24"/>
              </w:rPr>
              <w:t>Izdevumu klasifikācijas pamatprincipi</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_Toc205554442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74</w:t>
            </w:r>
            <w:r w:rsidRPr="006643F4">
              <w:rPr>
                <w:rFonts w:ascii="Times New Roman" w:hAnsi="Times New Roman" w:cs="Times New Roman"/>
                <w:noProof/>
                <w:webHidden/>
                <w:sz w:val="24"/>
                <w:szCs w:val="24"/>
              </w:rPr>
              <w:fldChar w:fldCharType="end"/>
            </w:r>
          </w:hyperlink>
        </w:p>
        <w:p w14:paraId="5EA7AE23" w14:textId="2ED57499" w:rsidR="006643F4" w:rsidRPr="006643F4" w:rsidRDefault="006643F4">
          <w:pPr>
            <w:pStyle w:val="TOC3"/>
            <w:rPr>
              <w:rFonts w:ascii="Times New Roman" w:hAnsi="Times New Roman" w:cs="Times New Roman"/>
              <w:noProof/>
              <w:kern w:val="2"/>
              <w:sz w:val="24"/>
              <w:szCs w:val="24"/>
              <w:lang w:eastAsia="lv-LV"/>
              <w14:ligatures w14:val="standardContextual"/>
            </w:rPr>
          </w:pPr>
          <w:hyperlink w:anchor="_Toc205554443" w:history="1">
            <w:r w:rsidRPr="006643F4">
              <w:rPr>
                <w:rStyle w:val="Hyperlink"/>
                <w:rFonts w:ascii="Times New Roman" w:hAnsi="Times New Roman" w:cs="Times New Roman"/>
                <w:noProof/>
                <w:sz w:val="24"/>
                <w:szCs w:val="24"/>
              </w:rPr>
              <w:t xml:space="preserve">6.2.3. </w:t>
            </w:r>
            <w:r>
              <w:rPr>
                <w:rStyle w:val="Hyperlink"/>
                <w:rFonts w:ascii="Times New Roman" w:hAnsi="Times New Roman" w:cs="Times New Roman"/>
                <w:noProof/>
                <w:sz w:val="24"/>
                <w:szCs w:val="24"/>
              </w:rPr>
              <w:t xml:space="preserve">     </w:t>
            </w:r>
            <w:r w:rsidRPr="006643F4">
              <w:rPr>
                <w:rStyle w:val="Hyperlink"/>
                <w:rFonts w:ascii="Times New Roman" w:hAnsi="Times New Roman" w:cs="Times New Roman"/>
                <w:noProof/>
                <w:sz w:val="24"/>
                <w:szCs w:val="24"/>
              </w:rPr>
              <w:t>Valsts pamatbudžeta izdevumu “zaļais budžets”</w:t>
            </w:r>
            <w:r w:rsidRPr="006643F4">
              <w:rPr>
                <w:rFonts w:ascii="Times New Roman" w:hAnsi="Times New Roman" w:cs="Times New Roman"/>
                <w:noProof/>
                <w:webHidden/>
                <w:sz w:val="24"/>
                <w:szCs w:val="24"/>
              </w:rPr>
              <w:tab/>
            </w:r>
            <w:r w:rsidRPr="006643F4">
              <w:rPr>
                <w:rFonts w:ascii="Times New Roman" w:hAnsi="Times New Roman" w:cs="Times New Roman"/>
                <w:noProof/>
                <w:webHidden/>
                <w:sz w:val="24"/>
                <w:szCs w:val="24"/>
              </w:rPr>
              <w:fldChar w:fldCharType="begin"/>
            </w:r>
            <w:r w:rsidRPr="006643F4">
              <w:rPr>
                <w:rFonts w:ascii="Times New Roman" w:hAnsi="Times New Roman" w:cs="Times New Roman"/>
                <w:noProof/>
                <w:webHidden/>
                <w:sz w:val="24"/>
                <w:szCs w:val="24"/>
              </w:rPr>
              <w:instrText xml:space="preserve"> PAGEREF _Toc205554443 \h </w:instrText>
            </w:r>
            <w:r w:rsidRPr="006643F4">
              <w:rPr>
                <w:rFonts w:ascii="Times New Roman" w:hAnsi="Times New Roman" w:cs="Times New Roman"/>
                <w:noProof/>
                <w:webHidden/>
                <w:sz w:val="24"/>
                <w:szCs w:val="24"/>
              </w:rPr>
            </w:r>
            <w:r w:rsidRPr="006643F4">
              <w:rPr>
                <w:rFonts w:ascii="Times New Roman" w:hAnsi="Times New Roman" w:cs="Times New Roman"/>
                <w:noProof/>
                <w:webHidden/>
                <w:sz w:val="24"/>
                <w:szCs w:val="24"/>
              </w:rPr>
              <w:fldChar w:fldCharType="separate"/>
            </w:r>
            <w:r w:rsidR="000E7137">
              <w:rPr>
                <w:rFonts w:ascii="Times New Roman" w:hAnsi="Times New Roman" w:cs="Times New Roman"/>
                <w:noProof/>
                <w:webHidden/>
                <w:sz w:val="24"/>
                <w:szCs w:val="24"/>
              </w:rPr>
              <w:t>75</w:t>
            </w:r>
            <w:r w:rsidRPr="006643F4">
              <w:rPr>
                <w:rFonts w:ascii="Times New Roman" w:hAnsi="Times New Roman" w:cs="Times New Roman"/>
                <w:noProof/>
                <w:webHidden/>
                <w:sz w:val="24"/>
                <w:szCs w:val="24"/>
              </w:rPr>
              <w:fldChar w:fldCharType="end"/>
            </w:r>
          </w:hyperlink>
        </w:p>
        <w:p w14:paraId="61D04E8D" w14:textId="2B124A84" w:rsidR="006643F4" w:rsidRPr="006643F4" w:rsidRDefault="006643F4">
          <w:pPr>
            <w:pStyle w:val="TOC1"/>
            <w:rPr>
              <w:kern w:val="2"/>
              <w:lang w:eastAsia="lv-LV"/>
              <w14:ligatures w14:val="standardContextual"/>
            </w:rPr>
          </w:pPr>
          <w:hyperlink w:anchor="_Toc205554444" w:history="1">
            <w:r w:rsidRPr="006643F4">
              <w:rPr>
                <w:rStyle w:val="Hyperlink"/>
              </w:rPr>
              <w:t xml:space="preserve">7. </w:t>
            </w:r>
            <w:r w:rsidR="00C12B13">
              <w:rPr>
                <w:rStyle w:val="Hyperlink"/>
              </w:rPr>
              <w:tab/>
            </w:r>
            <w:r w:rsidRPr="006643F4">
              <w:rPr>
                <w:rStyle w:val="Hyperlink"/>
              </w:rPr>
              <w:t>Iepriekšējā laika perioda fiskālo rādītāju iznākumu un prognožu salīdzinājums</w:t>
            </w:r>
            <w:r w:rsidRPr="006643F4">
              <w:rPr>
                <w:webHidden/>
              </w:rPr>
              <w:tab/>
            </w:r>
            <w:r w:rsidRPr="006643F4">
              <w:rPr>
                <w:webHidden/>
              </w:rPr>
              <w:fldChar w:fldCharType="begin"/>
            </w:r>
            <w:r w:rsidRPr="006643F4">
              <w:rPr>
                <w:webHidden/>
              </w:rPr>
              <w:instrText xml:space="preserve"> PAGEREF _Toc205554444 \h </w:instrText>
            </w:r>
            <w:r w:rsidRPr="006643F4">
              <w:rPr>
                <w:webHidden/>
              </w:rPr>
            </w:r>
            <w:r w:rsidRPr="006643F4">
              <w:rPr>
                <w:webHidden/>
              </w:rPr>
              <w:fldChar w:fldCharType="separate"/>
            </w:r>
            <w:r w:rsidR="000E7137">
              <w:rPr>
                <w:webHidden/>
              </w:rPr>
              <w:t>77</w:t>
            </w:r>
            <w:r w:rsidRPr="006643F4">
              <w:rPr>
                <w:webHidden/>
              </w:rPr>
              <w:fldChar w:fldCharType="end"/>
            </w:r>
          </w:hyperlink>
        </w:p>
        <w:p w14:paraId="0F626F43" w14:textId="5BF7D434" w:rsidR="006643F4" w:rsidRPr="006643F4" w:rsidRDefault="006643F4">
          <w:pPr>
            <w:pStyle w:val="TOC1"/>
            <w:rPr>
              <w:kern w:val="2"/>
              <w:lang w:eastAsia="lv-LV"/>
              <w14:ligatures w14:val="standardContextual"/>
            </w:rPr>
          </w:pPr>
          <w:hyperlink w:anchor="_Toc205554445" w:history="1">
            <w:r w:rsidRPr="006643F4">
              <w:rPr>
                <w:rStyle w:val="Hyperlink"/>
              </w:rPr>
              <w:t xml:space="preserve">8. </w:t>
            </w:r>
            <w:r w:rsidR="00C12B13">
              <w:rPr>
                <w:rStyle w:val="Hyperlink"/>
              </w:rPr>
              <w:tab/>
            </w:r>
            <w:r w:rsidRPr="006643F4">
              <w:rPr>
                <w:rStyle w:val="Hyperlink"/>
              </w:rPr>
              <w:t>Fiskālā nodrošinājuma rezerves aprēķins un papildu nepieciešamie pasākumi fiskālo risku mazināšanai</w:t>
            </w:r>
            <w:r w:rsidRPr="006643F4">
              <w:rPr>
                <w:webHidden/>
              </w:rPr>
              <w:tab/>
            </w:r>
            <w:r w:rsidRPr="006643F4">
              <w:rPr>
                <w:webHidden/>
              </w:rPr>
              <w:fldChar w:fldCharType="begin"/>
            </w:r>
            <w:r w:rsidRPr="006643F4">
              <w:rPr>
                <w:webHidden/>
              </w:rPr>
              <w:instrText xml:space="preserve"> PAGEREF _Toc205554445 \h </w:instrText>
            </w:r>
            <w:r w:rsidRPr="006643F4">
              <w:rPr>
                <w:webHidden/>
              </w:rPr>
            </w:r>
            <w:r w:rsidRPr="006643F4">
              <w:rPr>
                <w:webHidden/>
              </w:rPr>
              <w:fldChar w:fldCharType="separate"/>
            </w:r>
            <w:r w:rsidR="000E7137">
              <w:rPr>
                <w:webHidden/>
              </w:rPr>
              <w:t>79</w:t>
            </w:r>
            <w:r w:rsidRPr="006643F4">
              <w:rPr>
                <w:webHidden/>
              </w:rPr>
              <w:fldChar w:fldCharType="end"/>
            </w:r>
          </w:hyperlink>
        </w:p>
        <w:p w14:paraId="42FF7F69" w14:textId="4E53105E" w:rsidR="00D21A2A" w:rsidRPr="00F979A4" w:rsidRDefault="002A186B">
          <w:pPr>
            <w:rPr>
              <w:rFonts w:ascii="Times New Roman" w:hAnsi="Times New Roman" w:cs="Times New Roman"/>
              <w:noProof/>
              <w:sz w:val="24"/>
              <w:szCs w:val="24"/>
              <w:highlight w:val="yellow"/>
            </w:rPr>
          </w:pPr>
          <w:r w:rsidRPr="006643F4">
            <w:rPr>
              <w:rFonts w:ascii="Times New Roman" w:hAnsi="Times New Roman" w:cs="Times New Roman"/>
              <w:b/>
              <w:bCs/>
              <w:noProof/>
              <w:sz w:val="24"/>
              <w:szCs w:val="24"/>
              <w:highlight w:val="yellow"/>
            </w:rPr>
            <w:fldChar w:fldCharType="end"/>
          </w:r>
        </w:p>
      </w:sdtContent>
    </w:sdt>
    <w:p w14:paraId="7680F826" w14:textId="49B0BBDC" w:rsidR="008F58C9" w:rsidRPr="00883EE7" w:rsidRDefault="00DC7883">
      <w:pPr>
        <w:rPr>
          <w:szCs w:val="24"/>
          <w:highlight w:val="yellow"/>
        </w:rPr>
      </w:pPr>
      <w:r w:rsidRPr="00DC7883">
        <w:rPr>
          <w:noProof/>
          <w:szCs w:val="24"/>
        </w:rPr>
        <w:drawing>
          <wp:anchor distT="0" distB="0" distL="114300" distR="114300" simplePos="0" relativeHeight="251664384" behindDoc="1" locked="0" layoutInCell="1" allowOverlap="1" wp14:anchorId="5DC77C30" wp14:editId="086DBF63">
            <wp:simplePos x="0" y="0"/>
            <wp:positionH relativeFrom="column">
              <wp:posOffset>-2341880</wp:posOffset>
            </wp:positionH>
            <wp:positionV relativeFrom="paragraph">
              <wp:posOffset>2455545</wp:posOffset>
            </wp:positionV>
            <wp:extent cx="8434551" cy="6718497"/>
            <wp:effectExtent l="0" t="0" r="5080" b="6350"/>
            <wp:wrapNone/>
            <wp:docPr id="5024308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1" t="19616" r="11367"/>
                    <a:stretch/>
                  </pic:blipFill>
                  <pic:spPr bwMode="auto">
                    <a:xfrm>
                      <a:off x="0" y="0"/>
                      <a:ext cx="8434551" cy="67184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8C9" w:rsidRPr="00883EE7">
        <w:rPr>
          <w:szCs w:val="24"/>
          <w:highlight w:val="yellow"/>
        </w:rPr>
        <w:br w:type="page"/>
      </w:r>
    </w:p>
    <w:p w14:paraId="4A97FE77" w14:textId="174330B8" w:rsidR="00125141" w:rsidRPr="0068328F" w:rsidRDefault="00DC7883" w:rsidP="008237F2">
      <w:pPr>
        <w:pStyle w:val="Heading1"/>
        <w:numPr>
          <w:ilvl w:val="0"/>
          <w:numId w:val="0"/>
        </w:numPr>
        <w:ind w:left="432" w:hanging="432"/>
        <w:jc w:val="center"/>
        <w:rPr>
          <w:rFonts w:ascii="Times New Roman" w:hAnsi="Times New Roman" w:cs="Times New Roman"/>
          <w:sz w:val="32"/>
        </w:rPr>
      </w:pPr>
      <w:bookmarkStart w:id="1" w:name="_Toc205554401"/>
      <w:bookmarkStart w:id="2" w:name="_Toc536779054"/>
      <w:r>
        <w:rPr>
          <w:rFonts w:ascii="Times New Roman" w:hAnsi="Times New Roman" w:cs="Times New Roman"/>
          <w:noProof/>
          <w:color w:val="000000"/>
          <w:sz w:val="24"/>
          <w:szCs w:val="24"/>
        </w:rPr>
        <w:drawing>
          <wp:anchor distT="0" distB="0" distL="114300" distR="114300" simplePos="0" relativeHeight="251666432" behindDoc="1" locked="0" layoutInCell="1" allowOverlap="1" wp14:anchorId="1D0A7E9B" wp14:editId="282FCD44">
            <wp:simplePos x="0" y="0"/>
            <wp:positionH relativeFrom="page">
              <wp:align>right</wp:align>
            </wp:positionH>
            <wp:positionV relativeFrom="paragraph">
              <wp:posOffset>-1450340</wp:posOffset>
            </wp:positionV>
            <wp:extent cx="2725420" cy="2194560"/>
            <wp:effectExtent l="0" t="0" r="0" b="0"/>
            <wp:wrapNone/>
            <wp:docPr id="8165444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5420" cy="2194560"/>
                    </a:xfrm>
                    <a:prstGeom prst="rect">
                      <a:avLst/>
                    </a:prstGeom>
                    <a:noFill/>
                  </pic:spPr>
                </pic:pic>
              </a:graphicData>
            </a:graphic>
            <wp14:sizeRelH relativeFrom="page">
              <wp14:pctWidth>0</wp14:pctWidth>
            </wp14:sizeRelH>
            <wp14:sizeRelV relativeFrom="page">
              <wp14:pctHeight>0</wp14:pctHeight>
            </wp14:sizeRelV>
          </wp:anchor>
        </w:drawing>
      </w:r>
      <w:r w:rsidR="00125141" w:rsidRPr="0068328F">
        <w:rPr>
          <w:rFonts w:ascii="Times New Roman" w:hAnsi="Times New Roman" w:cs="Times New Roman"/>
          <w:sz w:val="32"/>
        </w:rPr>
        <w:t>Saīsinājumu saraksts</w:t>
      </w:r>
      <w:bookmarkEnd w:id="1"/>
    </w:p>
    <w:p w14:paraId="01B11E55" w14:textId="016BA64F" w:rsidR="003D5725" w:rsidRPr="00883EE7" w:rsidRDefault="003D5725" w:rsidP="003D5725">
      <w:pPr>
        <w:rPr>
          <w:rFonts w:ascii="Times New Roman" w:hAnsi="Times New Roman" w:cs="Times New Roman"/>
          <w:color w:val="000000"/>
          <w:sz w:val="16"/>
          <w:szCs w:val="16"/>
          <w:highlight w:val="yellow"/>
        </w:rPr>
      </w:pPr>
    </w:p>
    <w:p w14:paraId="628CD312" w14:textId="3A8CA55D" w:rsidR="0068328F" w:rsidRDefault="00433142" w:rsidP="0068328F">
      <w:pPr>
        <w:tabs>
          <w:tab w:val="left" w:pos="2410"/>
        </w:tabs>
        <w:rPr>
          <w:rFonts w:ascii="Times New Roman" w:hAnsi="Times New Roman" w:cs="Times New Roman"/>
          <w:color w:val="000000"/>
          <w:sz w:val="24"/>
          <w:szCs w:val="24"/>
        </w:rPr>
      </w:pPr>
      <w:r w:rsidRPr="0068735B">
        <w:rPr>
          <w:rFonts w:ascii="Times New Roman" w:hAnsi="Times New Roman" w:cs="Times New Roman"/>
          <w:color w:val="000000"/>
          <w:sz w:val="24"/>
          <w:szCs w:val="24"/>
        </w:rPr>
        <w:t>airBaltic</w:t>
      </w:r>
      <w:r w:rsidR="00E03265" w:rsidRPr="0068735B">
        <w:rPr>
          <w:rFonts w:ascii="Times New Roman" w:hAnsi="Times New Roman" w:cs="Times New Roman"/>
          <w:color w:val="000000"/>
          <w:sz w:val="24"/>
          <w:szCs w:val="24"/>
        </w:rPr>
        <w:tab/>
      </w:r>
      <w:r w:rsidR="0068328F" w:rsidRPr="0068735B">
        <w:rPr>
          <w:rFonts w:ascii="Times New Roman" w:hAnsi="Times New Roman" w:cs="Times New Roman"/>
          <w:color w:val="000000"/>
          <w:sz w:val="24"/>
          <w:szCs w:val="24"/>
        </w:rPr>
        <w:t>Akciju sabiedrība “Air Baltic Corporation”</w:t>
      </w:r>
    </w:p>
    <w:p w14:paraId="37CDDEE5" w14:textId="442FD99F" w:rsidR="00847EF9" w:rsidRPr="0068735B" w:rsidRDefault="00847EF9" w:rsidP="0068328F">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AiM</w:t>
      </w:r>
      <w:r w:rsidRPr="0068735B">
        <w:rPr>
          <w:rFonts w:ascii="Times New Roman" w:hAnsi="Times New Roman" w:cs="Times New Roman"/>
          <w:color w:val="000000"/>
          <w:sz w:val="24"/>
          <w:szCs w:val="24"/>
        </w:rPr>
        <w:tab/>
      </w:r>
      <w:r>
        <w:rPr>
          <w:rFonts w:ascii="Times New Roman" w:hAnsi="Times New Roman" w:cs="Times New Roman"/>
          <w:color w:val="000000"/>
          <w:sz w:val="24"/>
          <w:szCs w:val="24"/>
        </w:rPr>
        <w:t>Aizsardzības ministrija</w:t>
      </w:r>
    </w:p>
    <w:p w14:paraId="41B859F7" w14:textId="7EF725EA" w:rsidR="003D5725" w:rsidRDefault="00433142" w:rsidP="0058124B">
      <w:pPr>
        <w:tabs>
          <w:tab w:val="left" w:pos="2410"/>
        </w:tabs>
        <w:rPr>
          <w:rFonts w:ascii="Times New Roman" w:hAnsi="Times New Roman"/>
          <w:color w:val="000000"/>
          <w:sz w:val="24"/>
          <w:szCs w:val="24"/>
        </w:rPr>
      </w:pPr>
      <w:r w:rsidRPr="001378C3">
        <w:rPr>
          <w:rFonts w:ascii="Times New Roman" w:hAnsi="Times New Roman"/>
          <w:color w:val="000000"/>
          <w:sz w:val="24"/>
          <w:szCs w:val="24"/>
        </w:rPr>
        <w:t>A</w:t>
      </w:r>
      <w:r w:rsidR="003D5725" w:rsidRPr="001378C3">
        <w:rPr>
          <w:rFonts w:ascii="Times New Roman" w:hAnsi="Times New Roman"/>
          <w:color w:val="000000"/>
          <w:sz w:val="24"/>
          <w:szCs w:val="24"/>
        </w:rPr>
        <w:t>ltum</w:t>
      </w:r>
      <w:r w:rsidR="00E03265" w:rsidRPr="001378C3">
        <w:rPr>
          <w:rFonts w:ascii="Times New Roman" w:hAnsi="Times New Roman"/>
          <w:color w:val="000000"/>
          <w:sz w:val="24"/>
          <w:szCs w:val="24"/>
        </w:rPr>
        <w:tab/>
        <w:t>A</w:t>
      </w:r>
      <w:r w:rsidR="003D5725" w:rsidRPr="001378C3">
        <w:rPr>
          <w:rFonts w:ascii="Times New Roman" w:hAnsi="Times New Roman"/>
          <w:color w:val="000000"/>
          <w:sz w:val="24"/>
          <w:szCs w:val="24"/>
        </w:rPr>
        <w:t>kciju sabiedrība “Attīstības finanšu institūcija Altum”</w:t>
      </w:r>
    </w:p>
    <w:p w14:paraId="7A44AE36" w14:textId="70531FCA" w:rsidR="00254085" w:rsidRPr="001378C3" w:rsidRDefault="00254085" w:rsidP="0058124B">
      <w:pPr>
        <w:tabs>
          <w:tab w:val="left" w:pos="2410"/>
        </w:tabs>
        <w:rPr>
          <w:rFonts w:ascii="Times New Roman" w:hAnsi="Times New Roman"/>
          <w:color w:val="000000"/>
          <w:sz w:val="24"/>
          <w:szCs w:val="24"/>
        </w:rPr>
      </w:pPr>
      <w:r>
        <w:rPr>
          <w:rFonts w:ascii="Times New Roman" w:hAnsi="Times New Roman"/>
          <w:color w:val="000000"/>
          <w:sz w:val="24"/>
          <w:szCs w:val="24"/>
        </w:rPr>
        <w:t>ANM</w:t>
      </w:r>
      <w:r>
        <w:rPr>
          <w:rFonts w:ascii="Times New Roman" w:hAnsi="Times New Roman"/>
          <w:color w:val="000000"/>
          <w:sz w:val="24"/>
          <w:szCs w:val="24"/>
        </w:rPr>
        <w:tab/>
        <w:t>Atveseļošanas un noturības mehānisms</w:t>
      </w:r>
    </w:p>
    <w:p w14:paraId="586036B0" w14:textId="13B16382" w:rsidR="003D5725" w:rsidRDefault="001378C3" w:rsidP="0058124B">
      <w:pPr>
        <w:tabs>
          <w:tab w:val="left" w:pos="2410"/>
        </w:tabs>
        <w:rPr>
          <w:rFonts w:ascii="Times New Roman" w:hAnsi="Times New Roman" w:cs="Times New Roman"/>
          <w:color w:val="000000"/>
          <w:sz w:val="24"/>
          <w:szCs w:val="24"/>
        </w:rPr>
      </w:pPr>
      <w:r w:rsidRPr="001378C3">
        <w:rPr>
          <w:rFonts w:ascii="Times New Roman" w:hAnsi="Times New Roman" w:cs="Times New Roman"/>
          <w:color w:val="000000"/>
          <w:sz w:val="24"/>
          <w:szCs w:val="24"/>
        </w:rPr>
        <w:t>ANO</w:t>
      </w:r>
      <w:r w:rsidR="00E03265" w:rsidRPr="001378C3">
        <w:rPr>
          <w:rFonts w:ascii="Times New Roman" w:hAnsi="Times New Roman" w:cs="Times New Roman"/>
          <w:color w:val="000000"/>
          <w:sz w:val="24"/>
          <w:szCs w:val="24"/>
        </w:rPr>
        <w:tab/>
      </w:r>
      <w:r w:rsidR="003D5725" w:rsidRPr="001378C3">
        <w:rPr>
          <w:rFonts w:ascii="Times New Roman" w:hAnsi="Times New Roman" w:cs="Times New Roman"/>
          <w:color w:val="000000"/>
          <w:sz w:val="24"/>
          <w:szCs w:val="24"/>
        </w:rPr>
        <w:t>Apvienoto Nāciju Organizācija</w:t>
      </w:r>
    </w:p>
    <w:p w14:paraId="58333664" w14:textId="149EEF36" w:rsidR="00254085" w:rsidRDefault="00254085"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ANP</w:t>
      </w:r>
      <w:r>
        <w:rPr>
          <w:rFonts w:ascii="Times New Roman" w:hAnsi="Times New Roman" w:cs="Times New Roman"/>
          <w:color w:val="000000"/>
          <w:sz w:val="24"/>
          <w:szCs w:val="24"/>
        </w:rPr>
        <w:tab/>
        <w:t>Atveseļošanas un noturības plāns</w:t>
      </w:r>
    </w:p>
    <w:p w14:paraId="73692DDE" w14:textId="413E8DA7" w:rsidR="00254085" w:rsidRPr="001378C3" w:rsidRDefault="00254085"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AF</w:t>
      </w:r>
      <w:r>
        <w:rPr>
          <w:rFonts w:ascii="Times New Roman" w:hAnsi="Times New Roman" w:cs="Times New Roman"/>
          <w:color w:val="000000"/>
          <w:sz w:val="24"/>
          <w:szCs w:val="24"/>
        </w:rPr>
        <w:tab/>
        <w:t>Atveseļošanas fonds</w:t>
      </w:r>
    </w:p>
    <w:p w14:paraId="7E1EF598" w14:textId="266A8540" w:rsidR="003D5725" w:rsidRDefault="003D5725" w:rsidP="0058124B">
      <w:pPr>
        <w:tabs>
          <w:tab w:val="left" w:pos="2410"/>
        </w:tabs>
        <w:rPr>
          <w:rFonts w:ascii="Times New Roman" w:hAnsi="Times New Roman" w:cs="Times New Roman"/>
          <w:color w:val="000000"/>
          <w:sz w:val="24"/>
          <w:szCs w:val="24"/>
        </w:rPr>
      </w:pPr>
      <w:r w:rsidRPr="001378C3">
        <w:rPr>
          <w:rFonts w:ascii="Times New Roman" w:hAnsi="Times New Roman" w:cs="Times New Roman"/>
          <w:color w:val="000000"/>
          <w:sz w:val="24"/>
          <w:szCs w:val="24"/>
        </w:rPr>
        <w:t>ĀFP</w:t>
      </w:r>
      <w:r w:rsidR="00E03265" w:rsidRPr="001378C3">
        <w:rPr>
          <w:rFonts w:ascii="Times New Roman" w:hAnsi="Times New Roman" w:cs="Times New Roman"/>
          <w:color w:val="000000"/>
          <w:sz w:val="24"/>
          <w:szCs w:val="24"/>
        </w:rPr>
        <w:tab/>
      </w:r>
      <w:r w:rsidR="001378C3" w:rsidRPr="001378C3">
        <w:rPr>
          <w:rFonts w:ascii="Times New Roman" w:hAnsi="Times New Roman" w:cs="Times New Roman"/>
          <w:color w:val="000000"/>
          <w:sz w:val="24"/>
          <w:szCs w:val="24"/>
        </w:rPr>
        <w:t>Ārvalstu finanšu palīdzība</w:t>
      </w:r>
    </w:p>
    <w:p w14:paraId="734B839A" w14:textId="3BF09FF0" w:rsidR="003D5725" w:rsidRPr="008C71DC" w:rsidRDefault="003D5725" w:rsidP="0058124B">
      <w:pPr>
        <w:tabs>
          <w:tab w:val="left" w:pos="2410"/>
        </w:tabs>
        <w:rPr>
          <w:rFonts w:ascii="Times New Roman" w:hAnsi="Times New Roman" w:cs="Times New Roman"/>
          <w:color w:val="000000"/>
          <w:sz w:val="24"/>
          <w:szCs w:val="24"/>
        </w:rPr>
      </w:pPr>
      <w:r w:rsidRPr="008C71DC">
        <w:rPr>
          <w:rFonts w:ascii="Times New Roman" w:hAnsi="Times New Roman" w:cs="Times New Roman"/>
          <w:color w:val="000000"/>
          <w:sz w:val="24"/>
          <w:szCs w:val="24"/>
        </w:rPr>
        <w:t>CFLA</w:t>
      </w:r>
      <w:r w:rsidR="00E03265" w:rsidRPr="008C71DC">
        <w:rPr>
          <w:rFonts w:ascii="Times New Roman" w:hAnsi="Times New Roman" w:cs="Times New Roman"/>
          <w:color w:val="000000"/>
          <w:sz w:val="24"/>
          <w:szCs w:val="24"/>
        </w:rPr>
        <w:tab/>
      </w:r>
      <w:r w:rsidRPr="008C71DC">
        <w:rPr>
          <w:rFonts w:ascii="Times New Roman" w:hAnsi="Times New Roman" w:cs="Times New Roman"/>
          <w:color w:val="000000"/>
          <w:sz w:val="24"/>
          <w:szCs w:val="24"/>
        </w:rPr>
        <w:t>Centrālā finanšu un līgumu aģentūra</w:t>
      </w:r>
    </w:p>
    <w:p w14:paraId="33049B30" w14:textId="1D6EE648" w:rsidR="003D5725" w:rsidRPr="008C71DC" w:rsidRDefault="003D5725" w:rsidP="0058124B">
      <w:pPr>
        <w:tabs>
          <w:tab w:val="left" w:pos="2410"/>
        </w:tabs>
        <w:rPr>
          <w:rFonts w:ascii="Times New Roman" w:hAnsi="Times New Roman" w:cs="Times New Roman"/>
          <w:color w:val="000000"/>
          <w:sz w:val="24"/>
          <w:szCs w:val="24"/>
        </w:rPr>
      </w:pPr>
      <w:r w:rsidRPr="008C71DC">
        <w:rPr>
          <w:rFonts w:ascii="Times New Roman" w:hAnsi="Times New Roman" w:cs="Times New Roman"/>
          <w:color w:val="000000"/>
          <w:sz w:val="24"/>
          <w:szCs w:val="24"/>
        </w:rPr>
        <w:t>CSP</w:t>
      </w:r>
      <w:r w:rsidR="00E03265" w:rsidRPr="008C71DC">
        <w:rPr>
          <w:rFonts w:ascii="Times New Roman" w:hAnsi="Times New Roman" w:cs="Times New Roman"/>
          <w:color w:val="000000"/>
          <w:sz w:val="24"/>
          <w:szCs w:val="24"/>
        </w:rPr>
        <w:tab/>
      </w:r>
      <w:r w:rsidRPr="008C71DC">
        <w:rPr>
          <w:rFonts w:ascii="Times New Roman" w:hAnsi="Times New Roman" w:cs="Times New Roman"/>
          <w:color w:val="000000"/>
          <w:sz w:val="24"/>
          <w:szCs w:val="24"/>
        </w:rPr>
        <w:t>Centrālā statistikas pārvalde</w:t>
      </w:r>
    </w:p>
    <w:p w14:paraId="52C25E2C" w14:textId="63BFED35" w:rsidR="003D5725" w:rsidRDefault="003D5725" w:rsidP="0058124B">
      <w:pPr>
        <w:tabs>
          <w:tab w:val="left" w:pos="2410"/>
        </w:tabs>
        <w:rPr>
          <w:rFonts w:ascii="Times New Roman" w:hAnsi="Times New Roman" w:cs="Times New Roman"/>
          <w:sz w:val="24"/>
          <w:szCs w:val="24"/>
        </w:rPr>
      </w:pPr>
      <w:r w:rsidRPr="00AE6D57">
        <w:rPr>
          <w:rFonts w:ascii="Times New Roman" w:hAnsi="Times New Roman" w:cs="Times New Roman"/>
          <w:sz w:val="24"/>
          <w:szCs w:val="24"/>
        </w:rPr>
        <w:t>Deklarācija</w:t>
      </w:r>
      <w:r w:rsidR="00E03265" w:rsidRPr="00AE6D57">
        <w:rPr>
          <w:rFonts w:ascii="Times New Roman" w:hAnsi="Times New Roman" w:cs="Times New Roman"/>
          <w:sz w:val="24"/>
          <w:szCs w:val="24"/>
        </w:rPr>
        <w:t xml:space="preserve"> </w:t>
      </w:r>
      <w:r w:rsidR="00E03265" w:rsidRPr="00AE6D57">
        <w:rPr>
          <w:rFonts w:ascii="Times New Roman" w:hAnsi="Times New Roman" w:cs="Times New Roman"/>
          <w:sz w:val="24"/>
          <w:szCs w:val="24"/>
        </w:rPr>
        <w:tab/>
        <w:t>I</w:t>
      </w:r>
      <w:r w:rsidRPr="00AE6D57">
        <w:rPr>
          <w:rFonts w:ascii="Times New Roman" w:hAnsi="Times New Roman" w:cs="Times New Roman"/>
          <w:sz w:val="24"/>
          <w:szCs w:val="24"/>
        </w:rPr>
        <w:t>nformatīvais ziņojums “Fiskālo risku deklarācija”</w:t>
      </w:r>
    </w:p>
    <w:p w14:paraId="7C1E1D5B" w14:textId="409077F9" w:rsidR="00193487" w:rsidRDefault="00193487" w:rsidP="0058124B">
      <w:pPr>
        <w:tabs>
          <w:tab w:val="left" w:pos="2410"/>
        </w:tabs>
        <w:rPr>
          <w:rFonts w:ascii="Times New Roman" w:hAnsi="Times New Roman" w:cs="Times New Roman"/>
          <w:sz w:val="24"/>
          <w:szCs w:val="24"/>
        </w:rPr>
      </w:pPr>
      <w:r>
        <w:rPr>
          <w:rFonts w:ascii="Times New Roman" w:hAnsi="Times New Roman" w:cs="Times New Roman"/>
          <w:sz w:val="24"/>
          <w:szCs w:val="24"/>
        </w:rPr>
        <w:t>ECB</w:t>
      </w:r>
      <w:r>
        <w:rPr>
          <w:rFonts w:ascii="Times New Roman" w:hAnsi="Times New Roman" w:cs="Times New Roman"/>
          <w:sz w:val="24"/>
          <w:szCs w:val="24"/>
        </w:rPr>
        <w:tab/>
        <w:t>Eiropas Centrālā banka</w:t>
      </w:r>
    </w:p>
    <w:p w14:paraId="6264E9F7" w14:textId="3A1C6452" w:rsidR="00EB4ECD" w:rsidRPr="00883EE7" w:rsidRDefault="00EB4ECD" w:rsidP="0058124B">
      <w:pPr>
        <w:tabs>
          <w:tab w:val="left" w:pos="2410"/>
        </w:tabs>
        <w:rPr>
          <w:rFonts w:ascii="Times New Roman" w:hAnsi="Times New Roman" w:cs="Times New Roman"/>
          <w:sz w:val="24"/>
          <w:szCs w:val="24"/>
          <w:highlight w:val="yellow"/>
        </w:rPr>
      </w:pPr>
      <w:r>
        <w:rPr>
          <w:rFonts w:ascii="Times New Roman" w:hAnsi="Times New Roman" w:cs="Times New Roman"/>
          <w:sz w:val="24"/>
          <w:szCs w:val="24"/>
        </w:rPr>
        <w:t>EISI</w:t>
      </w:r>
      <w:r>
        <w:rPr>
          <w:rFonts w:ascii="Times New Roman" w:hAnsi="Times New Roman" w:cs="Times New Roman"/>
          <w:sz w:val="24"/>
          <w:szCs w:val="24"/>
        </w:rPr>
        <w:tab/>
        <w:t>Eiropas infrastruktūras savienošanas instruments (CEF)</w:t>
      </w:r>
    </w:p>
    <w:p w14:paraId="05A3A0BE" w14:textId="6B1D4FF3" w:rsidR="003D5725" w:rsidRPr="00AE6D57" w:rsidRDefault="003D5725" w:rsidP="0058124B">
      <w:pPr>
        <w:tabs>
          <w:tab w:val="left" w:pos="2410"/>
        </w:tabs>
        <w:rPr>
          <w:rFonts w:ascii="Times New Roman" w:hAnsi="Times New Roman" w:cs="Times New Roman"/>
          <w:color w:val="000000"/>
          <w:sz w:val="24"/>
          <w:szCs w:val="24"/>
        </w:rPr>
      </w:pPr>
      <w:r w:rsidRPr="00AE6D57">
        <w:rPr>
          <w:rFonts w:ascii="Times New Roman" w:hAnsi="Times New Roman" w:cs="Times New Roman"/>
          <w:color w:val="000000"/>
          <w:sz w:val="24"/>
          <w:szCs w:val="24"/>
        </w:rPr>
        <w:t>EK</w:t>
      </w:r>
      <w:r w:rsidR="00E03265" w:rsidRPr="00AE6D57">
        <w:rPr>
          <w:rFonts w:ascii="Times New Roman" w:hAnsi="Times New Roman" w:cs="Times New Roman"/>
          <w:color w:val="000000"/>
          <w:sz w:val="24"/>
          <w:szCs w:val="24"/>
        </w:rPr>
        <w:tab/>
      </w:r>
      <w:r w:rsidRPr="00AE6D57">
        <w:rPr>
          <w:rFonts w:ascii="Times New Roman" w:hAnsi="Times New Roman" w:cs="Times New Roman"/>
          <w:color w:val="000000"/>
          <w:sz w:val="24"/>
          <w:szCs w:val="24"/>
        </w:rPr>
        <w:t>Eiropas Komisija</w:t>
      </w:r>
    </w:p>
    <w:p w14:paraId="28A25164" w14:textId="79FB71AF" w:rsidR="003D5725" w:rsidRPr="001A12C8" w:rsidRDefault="281B6CEE" w:rsidP="469479B5">
      <w:pPr>
        <w:tabs>
          <w:tab w:val="left" w:pos="2410"/>
        </w:tabs>
        <w:rPr>
          <w:rFonts w:ascii="Times New Roman" w:hAnsi="Times New Roman" w:cs="Times New Roman"/>
          <w:color w:val="000000" w:themeColor="text1"/>
          <w:sz w:val="24"/>
          <w:szCs w:val="24"/>
        </w:rPr>
      </w:pPr>
      <w:r w:rsidRPr="469479B5">
        <w:rPr>
          <w:rFonts w:ascii="Times New Roman" w:hAnsi="Times New Roman" w:cs="Times New Roman"/>
          <w:color w:val="000000" w:themeColor="text1"/>
          <w:sz w:val="24"/>
          <w:szCs w:val="24"/>
        </w:rPr>
        <w:t>EKS</w:t>
      </w:r>
      <w:r w:rsidR="003D5725">
        <w:tab/>
      </w:r>
      <w:r w:rsidRPr="469479B5">
        <w:rPr>
          <w:rFonts w:ascii="Times New Roman" w:hAnsi="Times New Roman" w:cs="Times New Roman"/>
          <w:color w:val="000000" w:themeColor="text1"/>
          <w:sz w:val="24"/>
          <w:szCs w:val="24"/>
        </w:rPr>
        <w:t>Eiropas nacionālo un reģionālo kontu sistēma Eiropas Savienībā</w:t>
      </w:r>
    </w:p>
    <w:p w14:paraId="715A5BEF" w14:textId="69CEA5BC" w:rsidR="003D5725" w:rsidRPr="001A12C8" w:rsidRDefault="14FB3D73" w:rsidP="0058124B">
      <w:pPr>
        <w:tabs>
          <w:tab w:val="left" w:pos="2410"/>
        </w:tabs>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EM</w:t>
      </w:r>
      <w:r w:rsidR="003D5725">
        <w:tab/>
      </w:r>
      <w:r w:rsidRPr="469479B5">
        <w:rPr>
          <w:rFonts w:ascii="Times New Roman" w:hAnsi="Times New Roman" w:cs="Times New Roman"/>
          <w:color w:val="000000" w:themeColor="text1"/>
          <w:sz w:val="24"/>
          <w:szCs w:val="24"/>
        </w:rPr>
        <w:t>Ekonomikas ministrija</w:t>
      </w:r>
      <w:r w:rsidR="281B6CEE" w:rsidRPr="469479B5">
        <w:rPr>
          <w:rFonts w:ascii="Times New Roman" w:hAnsi="Times New Roman" w:cs="Times New Roman"/>
          <w:color w:val="000000" w:themeColor="text1"/>
          <w:sz w:val="24"/>
          <w:szCs w:val="24"/>
        </w:rPr>
        <w:t xml:space="preserve"> </w:t>
      </w:r>
    </w:p>
    <w:p w14:paraId="3285C188" w14:textId="6E1D393E"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EPT</w:t>
      </w:r>
      <w:r w:rsidR="00E03265" w:rsidRPr="001A12C8">
        <w:rPr>
          <w:rFonts w:ascii="Times New Roman" w:hAnsi="Times New Roman" w:cs="Times New Roman"/>
          <w:color w:val="000000"/>
          <w:sz w:val="24"/>
          <w:szCs w:val="24"/>
        </w:rPr>
        <w:tab/>
        <w:t>S</w:t>
      </w:r>
      <w:r w:rsidRPr="001A12C8">
        <w:rPr>
          <w:rFonts w:ascii="Times New Roman" w:hAnsi="Times New Roman" w:cs="Times New Roman"/>
          <w:color w:val="000000"/>
          <w:sz w:val="24"/>
          <w:szCs w:val="24"/>
        </w:rPr>
        <w:t>abiedrība ar ierobežotu atbildību “Enerģijas publiskais tirgotājs”</w:t>
      </w:r>
    </w:p>
    <w:p w14:paraId="27DD57F0" w14:textId="05AFB582" w:rsidR="00F43C04"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ES</w:t>
      </w:r>
      <w:r w:rsidR="00E03265" w:rsidRPr="001A12C8">
        <w:rPr>
          <w:rFonts w:ascii="Times New Roman" w:hAnsi="Times New Roman" w:cs="Times New Roman"/>
          <w:color w:val="000000"/>
          <w:sz w:val="24"/>
          <w:szCs w:val="24"/>
        </w:rPr>
        <w:tab/>
      </w:r>
      <w:r w:rsidRPr="001A12C8">
        <w:rPr>
          <w:rFonts w:ascii="Times New Roman" w:hAnsi="Times New Roman" w:cs="Times New Roman"/>
          <w:color w:val="000000"/>
          <w:sz w:val="24"/>
          <w:szCs w:val="24"/>
        </w:rPr>
        <w:t>Eiropas Savienība</w:t>
      </w:r>
    </w:p>
    <w:p w14:paraId="4339951B" w14:textId="2BC328F3" w:rsidR="00F31882" w:rsidRDefault="00F31882"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ESAO</w:t>
      </w:r>
      <w:r>
        <w:rPr>
          <w:rFonts w:ascii="Times New Roman" w:hAnsi="Times New Roman" w:cs="Times New Roman"/>
          <w:color w:val="000000"/>
          <w:sz w:val="24"/>
          <w:szCs w:val="24"/>
        </w:rPr>
        <w:tab/>
        <w:t>Ekonomiskās sadarbības un attīstības organizācija</w:t>
      </w:r>
    </w:p>
    <w:p w14:paraId="6FC6EC7E" w14:textId="273DF5E8" w:rsidR="00F43C04" w:rsidRPr="001A12C8" w:rsidRDefault="00F43C04"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FEA</w:t>
      </w:r>
      <w:r w:rsidRPr="001A12C8">
        <w:rPr>
          <w:rFonts w:ascii="Times New Roman" w:hAnsi="Times New Roman" w:cs="Times New Roman"/>
          <w:color w:val="000000"/>
          <w:sz w:val="24"/>
          <w:szCs w:val="24"/>
        </w:rPr>
        <w:tab/>
      </w:r>
      <w:r>
        <w:rPr>
          <w:rFonts w:ascii="Times New Roman" w:hAnsi="Times New Roman" w:cs="Times New Roman"/>
          <w:color w:val="000000"/>
          <w:sz w:val="24"/>
          <w:szCs w:val="24"/>
        </w:rPr>
        <w:t>Finanšu un ekonomiskie aprēķini</w:t>
      </w:r>
    </w:p>
    <w:p w14:paraId="4D9D43DF" w14:textId="2F950F5C"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FDL</w:t>
      </w:r>
      <w:r w:rsidR="00E03265" w:rsidRPr="001A12C8">
        <w:rPr>
          <w:rFonts w:ascii="Times New Roman" w:hAnsi="Times New Roman" w:cs="Times New Roman"/>
          <w:color w:val="000000"/>
          <w:sz w:val="24"/>
          <w:szCs w:val="24"/>
        </w:rPr>
        <w:tab/>
      </w:r>
      <w:r w:rsidRPr="001A12C8">
        <w:rPr>
          <w:rFonts w:ascii="Times New Roman" w:hAnsi="Times New Roman" w:cs="Times New Roman"/>
          <w:color w:val="000000"/>
          <w:sz w:val="24"/>
          <w:szCs w:val="24"/>
        </w:rPr>
        <w:t>Fiskālās disciplīnas likums</w:t>
      </w:r>
    </w:p>
    <w:p w14:paraId="25419136" w14:textId="115D514C"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FKTK</w:t>
      </w:r>
      <w:r w:rsidR="00E03265" w:rsidRPr="001A12C8">
        <w:rPr>
          <w:rFonts w:ascii="Times New Roman" w:hAnsi="Times New Roman" w:cs="Times New Roman"/>
          <w:color w:val="000000"/>
          <w:sz w:val="24"/>
          <w:szCs w:val="24"/>
        </w:rPr>
        <w:tab/>
      </w:r>
      <w:r w:rsidRPr="001A12C8">
        <w:rPr>
          <w:rFonts w:ascii="Times New Roman" w:hAnsi="Times New Roman" w:cs="Times New Roman"/>
          <w:color w:val="000000"/>
          <w:sz w:val="24"/>
          <w:szCs w:val="24"/>
        </w:rPr>
        <w:t>Finanšu un kapitāla tirgus komisija</w:t>
      </w:r>
    </w:p>
    <w:p w14:paraId="5F6C9E3B" w14:textId="3194FF91" w:rsidR="003D5725" w:rsidRPr="001A12C8" w:rsidRDefault="003D5725" w:rsidP="0058124B">
      <w:pPr>
        <w:tabs>
          <w:tab w:val="left" w:pos="2410"/>
        </w:tabs>
        <w:rPr>
          <w:rFonts w:ascii="Times New Roman" w:hAnsi="Times New Roman" w:cs="Times New Roman"/>
          <w:iCs/>
          <w:sz w:val="24"/>
          <w:szCs w:val="24"/>
        </w:rPr>
      </w:pPr>
      <w:r w:rsidRPr="001A12C8">
        <w:rPr>
          <w:rFonts w:ascii="Times New Roman" w:hAnsi="Times New Roman" w:cs="Times New Roman"/>
          <w:iCs/>
          <w:sz w:val="24"/>
          <w:szCs w:val="24"/>
        </w:rPr>
        <w:t>FM</w:t>
      </w:r>
      <w:r w:rsidR="00E03265" w:rsidRPr="001A12C8">
        <w:rPr>
          <w:rFonts w:ascii="Times New Roman" w:hAnsi="Times New Roman" w:cs="Times New Roman"/>
          <w:iCs/>
          <w:sz w:val="24"/>
          <w:szCs w:val="24"/>
        </w:rPr>
        <w:tab/>
      </w:r>
      <w:r w:rsidRPr="001A12C8">
        <w:rPr>
          <w:rFonts w:ascii="Times New Roman" w:hAnsi="Times New Roman" w:cs="Times New Roman"/>
          <w:iCs/>
          <w:sz w:val="24"/>
          <w:szCs w:val="24"/>
        </w:rPr>
        <w:t>Finanšu ministrija</w:t>
      </w:r>
    </w:p>
    <w:p w14:paraId="64FF2090" w14:textId="5A7BF636"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IKP</w:t>
      </w:r>
      <w:r w:rsidR="00E03265" w:rsidRPr="001A12C8">
        <w:rPr>
          <w:rFonts w:ascii="Times New Roman" w:hAnsi="Times New Roman" w:cs="Times New Roman"/>
          <w:color w:val="000000"/>
          <w:sz w:val="24"/>
          <w:szCs w:val="24"/>
        </w:rPr>
        <w:tab/>
        <w:t>I</w:t>
      </w:r>
      <w:r w:rsidRPr="001A12C8">
        <w:rPr>
          <w:rFonts w:ascii="Times New Roman" w:hAnsi="Times New Roman" w:cs="Times New Roman"/>
          <w:color w:val="000000"/>
          <w:sz w:val="24"/>
          <w:szCs w:val="24"/>
        </w:rPr>
        <w:t>ekšzemes kopprodukts</w:t>
      </w:r>
    </w:p>
    <w:p w14:paraId="3B8CFEAB" w14:textId="7890A37C" w:rsidR="009834B8" w:rsidRDefault="009834B8" w:rsidP="0058124B">
      <w:pPr>
        <w:tabs>
          <w:tab w:val="left" w:pos="2410"/>
        </w:tabs>
        <w:rPr>
          <w:rFonts w:ascii="Times New Roman" w:hAnsi="Times New Roman" w:cs="Times New Roman"/>
          <w:color w:val="000000"/>
          <w:sz w:val="24"/>
          <w:szCs w:val="24"/>
        </w:rPr>
      </w:pPr>
      <w:r w:rsidRPr="0024622F">
        <w:rPr>
          <w:rFonts w:ascii="Times New Roman" w:hAnsi="Times New Roman" w:cs="Times New Roman"/>
          <w:color w:val="000000"/>
          <w:sz w:val="24"/>
          <w:szCs w:val="24"/>
        </w:rPr>
        <w:t>KEM</w:t>
      </w:r>
      <w:r w:rsidR="0024622F" w:rsidRPr="0024622F">
        <w:rPr>
          <w:rFonts w:ascii="Times New Roman" w:hAnsi="Times New Roman" w:cs="Times New Roman"/>
          <w:color w:val="000000"/>
          <w:sz w:val="24"/>
          <w:szCs w:val="24"/>
        </w:rPr>
        <w:tab/>
        <w:t>Klimata un enerģētikas ministrija</w:t>
      </w:r>
    </w:p>
    <w:p w14:paraId="5192093F" w14:textId="448D96AB" w:rsidR="00C27C17" w:rsidRDefault="00C27C17"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KF</w:t>
      </w:r>
      <w:r w:rsidRPr="0024622F">
        <w:rPr>
          <w:rFonts w:ascii="Times New Roman" w:hAnsi="Times New Roman" w:cs="Times New Roman"/>
          <w:color w:val="000000"/>
          <w:sz w:val="24"/>
          <w:szCs w:val="24"/>
        </w:rPr>
        <w:tab/>
      </w:r>
      <w:r>
        <w:rPr>
          <w:rFonts w:ascii="Times New Roman" w:hAnsi="Times New Roman" w:cs="Times New Roman"/>
          <w:color w:val="000000"/>
          <w:sz w:val="24"/>
          <w:szCs w:val="24"/>
        </w:rPr>
        <w:t>Kohēzijas fonds</w:t>
      </w:r>
    </w:p>
    <w:p w14:paraId="2A911A11" w14:textId="2D6B4C5E" w:rsidR="003D5725" w:rsidRPr="005F1FB0" w:rsidRDefault="00431493"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KM</w:t>
      </w:r>
      <w:r w:rsidRPr="0024622F">
        <w:rPr>
          <w:rFonts w:ascii="Times New Roman" w:hAnsi="Times New Roman" w:cs="Times New Roman"/>
          <w:color w:val="000000"/>
          <w:sz w:val="24"/>
          <w:szCs w:val="24"/>
        </w:rPr>
        <w:tab/>
      </w:r>
      <w:r>
        <w:rPr>
          <w:rFonts w:ascii="Times New Roman" w:hAnsi="Times New Roman" w:cs="Times New Roman"/>
          <w:color w:val="000000"/>
          <w:sz w:val="24"/>
          <w:szCs w:val="24"/>
        </w:rPr>
        <w:t>Kultūras ministrija</w:t>
      </w:r>
    </w:p>
    <w:p w14:paraId="40B99F25" w14:textId="3EB80601" w:rsidR="006D6A17" w:rsidRPr="005F1FB0" w:rsidRDefault="006D6A17" w:rsidP="006D6A17">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LBFV</w:t>
      </w:r>
      <w:r w:rsidRPr="005F1FB0">
        <w:rPr>
          <w:rFonts w:ascii="Times New Roman" w:hAnsi="Times New Roman" w:cs="Times New Roman"/>
          <w:color w:val="000000"/>
          <w:sz w:val="24"/>
          <w:szCs w:val="24"/>
        </w:rPr>
        <w:tab/>
        <w:t>Likums par budžeta un finanšu vadību</w:t>
      </w:r>
    </w:p>
    <w:p w14:paraId="6EFC2C66" w14:textId="2A1D2F71" w:rsidR="000C40CF"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LDz</w:t>
      </w:r>
      <w:r w:rsidR="00E03265" w:rsidRPr="005F1FB0">
        <w:rPr>
          <w:rFonts w:ascii="Times New Roman" w:hAnsi="Times New Roman" w:cs="Times New Roman"/>
          <w:color w:val="000000"/>
          <w:sz w:val="24"/>
          <w:szCs w:val="24"/>
        </w:rPr>
        <w:tab/>
        <w:t>V</w:t>
      </w:r>
      <w:r w:rsidRPr="005F1FB0">
        <w:rPr>
          <w:rFonts w:ascii="Times New Roman" w:hAnsi="Times New Roman" w:cs="Times New Roman"/>
          <w:color w:val="000000"/>
          <w:sz w:val="24"/>
          <w:szCs w:val="24"/>
        </w:rPr>
        <w:t>alsts akciju sabiedrība “Latvijas Dzelzceļš”</w:t>
      </w:r>
    </w:p>
    <w:p w14:paraId="0BCBA66A" w14:textId="3CB1B9DF" w:rsidR="00005615" w:rsidRPr="005F1FB0" w:rsidRDefault="00FD60AB" w:rsidP="0058124B">
      <w:pPr>
        <w:tabs>
          <w:tab w:val="left" w:pos="2410"/>
        </w:tabs>
        <w:rPr>
          <w:rFonts w:ascii="Times New Roman" w:hAnsi="Times New Roman" w:cs="Times New Roman"/>
          <w:color w:val="000000"/>
          <w:sz w:val="24"/>
          <w:szCs w:val="24"/>
        </w:rPr>
      </w:pPr>
      <w:r>
        <w:rPr>
          <w:rFonts w:ascii="Times New Roman" w:hAnsi="Times New Roman" w:cs="Times New Roman"/>
          <w:noProof/>
          <w:sz w:val="32"/>
          <w:highlight w:val="yellow"/>
        </w:rPr>
        <w:drawing>
          <wp:anchor distT="0" distB="0" distL="114300" distR="114300" simplePos="0" relativeHeight="251667456" behindDoc="1" locked="0" layoutInCell="1" allowOverlap="1" wp14:anchorId="25839184" wp14:editId="522AF47B">
            <wp:simplePos x="0" y="0"/>
            <wp:positionH relativeFrom="page">
              <wp:posOffset>4838065</wp:posOffset>
            </wp:positionH>
            <wp:positionV relativeFrom="paragraph">
              <wp:posOffset>-1387475</wp:posOffset>
            </wp:positionV>
            <wp:extent cx="2725420" cy="2194560"/>
            <wp:effectExtent l="0" t="0" r="0" b="0"/>
            <wp:wrapNone/>
            <wp:docPr id="20626902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5420" cy="2194560"/>
                    </a:xfrm>
                    <a:prstGeom prst="rect">
                      <a:avLst/>
                    </a:prstGeom>
                    <a:noFill/>
                  </pic:spPr>
                </pic:pic>
              </a:graphicData>
            </a:graphic>
            <wp14:sizeRelH relativeFrom="page">
              <wp14:pctWidth>0</wp14:pctWidth>
            </wp14:sizeRelH>
            <wp14:sizeRelV relativeFrom="page">
              <wp14:pctHeight>0</wp14:pctHeight>
            </wp14:sizeRelV>
          </wp:anchor>
        </w:drawing>
      </w:r>
      <w:r w:rsidR="00005615">
        <w:rPr>
          <w:rFonts w:ascii="Times New Roman" w:hAnsi="Times New Roman" w:cs="Times New Roman"/>
          <w:color w:val="000000"/>
          <w:sz w:val="24"/>
          <w:szCs w:val="24"/>
        </w:rPr>
        <w:t>LIAA</w:t>
      </w:r>
      <w:r w:rsidR="00005615">
        <w:rPr>
          <w:rFonts w:ascii="Times New Roman" w:hAnsi="Times New Roman" w:cs="Times New Roman"/>
          <w:color w:val="000000"/>
          <w:sz w:val="24"/>
          <w:szCs w:val="24"/>
        </w:rPr>
        <w:tab/>
        <w:t>Latvijas Investīciju un attīstības aģentūra</w:t>
      </w:r>
    </w:p>
    <w:p w14:paraId="2900391D" w14:textId="5CAFC0B2" w:rsidR="003D5725"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LM</w:t>
      </w:r>
      <w:r w:rsidR="00E03265" w:rsidRPr="005F1FB0">
        <w:rPr>
          <w:rFonts w:ascii="Times New Roman" w:hAnsi="Times New Roman" w:cs="Times New Roman"/>
          <w:color w:val="000000"/>
          <w:sz w:val="24"/>
          <w:szCs w:val="24"/>
        </w:rPr>
        <w:tab/>
      </w:r>
      <w:r w:rsidR="005F1FB0" w:rsidRPr="005F1FB0">
        <w:rPr>
          <w:rFonts w:ascii="Times New Roman" w:hAnsi="Times New Roman" w:cs="Times New Roman"/>
          <w:color w:val="000000"/>
          <w:sz w:val="24"/>
          <w:szCs w:val="24"/>
        </w:rPr>
        <w:t>Labklājības ministrija</w:t>
      </w:r>
    </w:p>
    <w:p w14:paraId="57880FAC" w14:textId="7BB8659C" w:rsidR="007B0D80" w:rsidRDefault="007B0D80"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LR</w:t>
      </w:r>
      <w:r>
        <w:rPr>
          <w:rFonts w:ascii="Times New Roman" w:hAnsi="Times New Roman" w:cs="Times New Roman"/>
          <w:color w:val="000000"/>
          <w:sz w:val="24"/>
          <w:szCs w:val="24"/>
        </w:rPr>
        <w:tab/>
      </w:r>
      <w:r w:rsidRPr="007B0D80">
        <w:rPr>
          <w:rFonts w:ascii="Times New Roman" w:hAnsi="Times New Roman" w:cs="Times New Roman"/>
          <w:color w:val="000000"/>
          <w:sz w:val="24"/>
          <w:szCs w:val="24"/>
        </w:rPr>
        <w:t>Latvijas Republika</w:t>
      </w:r>
    </w:p>
    <w:p w14:paraId="6579321B" w14:textId="07BC644C" w:rsidR="003F686D" w:rsidRPr="005F1FB0" w:rsidRDefault="003F686D"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MAS</w:t>
      </w:r>
      <w:r>
        <w:rPr>
          <w:rFonts w:ascii="Times New Roman" w:hAnsi="Times New Roman" w:cs="Times New Roman"/>
          <w:color w:val="000000"/>
          <w:sz w:val="24"/>
          <w:szCs w:val="24"/>
        </w:rPr>
        <w:tab/>
        <w:t>Maksātnespējīga akciju sabiedrība</w:t>
      </w:r>
    </w:p>
    <w:p w14:paraId="089BCA9B" w14:textId="25BDA80E"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MK</w:t>
      </w:r>
      <w:r w:rsidR="00E03265" w:rsidRPr="005F1FB0">
        <w:rPr>
          <w:rFonts w:ascii="Times New Roman" w:hAnsi="Times New Roman" w:cs="Times New Roman"/>
          <w:color w:val="000000"/>
          <w:sz w:val="24"/>
          <w:szCs w:val="24"/>
        </w:rPr>
        <w:tab/>
      </w:r>
      <w:r w:rsidRPr="005F1FB0">
        <w:rPr>
          <w:rFonts w:ascii="Times New Roman" w:hAnsi="Times New Roman" w:cs="Times New Roman"/>
          <w:color w:val="000000"/>
          <w:sz w:val="24"/>
          <w:szCs w:val="24"/>
        </w:rPr>
        <w:t>Ministru kabinets</w:t>
      </w:r>
    </w:p>
    <w:p w14:paraId="63563202" w14:textId="2D3973B0" w:rsidR="0027032B" w:rsidRDefault="003D5725" w:rsidP="00C56137">
      <w:pPr>
        <w:tabs>
          <w:tab w:val="left" w:pos="2410"/>
        </w:tabs>
        <w:ind w:left="2410" w:hanging="2410"/>
        <w:jc w:val="both"/>
        <w:rPr>
          <w:rFonts w:ascii="Times New Roman" w:hAnsi="Times New Roman" w:cs="Times New Roman"/>
          <w:iCs/>
          <w:sz w:val="24"/>
          <w:szCs w:val="24"/>
        </w:rPr>
      </w:pPr>
      <w:r w:rsidRPr="005F1FB0">
        <w:rPr>
          <w:rFonts w:ascii="Times New Roman" w:hAnsi="Times New Roman" w:cs="Times New Roman"/>
          <w:iCs/>
          <w:sz w:val="24"/>
          <w:szCs w:val="24"/>
        </w:rPr>
        <w:t>MK noteikumi Nr.229</w:t>
      </w:r>
      <w:r w:rsidR="00E03265" w:rsidRPr="005F1FB0">
        <w:rPr>
          <w:rFonts w:ascii="Times New Roman" w:hAnsi="Times New Roman" w:cs="Times New Roman"/>
          <w:iCs/>
          <w:sz w:val="24"/>
          <w:szCs w:val="24"/>
        </w:rPr>
        <w:tab/>
      </w:r>
      <w:r w:rsidRPr="005F1FB0">
        <w:rPr>
          <w:rFonts w:ascii="Times New Roman" w:hAnsi="Times New Roman" w:cs="Times New Roman"/>
          <w:iCs/>
          <w:sz w:val="24"/>
          <w:szCs w:val="24"/>
        </w:rPr>
        <w:t>Ministru kabineta 2014.</w:t>
      </w:r>
      <w:r w:rsidR="005B24ED">
        <w:rPr>
          <w:rFonts w:ascii="Times New Roman" w:hAnsi="Times New Roman" w:cs="Times New Roman"/>
          <w:iCs/>
          <w:sz w:val="24"/>
          <w:szCs w:val="24"/>
        </w:rPr>
        <w:t xml:space="preserve"> </w:t>
      </w:r>
      <w:r w:rsidRPr="005F1FB0">
        <w:rPr>
          <w:rFonts w:ascii="Times New Roman" w:hAnsi="Times New Roman" w:cs="Times New Roman"/>
          <w:iCs/>
          <w:sz w:val="24"/>
          <w:szCs w:val="24"/>
        </w:rPr>
        <w:t>gada 29.</w:t>
      </w:r>
      <w:r w:rsidR="005B24ED">
        <w:rPr>
          <w:rFonts w:ascii="Times New Roman" w:hAnsi="Times New Roman" w:cs="Times New Roman"/>
          <w:iCs/>
          <w:sz w:val="24"/>
          <w:szCs w:val="24"/>
        </w:rPr>
        <w:t xml:space="preserve"> </w:t>
      </w:r>
      <w:r w:rsidRPr="005F1FB0">
        <w:rPr>
          <w:rFonts w:ascii="Times New Roman" w:hAnsi="Times New Roman" w:cs="Times New Roman"/>
          <w:iCs/>
          <w:sz w:val="24"/>
          <w:szCs w:val="24"/>
        </w:rPr>
        <w:t xml:space="preserve">aprīļa </w:t>
      </w:r>
      <w:r w:rsidRPr="005F1FB0">
        <w:rPr>
          <w:rFonts w:ascii="Times New Roman" w:hAnsi="Times New Roman" w:cs="Times New Roman"/>
          <w:color w:val="000000"/>
          <w:sz w:val="24"/>
          <w:szCs w:val="24"/>
        </w:rPr>
        <w:t>noteikumi</w:t>
      </w:r>
      <w:r w:rsidRPr="005F1FB0">
        <w:t xml:space="preserve"> </w:t>
      </w:r>
      <w:r w:rsidRPr="005F1FB0">
        <w:rPr>
          <w:rFonts w:ascii="Times New Roman" w:hAnsi="Times New Roman" w:cs="Times New Roman"/>
          <w:color w:val="000000"/>
          <w:sz w:val="24"/>
          <w:szCs w:val="24"/>
        </w:rPr>
        <w:t xml:space="preserve">Nr.229 </w:t>
      </w:r>
      <w:r w:rsidR="00AA4E97">
        <w:rPr>
          <w:rFonts w:ascii="Times New Roman" w:hAnsi="Times New Roman" w:cs="Times New Roman"/>
          <w:color w:val="000000"/>
          <w:sz w:val="24"/>
          <w:szCs w:val="24"/>
        </w:rPr>
        <w:t>“</w:t>
      </w:r>
      <w:r w:rsidRPr="005F1FB0">
        <w:rPr>
          <w:rFonts w:ascii="Times New Roman" w:hAnsi="Times New Roman" w:cs="Times New Roman"/>
          <w:i/>
          <w:iCs/>
          <w:color w:val="000000"/>
          <w:sz w:val="24"/>
          <w:szCs w:val="24"/>
        </w:rPr>
        <w:t xml:space="preserve">Noteikumi par fiskālo risku vispārējo vadību un par fiskālās nodrošinājuma rezerves apjoma noteikšanas </w:t>
      </w:r>
      <w:r w:rsidRPr="005F1FB0">
        <w:rPr>
          <w:rFonts w:ascii="Times New Roman" w:hAnsi="Times New Roman" w:cs="Times New Roman"/>
          <w:i/>
          <w:iCs/>
          <w:sz w:val="24"/>
          <w:szCs w:val="24"/>
        </w:rPr>
        <w:t>metodoloģiju</w:t>
      </w:r>
      <w:r w:rsidRPr="005F1FB0">
        <w:rPr>
          <w:rFonts w:ascii="Times New Roman" w:hAnsi="Times New Roman" w:cs="Times New Roman"/>
          <w:iCs/>
          <w:sz w:val="24"/>
          <w:szCs w:val="24"/>
        </w:rPr>
        <w:t>”</w:t>
      </w:r>
    </w:p>
    <w:p w14:paraId="4910413C" w14:textId="1ECFF425" w:rsidR="003D5725" w:rsidRPr="005F1FB0" w:rsidRDefault="00AA4E97" w:rsidP="00C56137">
      <w:pPr>
        <w:tabs>
          <w:tab w:val="left" w:pos="2410"/>
        </w:tabs>
        <w:ind w:left="2410" w:hanging="2410"/>
        <w:jc w:val="both"/>
        <w:rPr>
          <w:rFonts w:ascii="Times New Roman" w:hAnsi="Times New Roman" w:cs="Times New Roman"/>
          <w:iCs/>
          <w:sz w:val="24"/>
          <w:szCs w:val="24"/>
        </w:rPr>
      </w:pPr>
      <w:r>
        <w:rPr>
          <w:rFonts w:ascii="Times New Roman" w:hAnsi="Times New Roman" w:cs="Times New Roman"/>
          <w:iCs/>
          <w:sz w:val="24"/>
          <w:szCs w:val="24"/>
        </w:rPr>
        <w:t>MK noteikumi Nr.1216</w:t>
      </w:r>
      <w:r w:rsidR="0027032B">
        <w:rPr>
          <w:rFonts w:ascii="Times New Roman" w:hAnsi="Times New Roman" w:cs="Times New Roman"/>
          <w:iCs/>
          <w:sz w:val="24"/>
          <w:szCs w:val="24"/>
        </w:rPr>
        <w:tab/>
        <w:t xml:space="preserve">Ministru kabineta 2009. gada 20. oktobra </w:t>
      </w:r>
      <w:r w:rsidR="0027032B" w:rsidRPr="469479B5">
        <w:rPr>
          <w:rFonts w:ascii="Times New Roman" w:hAnsi="Times New Roman" w:cs="Times New Roman"/>
          <w:sz w:val="24"/>
          <w:szCs w:val="24"/>
        </w:rPr>
        <w:t xml:space="preserve">noteikumi Nr.1216 </w:t>
      </w:r>
      <w:r>
        <w:rPr>
          <w:rFonts w:ascii="Times New Roman" w:hAnsi="Times New Roman" w:cs="Times New Roman"/>
          <w:sz w:val="24"/>
          <w:szCs w:val="24"/>
        </w:rPr>
        <w:t>“</w:t>
      </w:r>
      <w:r w:rsidR="0027032B" w:rsidRPr="00C56137">
        <w:rPr>
          <w:rFonts w:ascii="Times New Roman" w:hAnsi="Times New Roman" w:cs="Times New Roman"/>
          <w:i/>
          <w:iCs/>
          <w:sz w:val="24"/>
          <w:szCs w:val="24"/>
        </w:rPr>
        <w:t>Noteikumi par uzraudzības institūcijas darbību un publiskā partnera vai tā pārstāvja līguma izpildes pārskata sniegšanu</w:t>
      </w:r>
      <w:r w:rsidR="0027032B" w:rsidRPr="469479B5">
        <w:rPr>
          <w:rFonts w:ascii="Times New Roman" w:hAnsi="Times New Roman" w:cs="Times New Roman"/>
          <w:sz w:val="24"/>
          <w:szCs w:val="24"/>
        </w:rPr>
        <w:t>”</w:t>
      </w:r>
    </w:p>
    <w:p w14:paraId="0FA3729E" w14:textId="2AB47E2F" w:rsidR="003D5725"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NDC</w:t>
      </w:r>
      <w:r w:rsidR="00E03265" w:rsidRPr="005F1FB0">
        <w:rPr>
          <w:rFonts w:ascii="Times New Roman" w:hAnsi="Times New Roman" w:cs="Times New Roman"/>
          <w:color w:val="000000"/>
          <w:sz w:val="24"/>
          <w:szCs w:val="24"/>
        </w:rPr>
        <w:tab/>
        <w:t>N</w:t>
      </w:r>
      <w:r w:rsidRPr="005F1FB0">
        <w:rPr>
          <w:rFonts w:ascii="Times New Roman" w:hAnsi="Times New Roman" w:cs="Times New Roman"/>
          <w:color w:val="000000"/>
          <w:sz w:val="24"/>
          <w:szCs w:val="24"/>
        </w:rPr>
        <w:t>acionāli noteiktais devums</w:t>
      </w:r>
    </w:p>
    <w:p w14:paraId="0D3099A0" w14:textId="7ACB135C" w:rsidR="00AF4B67" w:rsidRPr="005F1FB0" w:rsidRDefault="00AF4B67"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NEKP</w:t>
      </w:r>
      <w:r w:rsidRPr="005F1FB0">
        <w:rPr>
          <w:rFonts w:ascii="Times New Roman" w:hAnsi="Times New Roman" w:cs="Times New Roman"/>
          <w:color w:val="000000"/>
          <w:sz w:val="24"/>
          <w:szCs w:val="24"/>
        </w:rPr>
        <w:tab/>
      </w:r>
      <w:r>
        <w:rPr>
          <w:rFonts w:ascii="Times New Roman" w:hAnsi="Times New Roman" w:cs="Times New Roman"/>
          <w:color w:val="000000"/>
          <w:sz w:val="24"/>
          <w:szCs w:val="24"/>
        </w:rPr>
        <w:t>Nacionālais enerģētikas un klimata plāns</w:t>
      </w:r>
    </w:p>
    <w:p w14:paraId="0C70C662" w14:textId="371D9866" w:rsidR="003D5725" w:rsidRPr="005F1FB0" w:rsidRDefault="003D5725" w:rsidP="0058124B">
      <w:pPr>
        <w:tabs>
          <w:tab w:val="left" w:pos="2410"/>
        </w:tabs>
        <w:rPr>
          <w:rFonts w:ascii="Times New Roman" w:hAnsi="Times New Roman"/>
          <w:sz w:val="24"/>
          <w:szCs w:val="24"/>
        </w:rPr>
      </w:pPr>
      <w:r w:rsidRPr="005F1FB0">
        <w:rPr>
          <w:rFonts w:ascii="Times New Roman" w:hAnsi="Times New Roman"/>
          <w:sz w:val="24"/>
          <w:szCs w:val="24"/>
        </w:rPr>
        <w:t>NGF</w:t>
      </w:r>
      <w:r w:rsidR="00E03265" w:rsidRPr="005F1FB0">
        <w:rPr>
          <w:rFonts w:ascii="Times New Roman" w:hAnsi="Times New Roman"/>
          <w:sz w:val="24"/>
          <w:szCs w:val="24"/>
        </w:rPr>
        <w:tab/>
        <w:t>N</w:t>
      </w:r>
      <w:r w:rsidRPr="005F1FB0">
        <w:rPr>
          <w:rFonts w:ascii="Times New Roman" w:hAnsi="Times New Roman"/>
          <w:sz w:val="24"/>
          <w:szCs w:val="24"/>
        </w:rPr>
        <w:t>oguldījumu garantiju fonds</w:t>
      </w:r>
    </w:p>
    <w:p w14:paraId="5D774CCE" w14:textId="3255FC03"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NGL</w:t>
      </w:r>
      <w:r w:rsidR="00E03265" w:rsidRPr="005F1FB0">
        <w:rPr>
          <w:rFonts w:ascii="Times New Roman" w:hAnsi="Times New Roman" w:cs="Times New Roman"/>
          <w:color w:val="000000"/>
          <w:sz w:val="24"/>
          <w:szCs w:val="24"/>
        </w:rPr>
        <w:tab/>
      </w:r>
      <w:r w:rsidRPr="005F1FB0">
        <w:rPr>
          <w:rFonts w:ascii="Times New Roman" w:hAnsi="Times New Roman" w:cs="Times New Roman"/>
          <w:color w:val="000000"/>
          <w:sz w:val="24"/>
          <w:szCs w:val="24"/>
        </w:rPr>
        <w:t>Noguldījumu garantiju likums</w:t>
      </w:r>
    </w:p>
    <w:p w14:paraId="44CA654F" w14:textId="7A305083" w:rsidR="003D5725"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NKI</w:t>
      </w:r>
      <w:r w:rsidR="00E03265" w:rsidRPr="005F1FB0">
        <w:rPr>
          <w:rFonts w:ascii="Times New Roman" w:hAnsi="Times New Roman" w:cs="Times New Roman"/>
          <w:color w:val="000000"/>
          <w:sz w:val="24"/>
          <w:szCs w:val="24"/>
        </w:rPr>
        <w:tab/>
      </w:r>
      <w:r w:rsidR="005F1FB0" w:rsidRPr="005F1FB0">
        <w:rPr>
          <w:rFonts w:ascii="Times New Roman" w:hAnsi="Times New Roman" w:cs="Times New Roman"/>
          <w:color w:val="000000"/>
          <w:sz w:val="24"/>
          <w:szCs w:val="24"/>
        </w:rPr>
        <w:t>Nacionālais kopienākums</w:t>
      </w:r>
    </w:p>
    <w:p w14:paraId="239D65D0" w14:textId="5C8DD5D2"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OIK</w:t>
      </w:r>
      <w:r w:rsidR="00E03265" w:rsidRPr="005F1FB0">
        <w:rPr>
          <w:rFonts w:ascii="Times New Roman" w:hAnsi="Times New Roman" w:cs="Times New Roman"/>
          <w:color w:val="000000"/>
          <w:sz w:val="24"/>
          <w:szCs w:val="24"/>
        </w:rPr>
        <w:tab/>
        <w:t>O</w:t>
      </w:r>
      <w:r w:rsidRPr="005F1FB0">
        <w:rPr>
          <w:rFonts w:ascii="Times New Roman" w:hAnsi="Times New Roman" w:cs="Times New Roman"/>
          <w:color w:val="000000"/>
          <w:sz w:val="24"/>
          <w:szCs w:val="24"/>
        </w:rPr>
        <w:t>bligātā iepirkuma komponente</w:t>
      </w:r>
    </w:p>
    <w:p w14:paraId="030C97FF" w14:textId="504711E3" w:rsidR="003D5725" w:rsidRPr="00382B1A" w:rsidRDefault="003D5725" w:rsidP="0058124B">
      <w:pPr>
        <w:tabs>
          <w:tab w:val="left" w:pos="2410"/>
        </w:tabs>
        <w:rPr>
          <w:rFonts w:ascii="Times New Roman" w:hAnsi="Times New Roman" w:cs="Times New Roman"/>
          <w:color w:val="000000"/>
          <w:sz w:val="24"/>
          <w:szCs w:val="24"/>
        </w:rPr>
      </w:pPr>
      <w:r w:rsidRPr="00382B1A">
        <w:rPr>
          <w:rFonts w:ascii="Times New Roman" w:hAnsi="Times New Roman" w:cs="Times New Roman"/>
          <w:color w:val="000000"/>
          <w:sz w:val="24"/>
          <w:szCs w:val="24"/>
        </w:rPr>
        <w:t>PPP</w:t>
      </w:r>
      <w:r w:rsidR="00E03265" w:rsidRPr="00382B1A">
        <w:rPr>
          <w:rFonts w:ascii="Times New Roman" w:hAnsi="Times New Roman" w:cs="Times New Roman"/>
          <w:color w:val="000000"/>
          <w:sz w:val="24"/>
          <w:szCs w:val="24"/>
        </w:rPr>
        <w:tab/>
        <w:t>P</w:t>
      </w:r>
      <w:r w:rsidRPr="00382B1A">
        <w:rPr>
          <w:rFonts w:ascii="Times New Roman" w:hAnsi="Times New Roman" w:cs="Times New Roman"/>
          <w:color w:val="000000"/>
          <w:sz w:val="24"/>
          <w:szCs w:val="24"/>
        </w:rPr>
        <w:t>ubliskā un privātā partnerība</w:t>
      </w:r>
    </w:p>
    <w:p w14:paraId="152FCEDB" w14:textId="599CE79D" w:rsidR="003D5725" w:rsidRPr="00382B1A" w:rsidRDefault="003D5725" w:rsidP="0058124B">
      <w:pPr>
        <w:tabs>
          <w:tab w:val="left" w:pos="2410"/>
        </w:tabs>
        <w:rPr>
          <w:rFonts w:ascii="Times New Roman" w:hAnsi="Times New Roman" w:cs="Times New Roman"/>
          <w:color w:val="000000"/>
          <w:sz w:val="24"/>
          <w:szCs w:val="24"/>
        </w:rPr>
      </w:pPr>
      <w:r w:rsidRPr="00382B1A">
        <w:rPr>
          <w:rFonts w:ascii="Times New Roman" w:hAnsi="Times New Roman" w:cs="Times New Roman"/>
          <w:color w:val="000000"/>
          <w:sz w:val="24"/>
          <w:szCs w:val="24"/>
        </w:rPr>
        <w:t>PVN</w:t>
      </w:r>
      <w:r w:rsidR="00E03265" w:rsidRPr="00382B1A">
        <w:rPr>
          <w:rFonts w:ascii="Times New Roman" w:hAnsi="Times New Roman" w:cs="Times New Roman"/>
          <w:color w:val="000000"/>
          <w:sz w:val="24"/>
          <w:szCs w:val="24"/>
        </w:rPr>
        <w:tab/>
        <w:t>P</w:t>
      </w:r>
      <w:r w:rsidRPr="00382B1A">
        <w:rPr>
          <w:rFonts w:ascii="Times New Roman" w:hAnsi="Times New Roman" w:cs="Times New Roman"/>
          <w:color w:val="000000"/>
          <w:sz w:val="24"/>
          <w:szCs w:val="24"/>
        </w:rPr>
        <w:t>ievienotās vērtības nodoklis</w:t>
      </w:r>
    </w:p>
    <w:p w14:paraId="661F6A65" w14:textId="48304561" w:rsidR="003D5725" w:rsidRPr="00CA3880" w:rsidRDefault="003D5725" w:rsidP="0058124B">
      <w:pPr>
        <w:tabs>
          <w:tab w:val="left" w:pos="2410"/>
        </w:tabs>
        <w:rPr>
          <w:rFonts w:ascii="Times New Roman" w:hAnsi="Times New Roman" w:cs="Times New Roman"/>
          <w:color w:val="000000"/>
          <w:sz w:val="24"/>
          <w:szCs w:val="24"/>
        </w:rPr>
      </w:pPr>
      <w:r w:rsidRPr="00CA3880">
        <w:rPr>
          <w:rFonts w:ascii="Times New Roman" w:hAnsi="Times New Roman" w:cs="Times New Roman"/>
          <w:color w:val="000000"/>
          <w:sz w:val="24"/>
          <w:szCs w:val="24"/>
        </w:rPr>
        <w:t>SEG</w:t>
      </w:r>
      <w:r w:rsidR="00E03265" w:rsidRPr="00CA3880">
        <w:rPr>
          <w:rFonts w:ascii="Times New Roman" w:hAnsi="Times New Roman" w:cs="Times New Roman"/>
          <w:color w:val="000000"/>
          <w:sz w:val="24"/>
          <w:szCs w:val="24"/>
        </w:rPr>
        <w:tab/>
        <w:t>S</w:t>
      </w:r>
      <w:r w:rsidRPr="00CA3880">
        <w:rPr>
          <w:rFonts w:ascii="Times New Roman" w:hAnsi="Times New Roman" w:cs="Times New Roman"/>
          <w:color w:val="000000"/>
          <w:sz w:val="24"/>
          <w:szCs w:val="24"/>
        </w:rPr>
        <w:t>iltumnīcefekta gāzes</w:t>
      </w:r>
    </w:p>
    <w:p w14:paraId="5E41966E" w14:textId="793F74F7" w:rsidR="003D5725" w:rsidRDefault="003D5725"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SFI</w:t>
      </w:r>
      <w:r w:rsidR="00E03265" w:rsidRPr="006B3B47">
        <w:rPr>
          <w:rFonts w:ascii="Times New Roman" w:hAnsi="Times New Roman" w:cs="Times New Roman"/>
          <w:color w:val="000000"/>
          <w:sz w:val="24"/>
          <w:szCs w:val="24"/>
        </w:rPr>
        <w:tab/>
        <w:t>S</w:t>
      </w:r>
      <w:r w:rsidRPr="006B3B47">
        <w:rPr>
          <w:rFonts w:ascii="Times New Roman" w:hAnsi="Times New Roman" w:cs="Times New Roman"/>
          <w:color w:val="000000"/>
          <w:sz w:val="24"/>
          <w:szCs w:val="24"/>
        </w:rPr>
        <w:t>tarptautiskās finanšu institūcijas</w:t>
      </w:r>
    </w:p>
    <w:p w14:paraId="53E53973" w14:textId="2EB85E38" w:rsidR="00C27C17" w:rsidRDefault="00C27C17"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S</w:t>
      </w:r>
      <w:r>
        <w:rPr>
          <w:rFonts w:ascii="Times New Roman" w:hAnsi="Times New Roman" w:cs="Times New Roman"/>
          <w:color w:val="000000"/>
          <w:sz w:val="24"/>
          <w:szCs w:val="24"/>
        </w:rPr>
        <w:t>M</w:t>
      </w:r>
      <w:r w:rsidRPr="006B3B47">
        <w:rPr>
          <w:rFonts w:ascii="Times New Roman" w:hAnsi="Times New Roman" w:cs="Times New Roman"/>
          <w:color w:val="000000"/>
          <w:sz w:val="24"/>
          <w:szCs w:val="24"/>
        </w:rPr>
        <w:tab/>
      </w:r>
      <w:r>
        <w:rPr>
          <w:rFonts w:ascii="Times New Roman" w:hAnsi="Times New Roman" w:cs="Times New Roman"/>
          <w:color w:val="000000"/>
          <w:sz w:val="24"/>
          <w:szCs w:val="24"/>
        </w:rPr>
        <w:t>Satiksmes ministrija</w:t>
      </w:r>
    </w:p>
    <w:p w14:paraId="79710888" w14:textId="2936D391" w:rsidR="000E1628" w:rsidRPr="006B3B47" w:rsidRDefault="000E1628"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SREP</w:t>
      </w:r>
      <w:r w:rsidRPr="006B3B47">
        <w:rPr>
          <w:rFonts w:ascii="Times New Roman" w:hAnsi="Times New Roman" w:cs="Times New Roman"/>
          <w:color w:val="000000"/>
          <w:sz w:val="24"/>
          <w:szCs w:val="24"/>
        </w:rPr>
        <w:tab/>
      </w:r>
      <w:r>
        <w:rPr>
          <w:rFonts w:ascii="Times New Roman" w:hAnsi="Times New Roman" w:cs="Times New Roman"/>
          <w:color w:val="000000"/>
          <w:sz w:val="24"/>
          <w:szCs w:val="24"/>
        </w:rPr>
        <w:t>U</w:t>
      </w:r>
      <w:r w:rsidRPr="000E1628">
        <w:rPr>
          <w:rFonts w:ascii="Times New Roman" w:hAnsi="Times New Roman" w:cs="Times New Roman"/>
          <w:color w:val="000000"/>
          <w:sz w:val="24"/>
          <w:szCs w:val="24"/>
        </w:rPr>
        <w:t>zraudzības pārbaudes un novērtēšanas proces</w:t>
      </w:r>
      <w:r>
        <w:rPr>
          <w:rFonts w:ascii="Times New Roman" w:hAnsi="Times New Roman" w:cs="Times New Roman"/>
          <w:color w:val="000000"/>
          <w:sz w:val="24"/>
          <w:szCs w:val="24"/>
        </w:rPr>
        <w:t>s</w:t>
      </w:r>
    </w:p>
    <w:p w14:paraId="1534EFD3" w14:textId="725EDF13" w:rsidR="003D5725" w:rsidRDefault="003D5725"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TEN</w:t>
      </w:r>
      <w:r w:rsidR="00597FA9" w:rsidRPr="469479B5">
        <w:rPr>
          <w:rFonts w:ascii="Times New Roman" w:hAnsi="Times New Roman" w:cs="Times New Roman"/>
          <w:color w:val="000000" w:themeColor="text1"/>
          <w:sz w:val="24"/>
          <w:szCs w:val="24"/>
        </w:rPr>
        <w:t>–</w:t>
      </w:r>
      <w:r w:rsidRPr="006B3B47">
        <w:rPr>
          <w:rFonts w:ascii="Times New Roman" w:hAnsi="Times New Roman" w:cs="Times New Roman"/>
          <w:color w:val="000000"/>
          <w:sz w:val="24"/>
          <w:szCs w:val="24"/>
        </w:rPr>
        <w:t>T</w:t>
      </w:r>
      <w:r w:rsidR="00E03265" w:rsidRPr="006B3B47">
        <w:rPr>
          <w:rFonts w:ascii="Times New Roman" w:hAnsi="Times New Roman" w:cs="Times New Roman"/>
          <w:color w:val="000000"/>
          <w:sz w:val="24"/>
          <w:szCs w:val="24"/>
        </w:rPr>
        <w:tab/>
      </w:r>
      <w:r w:rsidRPr="006B3B47">
        <w:rPr>
          <w:rFonts w:ascii="Times New Roman" w:hAnsi="Times New Roman" w:cs="Times New Roman"/>
          <w:color w:val="000000"/>
          <w:sz w:val="24"/>
          <w:szCs w:val="24"/>
        </w:rPr>
        <w:t>Eiropas transporta tīkls</w:t>
      </w:r>
    </w:p>
    <w:p w14:paraId="437EBF45" w14:textId="3485B797" w:rsidR="004417BD" w:rsidRPr="006B3B47" w:rsidRDefault="004417BD"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TM</w:t>
      </w:r>
      <w:r w:rsidRPr="006B3B47">
        <w:rPr>
          <w:rFonts w:ascii="Times New Roman" w:hAnsi="Times New Roman" w:cs="Times New Roman"/>
          <w:color w:val="000000"/>
          <w:sz w:val="24"/>
          <w:szCs w:val="24"/>
        </w:rPr>
        <w:tab/>
      </w:r>
      <w:r>
        <w:rPr>
          <w:rFonts w:ascii="Times New Roman" w:hAnsi="Times New Roman" w:cs="Times New Roman"/>
          <w:color w:val="000000"/>
          <w:sz w:val="24"/>
          <w:szCs w:val="24"/>
        </w:rPr>
        <w:t>Tieslietu ministrija</w:t>
      </w:r>
    </w:p>
    <w:p w14:paraId="2AE140C7" w14:textId="27D3151F" w:rsidR="003D5725" w:rsidRPr="006B3B47" w:rsidRDefault="003D5725"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TP</w:t>
      </w:r>
      <w:r w:rsidR="00E03265" w:rsidRPr="006B3B47">
        <w:rPr>
          <w:rFonts w:ascii="Times New Roman" w:hAnsi="Times New Roman" w:cs="Times New Roman"/>
          <w:color w:val="000000"/>
          <w:sz w:val="24"/>
          <w:szCs w:val="24"/>
        </w:rPr>
        <w:t>R</w:t>
      </w:r>
      <w:r w:rsidR="00E03265" w:rsidRPr="006B3B47">
        <w:rPr>
          <w:rFonts w:ascii="Times New Roman" w:hAnsi="Times New Roman" w:cs="Times New Roman"/>
          <w:color w:val="000000"/>
          <w:sz w:val="24"/>
          <w:szCs w:val="24"/>
        </w:rPr>
        <w:tab/>
      </w:r>
      <w:bookmarkStart w:id="3" w:name="_Hlk142299260"/>
      <w:r w:rsidR="00E03265" w:rsidRPr="006B3B47">
        <w:rPr>
          <w:rFonts w:ascii="Times New Roman" w:hAnsi="Times New Roman" w:cs="Times New Roman"/>
          <w:color w:val="000000"/>
          <w:sz w:val="24"/>
          <w:szCs w:val="24"/>
        </w:rPr>
        <w:t>T</w:t>
      </w:r>
      <w:r w:rsidRPr="006B3B47">
        <w:rPr>
          <w:rFonts w:ascii="Times New Roman" w:hAnsi="Times New Roman" w:cs="Times New Roman"/>
          <w:color w:val="000000"/>
          <w:sz w:val="24"/>
          <w:szCs w:val="24"/>
        </w:rPr>
        <w:t>radicionālie pašu resursi</w:t>
      </w:r>
      <w:bookmarkEnd w:id="3"/>
    </w:p>
    <w:p w14:paraId="75943A02" w14:textId="43315C6C" w:rsidR="009834B8" w:rsidRPr="006B3B47" w:rsidRDefault="009834B8"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VARAM</w:t>
      </w:r>
      <w:r w:rsidR="006B3B47" w:rsidRPr="006B3B47">
        <w:rPr>
          <w:rFonts w:ascii="Times New Roman" w:hAnsi="Times New Roman" w:cs="Times New Roman"/>
          <w:color w:val="000000"/>
          <w:sz w:val="24"/>
          <w:szCs w:val="24"/>
        </w:rPr>
        <w:tab/>
        <w:t>Viedās administrācijas un reģionālās attīstības ministrija</w:t>
      </w:r>
    </w:p>
    <w:p w14:paraId="1E7EE4F1" w14:textId="49C1D896" w:rsidR="003D5725" w:rsidRPr="006B3B47" w:rsidRDefault="003D5725"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VK</w:t>
      </w:r>
      <w:r w:rsidR="00E03265" w:rsidRPr="006B3B47">
        <w:rPr>
          <w:rFonts w:ascii="Times New Roman" w:hAnsi="Times New Roman" w:cs="Times New Roman"/>
          <w:color w:val="000000"/>
          <w:sz w:val="24"/>
          <w:szCs w:val="24"/>
        </w:rPr>
        <w:tab/>
      </w:r>
      <w:r w:rsidRPr="006B3B47">
        <w:rPr>
          <w:rFonts w:ascii="Times New Roman" w:hAnsi="Times New Roman" w:cs="Times New Roman"/>
          <w:color w:val="000000"/>
          <w:sz w:val="24"/>
          <w:szCs w:val="24"/>
        </w:rPr>
        <w:t>Valsts kase</w:t>
      </w:r>
    </w:p>
    <w:p w14:paraId="64F49045" w14:textId="77777777" w:rsidR="00AF4B67" w:rsidRPr="00AF4B67" w:rsidRDefault="003D5725" w:rsidP="00AF4B67">
      <w:pPr>
        <w:tabs>
          <w:tab w:val="left" w:pos="2410"/>
        </w:tabs>
        <w:spacing w:after="0"/>
        <w:rPr>
          <w:rFonts w:ascii="Times New Roman" w:hAnsi="Times New Roman" w:cs="Times New Roman"/>
          <w:sz w:val="24"/>
          <w:szCs w:val="24"/>
        </w:rPr>
      </w:pPr>
      <w:bookmarkStart w:id="4" w:name="_Hlk173240215"/>
      <w:r w:rsidRPr="00CE43A5">
        <w:rPr>
          <w:rFonts w:ascii="Times New Roman" w:hAnsi="Times New Roman" w:cs="Times New Roman"/>
          <w:sz w:val="24"/>
          <w:szCs w:val="24"/>
        </w:rPr>
        <w:t>VTBIL</w:t>
      </w:r>
      <w:r w:rsidR="00E03265" w:rsidRPr="00CE43A5">
        <w:rPr>
          <w:rFonts w:ascii="Times New Roman" w:hAnsi="Times New Roman" w:cs="Times New Roman"/>
          <w:sz w:val="24"/>
          <w:szCs w:val="24"/>
        </w:rPr>
        <w:tab/>
      </w:r>
      <w:r w:rsidR="00AF4B67" w:rsidRPr="00AF4B67">
        <w:rPr>
          <w:rFonts w:ascii="Times New Roman" w:hAnsi="Times New Roman" w:cs="Times New Roman"/>
          <w:sz w:val="24"/>
          <w:szCs w:val="24"/>
        </w:rPr>
        <w:t xml:space="preserve">Vidēja termiņa budžeta ietvara likums / Likums par valsts budžetu kārtējam </w:t>
      </w:r>
    </w:p>
    <w:p w14:paraId="75D35322" w14:textId="154F9DD5" w:rsidR="00AF4B67" w:rsidRDefault="00AF4B67" w:rsidP="005226AA">
      <w:pPr>
        <w:tabs>
          <w:tab w:val="left" w:pos="2410"/>
        </w:tabs>
        <w:spacing w:after="120"/>
        <w:rPr>
          <w:rFonts w:ascii="Times New Roman" w:hAnsi="Times New Roman" w:cs="Times New Roman"/>
          <w:sz w:val="24"/>
          <w:szCs w:val="24"/>
        </w:rPr>
      </w:pPr>
      <w:r w:rsidRPr="00AF4B67">
        <w:rPr>
          <w:rFonts w:ascii="Times New Roman" w:hAnsi="Times New Roman" w:cs="Times New Roman"/>
          <w:sz w:val="24"/>
          <w:szCs w:val="24"/>
        </w:rPr>
        <w:tab/>
        <w:t>gadam un vidēja termiņa budžeta ietvaru</w:t>
      </w:r>
    </w:p>
    <w:bookmarkEnd w:id="4"/>
    <w:p w14:paraId="0361B95C" w14:textId="09C6214A" w:rsidR="005226AA" w:rsidRPr="006B3B47" w:rsidRDefault="005226AA" w:rsidP="005226AA">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ZM</w:t>
      </w:r>
      <w:r w:rsidRPr="006B3B47">
        <w:rPr>
          <w:rFonts w:ascii="Times New Roman" w:hAnsi="Times New Roman" w:cs="Times New Roman"/>
          <w:color w:val="000000"/>
          <w:sz w:val="24"/>
          <w:szCs w:val="24"/>
        </w:rPr>
        <w:tab/>
      </w:r>
      <w:r>
        <w:rPr>
          <w:rFonts w:ascii="Times New Roman" w:hAnsi="Times New Roman" w:cs="Times New Roman"/>
          <w:color w:val="000000"/>
          <w:sz w:val="24"/>
          <w:szCs w:val="24"/>
        </w:rPr>
        <w:t>Zemkopības ministrija</w:t>
      </w:r>
    </w:p>
    <w:p w14:paraId="273C2CFC" w14:textId="11FDD2A3" w:rsidR="00125141" w:rsidRPr="00883EE7" w:rsidRDefault="00125141">
      <w:pPr>
        <w:rPr>
          <w:rFonts w:ascii="Times New Roman" w:hAnsi="Times New Roman" w:cs="Times New Roman"/>
          <w:sz w:val="32"/>
          <w:highlight w:val="yellow"/>
        </w:rPr>
      </w:pPr>
    </w:p>
    <w:p w14:paraId="4CBCBA7F" w14:textId="69A9840F" w:rsidR="008F58C9" w:rsidRPr="005963DE" w:rsidRDefault="008F58C9" w:rsidP="0058124B">
      <w:pPr>
        <w:pStyle w:val="Heading1"/>
        <w:numPr>
          <w:ilvl w:val="0"/>
          <w:numId w:val="0"/>
        </w:numPr>
        <w:jc w:val="center"/>
        <w:rPr>
          <w:rFonts w:ascii="Times New Roman" w:hAnsi="Times New Roman" w:cs="Times New Roman"/>
          <w:sz w:val="32"/>
        </w:rPr>
      </w:pPr>
      <w:bookmarkStart w:id="5" w:name="_Toc205554402"/>
      <w:r w:rsidRPr="00980D91">
        <w:rPr>
          <w:rFonts w:ascii="Times New Roman" w:hAnsi="Times New Roman" w:cs="Times New Roman"/>
          <w:sz w:val="32"/>
        </w:rPr>
        <w:t>Ievads</w:t>
      </w:r>
      <w:bookmarkEnd w:id="2"/>
      <w:bookmarkEnd w:id="5"/>
    </w:p>
    <w:p w14:paraId="2332A211" w14:textId="77777777" w:rsidR="009333BF" w:rsidRPr="00E808BC" w:rsidRDefault="009333BF" w:rsidP="009333BF">
      <w:pPr>
        <w:spacing w:after="0" w:line="240" w:lineRule="auto"/>
        <w:ind w:firstLine="720"/>
        <w:jc w:val="both"/>
        <w:rPr>
          <w:rFonts w:ascii="Times New Roman" w:hAnsi="Times New Roman" w:cs="Times New Roman"/>
          <w:color w:val="000000" w:themeColor="text1"/>
          <w:sz w:val="24"/>
          <w:szCs w:val="24"/>
        </w:rPr>
      </w:pPr>
      <w:r w:rsidRPr="008D5B50">
        <w:rPr>
          <w:rFonts w:ascii="Times New Roman" w:hAnsi="Times New Roman" w:cs="Times New Roman"/>
          <w:b/>
          <w:bCs/>
          <w:color w:val="000000" w:themeColor="text1"/>
          <w:sz w:val="24"/>
          <w:szCs w:val="24"/>
        </w:rPr>
        <w:t>F</w:t>
      </w:r>
      <w:r w:rsidRPr="00E808BC">
        <w:rPr>
          <w:rFonts w:ascii="Times New Roman" w:hAnsi="Times New Roman" w:cs="Times New Roman"/>
          <w:b/>
          <w:bCs/>
          <w:color w:val="000000" w:themeColor="text1"/>
          <w:sz w:val="24"/>
          <w:szCs w:val="24"/>
        </w:rPr>
        <w:t>iskālo risku vispārēj</w:t>
      </w:r>
      <w:r w:rsidRPr="008D5B50">
        <w:rPr>
          <w:rFonts w:ascii="Times New Roman" w:hAnsi="Times New Roman" w:cs="Times New Roman"/>
          <w:b/>
          <w:bCs/>
          <w:color w:val="000000" w:themeColor="text1"/>
          <w:sz w:val="24"/>
          <w:szCs w:val="24"/>
        </w:rPr>
        <w:t>ā</w:t>
      </w:r>
      <w:r w:rsidRPr="00E808BC">
        <w:rPr>
          <w:rFonts w:ascii="Times New Roman" w:hAnsi="Times New Roman" w:cs="Times New Roman"/>
          <w:b/>
          <w:bCs/>
          <w:color w:val="000000" w:themeColor="text1"/>
          <w:sz w:val="24"/>
          <w:szCs w:val="24"/>
        </w:rPr>
        <w:t xml:space="preserve"> vadīb</w:t>
      </w:r>
      <w:r w:rsidRPr="008D5B50">
        <w:rPr>
          <w:rFonts w:ascii="Times New Roman" w:hAnsi="Times New Roman" w:cs="Times New Roman"/>
          <w:b/>
          <w:bCs/>
          <w:color w:val="000000" w:themeColor="text1"/>
          <w:sz w:val="24"/>
          <w:szCs w:val="24"/>
        </w:rPr>
        <w:t>a</w:t>
      </w:r>
      <w:r w:rsidRPr="00E808BC">
        <w:rPr>
          <w:rFonts w:ascii="Times New Roman" w:hAnsi="Times New Roman" w:cs="Times New Roman"/>
          <w:color w:val="000000" w:themeColor="text1"/>
          <w:sz w:val="24"/>
          <w:szCs w:val="24"/>
        </w:rPr>
        <w:t>, kuras mērķis ir nodrošināt fiskālo rādītāju (prognozētais iekšzemes kopprodukts (turpmāk – IKP), plānotā vispārējās valdības budžeta strukturālā bilance, plānotā vispārējās valdības budžeta bilance, prognozētie valsts budžeta ieņēmumi un koriģētie maksimāli pieļaujamie valsts budžeta izdevumi) stabilitāti vidējā termiņā</w:t>
      </w:r>
      <w:r>
        <w:rPr>
          <w:rFonts w:ascii="Times New Roman" w:hAnsi="Times New Roman" w:cs="Times New Roman"/>
          <w:color w:val="000000" w:themeColor="text1"/>
          <w:sz w:val="24"/>
          <w:szCs w:val="24"/>
        </w:rPr>
        <w:t>, ir izveidota saskaņā ar Fiskālās disciplīnas likumu (turpmāk – FDL)</w:t>
      </w:r>
      <w:r w:rsidRPr="00E808BC">
        <w:rPr>
          <w:rFonts w:ascii="Times New Roman" w:hAnsi="Times New Roman" w:cs="Times New Roman"/>
          <w:color w:val="000000" w:themeColor="text1"/>
          <w:sz w:val="24"/>
          <w:szCs w:val="24"/>
        </w:rPr>
        <w:t>. FDL nosaka arī procedūru kopumu, kas ietver fiskālo risku vispārējo vadību – ikgadēju fiskālo risku identificēšanu, to iestāšanās varbūtības un fiskālās ietekmes novērtēšanu, kā arī fiskālo risku novēršanai vai mazināšanai nepieciešamo pasākumu izstrādi.</w:t>
      </w:r>
    </w:p>
    <w:p w14:paraId="68803513" w14:textId="77777777" w:rsidR="009333BF" w:rsidRDefault="009333BF" w:rsidP="009333BF">
      <w:pPr>
        <w:spacing w:after="0" w:line="240" w:lineRule="auto"/>
        <w:ind w:firstLine="720"/>
        <w:jc w:val="both"/>
        <w:rPr>
          <w:rFonts w:ascii="Times New Roman" w:hAnsi="Times New Roman" w:cs="Times New Roman"/>
          <w:color w:val="000000"/>
          <w:sz w:val="24"/>
          <w:szCs w:val="24"/>
        </w:rPr>
      </w:pPr>
      <w:r w:rsidRPr="00125E23">
        <w:rPr>
          <w:rFonts w:ascii="Times New Roman" w:hAnsi="Times New Roman" w:cs="Times New Roman"/>
          <w:b/>
          <w:bCs/>
          <w:sz w:val="24"/>
          <w:szCs w:val="24"/>
        </w:rPr>
        <w:t>Fiskālos riskus</w:t>
      </w:r>
      <w:r w:rsidRPr="00AE2FFC">
        <w:rPr>
          <w:rFonts w:ascii="Times New Roman" w:hAnsi="Times New Roman" w:cs="Times New Roman"/>
          <w:sz w:val="24"/>
          <w:szCs w:val="24"/>
        </w:rPr>
        <w:t xml:space="preserve"> var definēt kā </w:t>
      </w:r>
      <w:r>
        <w:rPr>
          <w:rFonts w:ascii="Times New Roman" w:hAnsi="Times New Roman" w:cs="Times New Roman"/>
          <w:sz w:val="24"/>
          <w:szCs w:val="24"/>
        </w:rPr>
        <w:t>potenciālus notikumus</w:t>
      </w:r>
      <w:r w:rsidRPr="00AE2FFC">
        <w:rPr>
          <w:rFonts w:ascii="Times New Roman" w:hAnsi="Times New Roman" w:cs="Times New Roman"/>
          <w:sz w:val="24"/>
          <w:szCs w:val="24"/>
        </w:rPr>
        <w:t>, ka</w:t>
      </w:r>
      <w:r>
        <w:rPr>
          <w:rFonts w:ascii="Times New Roman" w:hAnsi="Times New Roman" w:cs="Times New Roman"/>
          <w:sz w:val="24"/>
          <w:szCs w:val="24"/>
        </w:rPr>
        <w:t>d</w:t>
      </w:r>
      <w:r w:rsidRPr="00AE2FFC">
        <w:rPr>
          <w:rFonts w:ascii="Times New Roman" w:hAnsi="Times New Roman" w:cs="Times New Roman"/>
          <w:sz w:val="24"/>
          <w:szCs w:val="24"/>
        </w:rPr>
        <w:t xml:space="preserve"> fiskālie rādītāji novirzās no prognozētajām vērtībām. </w:t>
      </w:r>
      <w:r w:rsidRPr="00AE2FFC">
        <w:rPr>
          <w:rFonts w:ascii="Times New Roman" w:hAnsi="Times New Roman" w:cs="Times New Roman"/>
          <w:color w:val="000000"/>
          <w:sz w:val="24"/>
          <w:szCs w:val="24"/>
        </w:rPr>
        <w:t xml:space="preserve">Fiskālo risku laicīga apzināšana ļauj valsts pārvaldei īstenot tādu </w:t>
      </w:r>
      <w:r>
        <w:rPr>
          <w:rFonts w:ascii="Times New Roman" w:hAnsi="Times New Roman" w:cs="Times New Roman"/>
          <w:color w:val="000000"/>
          <w:sz w:val="24"/>
          <w:szCs w:val="24"/>
        </w:rPr>
        <w:t>budžeta politiku</w:t>
      </w:r>
      <w:r w:rsidRPr="00AE2FFC">
        <w:rPr>
          <w:rFonts w:ascii="Times New Roman" w:hAnsi="Times New Roman" w:cs="Times New Roman"/>
          <w:color w:val="000000"/>
          <w:sz w:val="24"/>
          <w:szCs w:val="24"/>
        </w:rPr>
        <w:t xml:space="preserve"> un pasākumus, lai ierobežotu finanšu problēmu veidošanos, jo nesavlaicīga fiskālo risku apzināšana un to novēršanas plāna neesamība var izraisīt papildu valdības finansiālas saistības, finansēšanas nepieciešamības pieaugumu, valsts parāda būtisku pieaugumu, valsts parāda pārfinansēšanas risku un pat finanšu krīzi. </w:t>
      </w:r>
    </w:p>
    <w:p w14:paraId="1980FE02" w14:textId="77777777" w:rsidR="009333BF" w:rsidRPr="008D5B50" w:rsidDel="001D2FBC" w:rsidRDefault="009333BF" w:rsidP="009333BF">
      <w:pPr>
        <w:spacing w:after="0" w:line="240" w:lineRule="auto"/>
        <w:ind w:firstLine="720"/>
        <w:jc w:val="both"/>
        <w:rPr>
          <w:rFonts w:ascii="Times New Roman" w:hAnsi="Times New Roman" w:cs="Times New Roman"/>
          <w:b/>
          <w:bCs/>
          <w:color w:val="000000"/>
          <w:sz w:val="24"/>
          <w:szCs w:val="24"/>
        </w:rPr>
      </w:pPr>
      <w:r w:rsidRPr="469479B5">
        <w:rPr>
          <w:rFonts w:ascii="Times New Roman" w:hAnsi="Times New Roman" w:cs="Times New Roman"/>
          <w:color w:val="000000" w:themeColor="text1"/>
          <w:sz w:val="24"/>
          <w:szCs w:val="24"/>
        </w:rPr>
        <w:t xml:space="preserve">Fiskālo risku vispārējās vadības kvantitatīvais rezultāts ir </w:t>
      </w:r>
      <w:r w:rsidRPr="008D5B50">
        <w:rPr>
          <w:rFonts w:ascii="Times New Roman" w:hAnsi="Times New Roman" w:cs="Times New Roman"/>
          <w:b/>
          <w:bCs/>
          <w:color w:val="000000" w:themeColor="text1"/>
          <w:sz w:val="24"/>
          <w:szCs w:val="24"/>
        </w:rPr>
        <w:t>fiskālā nodrošinājuma rezerve</w:t>
      </w:r>
      <w:r>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 xml:space="preserve"> kuras mērķis ir nodrošināt likumā </w:t>
      </w:r>
      <w:r w:rsidRPr="00016CFE">
        <w:rPr>
          <w:rFonts w:ascii="Times New Roman" w:hAnsi="Times New Roman" w:cs="Times New Roman"/>
          <w:color w:val="000000" w:themeColor="text1"/>
          <w:sz w:val="24"/>
          <w:szCs w:val="24"/>
        </w:rPr>
        <w:t>par valsts budžetu kārtējam gadam un vidēja termiņa budžeta ietvaru</w:t>
      </w:r>
      <w:r>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noteikt</w:t>
      </w:r>
      <w:r>
        <w:rPr>
          <w:rFonts w:ascii="Times New Roman" w:hAnsi="Times New Roman" w:cs="Times New Roman"/>
          <w:color w:val="000000" w:themeColor="text1"/>
          <w:sz w:val="24"/>
          <w:szCs w:val="24"/>
        </w:rPr>
        <w:t>o</w:t>
      </w:r>
      <w:r w:rsidRPr="469479B5">
        <w:rPr>
          <w:rFonts w:ascii="Times New Roman" w:hAnsi="Times New Roman" w:cs="Times New Roman"/>
          <w:color w:val="000000" w:themeColor="text1"/>
          <w:sz w:val="24"/>
          <w:szCs w:val="24"/>
        </w:rPr>
        <w:t xml:space="preserve"> vispārējās valdības budžeta bilances plānoto līmeni nelielu makroekonomisko svārstību gadījumā un fiskālo risku izraisīto izdevumu segšanas gadījumā.</w:t>
      </w:r>
      <w:r>
        <w:rPr>
          <w:rFonts w:ascii="Times New Roman" w:hAnsi="Times New Roman" w:cs="Times New Roman"/>
          <w:color w:val="000000" w:themeColor="text1"/>
          <w:sz w:val="24"/>
          <w:szCs w:val="24"/>
        </w:rPr>
        <w:t xml:space="preserve"> </w:t>
      </w:r>
      <w:r w:rsidRPr="00A4529B" w:rsidDel="001D2FBC">
        <w:rPr>
          <w:rFonts w:ascii="Times New Roman" w:hAnsi="Times New Roman" w:cs="Times New Roman"/>
          <w:color w:val="000000"/>
          <w:sz w:val="24"/>
          <w:szCs w:val="24"/>
        </w:rPr>
        <w:t>Atbilstoši FDL regulējumam aprēķināti</w:t>
      </w:r>
      <w:r>
        <w:rPr>
          <w:rFonts w:ascii="Times New Roman" w:hAnsi="Times New Roman" w:cs="Times New Roman"/>
          <w:color w:val="000000"/>
          <w:sz w:val="24"/>
          <w:szCs w:val="24"/>
        </w:rPr>
        <w:t>e</w:t>
      </w:r>
      <w:r w:rsidRPr="00A4529B" w:rsidDel="001D2FBC">
        <w:rPr>
          <w:rFonts w:ascii="Times New Roman" w:hAnsi="Times New Roman" w:cs="Times New Roman"/>
          <w:color w:val="000000"/>
          <w:sz w:val="24"/>
          <w:szCs w:val="24"/>
        </w:rPr>
        <w:t xml:space="preserve"> koriģētie maksimāli pieļaujamie valsts budžeta izdevumi</w:t>
      </w:r>
      <w:r>
        <w:rPr>
          <w:rFonts w:ascii="Times New Roman" w:hAnsi="Times New Roman" w:cs="Times New Roman"/>
          <w:color w:val="000000"/>
          <w:sz w:val="24"/>
          <w:szCs w:val="24"/>
        </w:rPr>
        <w:t xml:space="preserve"> </w:t>
      </w:r>
      <w:r w:rsidRPr="00A4529B" w:rsidDel="001D2FBC">
        <w:rPr>
          <w:rFonts w:ascii="Times New Roman" w:hAnsi="Times New Roman" w:cs="Times New Roman"/>
          <w:color w:val="000000"/>
          <w:sz w:val="24"/>
          <w:szCs w:val="24"/>
        </w:rPr>
        <w:t xml:space="preserve">tiek samazināti par fiskālā nodrošinājuma rezerves apmēru, kad tiek noteikts maksimāli pieļaujamais izdevumu līmenis, kuru izmanto, sagatavojot </w:t>
      </w:r>
      <w:r w:rsidRPr="008D5B50">
        <w:rPr>
          <w:rFonts w:ascii="Times New Roman" w:hAnsi="Times New Roman" w:cs="Times New Roman"/>
          <w:color w:val="000000"/>
          <w:sz w:val="24"/>
          <w:szCs w:val="24"/>
        </w:rPr>
        <w:t>likum</w:t>
      </w:r>
      <w:r>
        <w:rPr>
          <w:rFonts w:ascii="Times New Roman" w:hAnsi="Times New Roman" w:cs="Times New Roman"/>
          <w:color w:val="000000"/>
          <w:sz w:val="24"/>
          <w:szCs w:val="24"/>
        </w:rPr>
        <w:t>projektu</w:t>
      </w:r>
      <w:r w:rsidRPr="008D5B50">
        <w:rPr>
          <w:rFonts w:ascii="Times New Roman" w:hAnsi="Times New Roman" w:cs="Times New Roman"/>
          <w:color w:val="000000"/>
          <w:sz w:val="24"/>
          <w:szCs w:val="24"/>
        </w:rPr>
        <w:t xml:space="preserve"> par valsts budžetu kārtējam gadam un vidēja termiņa budžeta ietvaru</w:t>
      </w:r>
      <w:r w:rsidRPr="00A4529B" w:rsidDel="001D2FBC">
        <w:rPr>
          <w:rFonts w:ascii="Times New Roman" w:hAnsi="Times New Roman" w:cs="Times New Roman"/>
          <w:color w:val="000000"/>
          <w:sz w:val="24"/>
          <w:szCs w:val="24"/>
        </w:rPr>
        <w:t xml:space="preserve">. Tādā veidā tiek nodrošināts </w:t>
      </w:r>
      <w:r w:rsidRPr="008D5B50" w:rsidDel="001D2FBC">
        <w:rPr>
          <w:rFonts w:ascii="Times New Roman" w:hAnsi="Times New Roman" w:cs="Times New Roman"/>
          <w:b/>
          <w:bCs/>
          <w:color w:val="000000"/>
          <w:sz w:val="24"/>
          <w:szCs w:val="24"/>
        </w:rPr>
        <w:t>drošības buferis, ja makroekonomiskie un fiskālie rādītāji nobīdās no to plānotajām vērtībām.</w:t>
      </w:r>
    </w:p>
    <w:p w14:paraId="049D5FFB" w14:textId="11798A5C" w:rsidR="009333BF" w:rsidRPr="00883EE7" w:rsidRDefault="009333BF" w:rsidP="009333BF">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F</w:t>
      </w:r>
      <w:r w:rsidRPr="008D5B50">
        <w:rPr>
          <w:rFonts w:ascii="Times New Roman" w:hAnsi="Times New Roman" w:cs="Times New Roman"/>
          <w:b/>
          <w:bCs/>
          <w:color w:val="000000"/>
          <w:sz w:val="24"/>
          <w:szCs w:val="24"/>
        </w:rPr>
        <w:t>iskālo risku deklarācijā</w:t>
      </w:r>
      <w:r>
        <w:rPr>
          <w:rFonts w:ascii="Times New Roman" w:hAnsi="Times New Roman" w:cs="Times New Roman"/>
          <w:b/>
          <w:bCs/>
          <w:color w:val="000000"/>
          <w:sz w:val="24"/>
          <w:szCs w:val="24"/>
        </w:rPr>
        <w:t xml:space="preserve"> </w:t>
      </w:r>
      <w:r w:rsidRPr="006B6B81">
        <w:rPr>
          <w:rFonts w:ascii="Times New Roman" w:hAnsi="Times New Roman" w:cs="Times New Roman"/>
          <w:color w:val="000000"/>
          <w:sz w:val="24"/>
          <w:szCs w:val="24"/>
        </w:rPr>
        <w:t xml:space="preserve">(turpmāk – </w:t>
      </w:r>
      <w:r>
        <w:rPr>
          <w:rFonts w:ascii="Times New Roman" w:hAnsi="Times New Roman" w:cs="Times New Roman"/>
          <w:color w:val="000000"/>
          <w:sz w:val="24"/>
          <w:szCs w:val="24"/>
        </w:rPr>
        <w:t>deklarācija</w:t>
      </w:r>
      <w:r w:rsidRPr="006B6B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t.i. </w:t>
      </w:r>
      <w:r w:rsidRPr="006B6B81">
        <w:rPr>
          <w:rFonts w:ascii="Times New Roman" w:hAnsi="Times New Roman" w:cs="Times New Roman"/>
          <w:color w:val="000000"/>
          <w:sz w:val="24"/>
          <w:szCs w:val="24"/>
        </w:rPr>
        <w:t>dokumentā</w:t>
      </w:r>
      <w:r>
        <w:rPr>
          <w:rFonts w:ascii="Times New Roman" w:hAnsi="Times New Roman" w:cs="Times New Roman"/>
          <w:color w:val="000000"/>
          <w:sz w:val="24"/>
          <w:szCs w:val="24"/>
        </w:rPr>
        <w:t xml:space="preserve">, kuru </w:t>
      </w:r>
      <w:r w:rsidRPr="00A4529B">
        <w:rPr>
          <w:rFonts w:ascii="Times New Roman" w:hAnsi="Times New Roman" w:cs="Times New Roman"/>
          <w:color w:val="000000"/>
          <w:sz w:val="24"/>
          <w:szCs w:val="24"/>
        </w:rPr>
        <w:t>atbilstoši FDL regulējumam pievieno</w:t>
      </w:r>
      <w:r>
        <w:rPr>
          <w:rFonts w:ascii="Times New Roman" w:hAnsi="Times New Roman" w:cs="Times New Roman"/>
          <w:color w:val="000000"/>
          <w:sz w:val="24"/>
          <w:szCs w:val="24"/>
        </w:rPr>
        <w:t xml:space="preserve"> l</w:t>
      </w:r>
      <w:r w:rsidRPr="008D5B50">
        <w:rPr>
          <w:rFonts w:ascii="Times New Roman" w:hAnsi="Times New Roman" w:cs="Times New Roman"/>
          <w:color w:val="000000"/>
          <w:sz w:val="24"/>
          <w:szCs w:val="24"/>
        </w:rPr>
        <w:t>ikum</w:t>
      </w:r>
      <w:r>
        <w:rPr>
          <w:rFonts w:ascii="Times New Roman" w:hAnsi="Times New Roman" w:cs="Times New Roman"/>
          <w:color w:val="000000"/>
          <w:sz w:val="24"/>
          <w:szCs w:val="24"/>
        </w:rPr>
        <w:t>projektam</w:t>
      </w:r>
      <w:r w:rsidRPr="008D5B50">
        <w:rPr>
          <w:rFonts w:ascii="Times New Roman" w:hAnsi="Times New Roman" w:cs="Times New Roman"/>
          <w:color w:val="000000"/>
          <w:sz w:val="24"/>
          <w:szCs w:val="24"/>
        </w:rPr>
        <w:t xml:space="preserve"> par valsts budžetu kārtējam gadam un vidēja termiņa budžeta ietvaru</w:t>
      </w:r>
      <w:r w:rsidRPr="00A4529B">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 xml:space="preserve">kuru </w:t>
      </w:r>
      <w:r w:rsidRPr="00A4529B">
        <w:rPr>
          <w:rFonts w:ascii="Times New Roman" w:hAnsi="Times New Roman" w:cs="Times New Roman"/>
          <w:color w:val="000000"/>
          <w:sz w:val="24"/>
          <w:szCs w:val="24"/>
        </w:rPr>
        <w:t>apstiprina Ministru kabinets</w:t>
      </w:r>
      <w:r w:rsidR="00C3009D">
        <w:rPr>
          <w:rFonts w:ascii="Times New Roman" w:hAnsi="Times New Roman" w:cs="Times New Roman"/>
          <w:color w:val="000000"/>
          <w:sz w:val="24"/>
          <w:szCs w:val="24"/>
        </w:rPr>
        <w:t xml:space="preserve"> (turpmāk – MK)</w:t>
      </w:r>
      <w:r>
        <w:rPr>
          <w:rFonts w:ascii="Times New Roman" w:hAnsi="Times New Roman" w:cs="Times New Roman"/>
          <w:color w:val="000000"/>
          <w:sz w:val="24"/>
          <w:szCs w:val="24"/>
        </w:rPr>
        <w:t xml:space="preserve">, </w:t>
      </w:r>
      <w:r w:rsidRPr="00A4529B">
        <w:rPr>
          <w:rFonts w:ascii="Times New Roman" w:hAnsi="Times New Roman" w:cs="Times New Roman"/>
          <w:color w:val="000000"/>
          <w:sz w:val="24"/>
          <w:szCs w:val="24"/>
        </w:rPr>
        <w:t>tiek noteikti</w:t>
      </w:r>
      <w:r>
        <w:rPr>
          <w:rFonts w:ascii="Times New Roman" w:hAnsi="Times New Roman" w:cs="Times New Roman"/>
          <w:color w:val="000000"/>
          <w:sz w:val="24"/>
          <w:szCs w:val="24"/>
        </w:rPr>
        <w:t xml:space="preserve"> l</w:t>
      </w:r>
      <w:r w:rsidRPr="008D5B50">
        <w:rPr>
          <w:rFonts w:ascii="Times New Roman" w:hAnsi="Times New Roman" w:cs="Times New Roman"/>
          <w:color w:val="000000"/>
          <w:sz w:val="24"/>
          <w:szCs w:val="24"/>
        </w:rPr>
        <w:t>ikum</w:t>
      </w:r>
      <w:r>
        <w:rPr>
          <w:rFonts w:ascii="Times New Roman" w:hAnsi="Times New Roman" w:cs="Times New Roman"/>
          <w:color w:val="000000"/>
          <w:sz w:val="24"/>
          <w:szCs w:val="24"/>
        </w:rPr>
        <w:t>projektā</w:t>
      </w:r>
      <w:r w:rsidRPr="008D5B50">
        <w:rPr>
          <w:rFonts w:ascii="Times New Roman" w:hAnsi="Times New Roman" w:cs="Times New Roman"/>
          <w:color w:val="000000"/>
          <w:sz w:val="24"/>
          <w:szCs w:val="24"/>
        </w:rPr>
        <w:t xml:space="preserve"> par valsts budžetu kārtējam gadam un vidēja termiņa budžeta ietvaru </w:t>
      </w:r>
      <w:r w:rsidRPr="00A4529B">
        <w:rPr>
          <w:rFonts w:ascii="Times New Roman" w:hAnsi="Times New Roman" w:cs="Times New Roman"/>
          <w:color w:val="000000"/>
          <w:sz w:val="24"/>
          <w:szCs w:val="24"/>
        </w:rPr>
        <w:t xml:space="preserve">noteikto fiskālo rādītāju stabilitātes nodrošināšanai nepieciešamie pasākumi. </w:t>
      </w:r>
    </w:p>
    <w:p w14:paraId="2477DE14" w14:textId="425BFA5B" w:rsidR="009333BF" w:rsidRPr="00883EE7" w:rsidRDefault="009333BF" w:rsidP="009333BF">
      <w:pPr>
        <w:spacing w:after="0" w:line="240" w:lineRule="auto"/>
        <w:ind w:firstLine="720"/>
        <w:jc w:val="both"/>
        <w:rPr>
          <w:rFonts w:ascii="Times New Roman" w:hAnsi="Times New Roman" w:cs="Times New Roman"/>
          <w:sz w:val="24"/>
          <w:szCs w:val="24"/>
          <w:highlight w:val="yellow"/>
        </w:rPr>
      </w:pPr>
      <w:r>
        <w:rPr>
          <w:rFonts w:ascii="Times New Roman" w:hAnsi="Times New Roman" w:cs="Times New Roman"/>
          <w:sz w:val="24"/>
          <w:szCs w:val="24"/>
        </w:rPr>
        <w:t>P</w:t>
      </w:r>
      <w:r w:rsidRPr="469479B5">
        <w:rPr>
          <w:rFonts w:ascii="Times New Roman" w:hAnsi="Times New Roman" w:cs="Times New Roman"/>
          <w:sz w:val="24"/>
          <w:szCs w:val="24"/>
        </w:rPr>
        <w:t>ēdējos gados Latvijas ekonomika piedzīvo visaptverošus un ievērojamus makroekonomiskos šokus un nestandarta situācijas, tādas kā Covid</w:t>
      </w:r>
      <w:r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pandēmija un ar to saistītā krīze, energoresursu cenu ārkārtējais pieaugums</w:t>
      </w:r>
      <w:r>
        <w:rPr>
          <w:rFonts w:ascii="Times New Roman" w:hAnsi="Times New Roman" w:cs="Times New Roman"/>
          <w:sz w:val="24"/>
          <w:szCs w:val="24"/>
        </w:rPr>
        <w:t xml:space="preserve"> un</w:t>
      </w:r>
      <w:r w:rsidRPr="469479B5">
        <w:rPr>
          <w:rFonts w:ascii="Times New Roman" w:hAnsi="Times New Roman" w:cs="Times New Roman"/>
          <w:sz w:val="24"/>
          <w:szCs w:val="24"/>
        </w:rPr>
        <w:t xml:space="preserve"> Krievijas uzsāktais pilna mēroga karš Ukrainā</w:t>
      </w:r>
      <w:r>
        <w:rPr>
          <w:rFonts w:ascii="Times New Roman" w:hAnsi="Times New Roman" w:cs="Times New Roman"/>
          <w:sz w:val="24"/>
          <w:szCs w:val="24"/>
        </w:rPr>
        <w:t>.</w:t>
      </w:r>
      <w:r w:rsidRPr="469479B5">
        <w:rPr>
          <w:rFonts w:ascii="Times New Roman" w:hAnsi="Times New Roman" w:cs="Times New Roman"/>
          <w:sz w:val="24"/>
          <w:szCs w:val="24"/>
        </w:rPr>
        <w:t xml:space="preserve"> Ņemot vērā augstas nenoteiktības apstākļus un ģeopolitisko risku klātbūtni, </w:t>
      </w:r>
      <w:r>
        <w:rPr>
          <w:rFonts w:ascii="Times New Roman" w:hAnsi="Times New Roman" w:cs="Times New Roman"/>
          <w:sz w:val="24"/>
          <w:szCs w:val="24"/>
        </w:rPr>
        <w:t>tādi</w:t>
      </w:r>
      <w:r w:rsidRPr="469479B5">
        <w:rPr>
          <w:rFonts w:ascii="Times New Roman" w:hAnsi="Times New Roman" w:cs="Times New Roman"/>
          <w:sz w:val="24"/>
          <w:szCs w:val="24"/>
        </w:rPr>
        <w:t xml:space="preserve"> notikumi un to attīstība ietekmē </w:t>
      </w:r>
      <w:r>
        <w:rPr>
          <w:rFonts w:ascii="Times New Roman" w:hAnsi="Times New Roman" w:cs="Times New Roman"/>
          <w:sz w:val="24"/>
          <w:szCs w:val="24"/>
        </w:rPr>
        <w:t>ne tikai</w:t>
      </w:r>
      <w:r w:rsidRPr="469479B5">
        <w:rPr>
          <w:rFonts w:ascii="Times New Roman" w:hAnsi="Times New Roman" w:cs="Times New Roman"/>
          <w:sz w:val="24"/>
          <w:szCs w:val="24"/>
        </w:rPr>
        <w:t xml:space="preserve"> makroekonomisk</w:t>
      </w:r>
      <w:r>
        <w:rPr>
          <w:rFonts w:ascii="Times New Roman" w:hAnsi="Times New Roman" w:cs="Times New Roman"/>
          <w:sz w:val="24"/>
          <w:szCs w:val="24"/>
        </w:rPr>
        <w:t>os</w:t>
      </w:r>
      <w:r w:rsidRPr="469479B5">
        <w:rPr>
          <w:rFonts w:ascii="Times New Roman" w:hAnsi="Times New Roman" w:cs="Times New Roman"/>
          <w:sz w:val="24"/>
          <w:szCs w:val="24"/>
        </w:rPr>
        <w:t xml:space="preserve"> un fiskāl</w:t>
      </w:r>
      <w:r>
        <w:rPr>
          <w:rFonts w:ascii="Times New Roman" w:hAnsi="Times New Roman" w:cs="Times New Roman"/>
          <w:sz w:val="24"/>
          <w:szCs w:val="24"/>
        </w:rPr>
        <w:t>o rādītāju</w:t>
      </w:r>
      <w:r w:rsidRPr="469479B5">
        <w:rPr>
          <w:rFonts w:ascii="Times New Roman" w:hAnsi="Times New Roman" w:cs="Times New Roman"/>
          <w:sz w:val="24"/>
          <w:szCs w:val="24"/>
        </w:rPr>
        <w:t xml:space="preserve"> prognozes, </w:t>
      </w:r>
      <w:r>
        <w:rPr>
          <w:rFonts w:ascii="Times New Roman" w:hAnsi="Times New Roman" w:cs="Times New Roman"/>
          <w:sz w:val="24"/>
          <w:szCs w:val="24"/>
        </w:rPr>
        <w:t>bet arī</w:t>
      </w:r>
      <w:r w:rsidRPr="469479B5">
        <w:rPr>
          <w:rFonts w:ascii="Times New Roman" w:hAnsi="Times New Roman" w:cs="Times New Roman"/>
          <w:sz w:val="24"/>
          <w:szCs w:val="24"/>
        </w:rPr>
        <w:t xml:space="preserve"> </w:t>
      </w:r>
      <w:r>
        <w:rPr>
          <w:rFonts w:ascii="Times New Roman" w:hAnsi="Times New Roman" w:cs="Times New Roman"/>
          <w:sz w:val="24"/>
          <w:szCs w:val="24"/>
        </w:rPr>
        <w:t>fiskālo rādītāju (</w:t>
      </w:r>
      <w:r w:rsidRPr="469479B5">
        <w:rPr>
          <w:rFonts w:ascii="Times New Roman" w:hAnsi="Times New Roman" w:cs="Times New Roman"/>
          <w:sz w:val="24"/>
          <w:szCs w:val="24"/>
        </w:rPr>
        <w:t>vispārējās valdības budžeta bilanc</w:t>
      </w:r>
      <w:r>
        <w:rPr>
          <w:rFonts w:ascii="Times New Roman" w:hAnsi="Times New Roman" w:cs="Times New Roman"/>
          <w:sz w:val="24"/>
          <w:szCs w:val="24"/>
        </w:rPr>
        <w:t xml:space="preserve">e, </w:t>
      </w:r>
      <w:r w:rsidRPr="469479B5">
        <w:rPr>
          <w:rFonts w:ascii="Times New Roman" w:hAnsi="Times New Roman" w:cs="Times New Roman"/>
          <w:sz w:val="24"/>
          <w:szCs w:val="24"/>
        </w:rPr>
        <w:t>vispārējās valdības</w:t>
      </w:r>
      <w:r>
        <w:rPr>
          <w:rFonts w:ascii="Times New Roman" w:hAnsi="Times New Roman" w:cs="Times New Roman"/>
          <w:sz w:val="24"/>
          <w:szCs w:val="24"/>
        </w:rPr>
        <w:t xml:space="preserve"> </w:t>
      </w:r>
      <w:r w:rsidRPr="469479B5">
        <w:rPr>
          <w:rFonts w:ascii="Times New Roman" w:hAnsi="Times New Roman" w:cs="Times New Roman"/>
          <w:sz w:val="24"/>
          <w:szCs w:val="24"/>
        </w:rPr>
        <w:t>parād</w:t>
      </w:r>
      <w:r>
        <w:rPr>
          <w:rFonts w:ascii="Times New Roman" w:hAnsi="Times New Roman" w:cs="Times New Roman"/>
          <w:sz w:val="24"/>
          <w:szCs w:val="24"/>
        </w:rPr>
        <w:t xml:space="preserve">s) faktiskās (izpildes) vērtības. Tomēr </w:t>
      </w:r>
      <w:r w:rsidRPr="469479B5">
        <w:rPr>
          <w:rFonts w:ascii="Times New Roman" w:hAnsi="Times New Roman" w:cs="Times New Roman"/>
          <w:sz w:val="24"/>
          <w:szCs w:val="24"/>
        </w:rPr>
        <w:t>fiskālo rīcību šādos apstākļos nav iespējams un nav nepieciešams formalizēt</w:t>
      </w:r>
      <w:r>
        <w:rPr>
          <w:rFonts w:ascii="Times New Roman" w:hAnsi="Times New Roman" w:cs="Times New Roman"/>
          <w:sz w:val="24"/>
          <w:szCs w:val="24"/>
        </w:rPr>
        <w:t>, v</w:t>
      </w:r>
      <w:r w:rsidRPr="469479B5">
        <w:rPr>
          <w:rFonts w:ascii="Times New Roman" w:hAnsi="Times New Roman" w:cs="Times New Roman"/>
          <w:sz w:val="24"/>
          <w:szCs w:val="24"/>
        </w:rPr>
        <w:t>ienlaikus nav pamata katru gadu veidot fiskālā nodrošinājuma rezervi, lai ilgtermiņā amortizētu minēto ārkārtas situāciju izraisītos fiskālos šokus. Šāda mēroga šoku amortizācija ir pēc</w:t>
      </w:r>
      <w:r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 xml:space="preserve">krīzes atbildīgas fiskālās politikas jautājums, un tas tiek ņemts vērā, izvēloties deficīta un valsts parāda stabilizēšanas un samazināšanas trajektorijas, tāpēc minētie ārkārtas apstākļi un to izraisītā ietekme </w:t>
      </w:r>
      <w:r>
        <w:rPr>
          <w:rFonts w:ascii="Times New Roman" w:hAnsi="Times New Roman" w:cs="Times New Roman"/>
          <w:sz w:val="24"/>
          <w:szCs w:val="24"/>
        </w:rPr>
        <w:t xml:space="preserve">deklarācijā </w:t>
      </w:r>
      <w:r w:rsidRPr="469479B5">
        <w:rPr>
          <w:rFonts w:ascii="Times New Roman" w:hAnsi="Times New Roman" w:cs="Times New Roman"/>
          <w:sz w:val="24"/>
          <w:szCs w:val="24"/>
        </w:rPr>
        <w:t>ir skarta netieši tik lielā mērā, cik tas ietekmē citu fiskālo risku vadības jautājumus.</w:t>
      </w:r>
    </w:p>
    <w:p w14:paraId="258F5A18" w14:textId="71ADC936" w:rsidR="009333BF" w:rsidRPr="00AE0757" w:rsidRDefault="009333BF" w:rsidP="009333BF">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color w:val="000000" w:themeColor="text1"/>
          <w:sz w:val="24"/>
          <w:szCs w:val="24"/>
        </w:rPr>
        <w:t xml:space="preserve">Atbilstoši fiskālo risku klasifikācijai (detalizētāk skatīt </w:t>
      </w:r>
      <w:r>
        <w:rPr>
          <w:rFonts w:ascii="Times New Roman" w:hAnsi="Times New Roman" w:cs="Times New Roman"/>
          <w:color w:val="000000" w:themeColor="text1"/>
          <w:sz w:val="24"/>
          <w:szCs w:val="24"/>
        </w:rPr>
        <w:t xml:space="preserve">deklarācijas </w:t>
      </w:r>
      <w:r w:rsidRPr="469479B5">
        <w:rPr>
          <w:rFonts w:ascii="Times New Roman" w:hAnsi="Times New Roman" w:cs="Times New Roman"/>
          <w:color w:val="000000" w:themeColor="text1"/>
          <w:sz w:val="24"/>
          <w:szCs w:val="24"/>
        </w:rPr>
        <w:t>1.</w:t>
      </w:r>
      <w:r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 xml:space="preserve">sadaļu “Fiskālo risku vispārējā vadība”) fiskālie riski tiek iedalīti divās grupās – kvantificējamie fiskālie riski un nekvantificējamie fiskālie riski. To </w:t>
      </w:r>
      <w:r>
        <w:rPr>
          <w:rFonts w:ascii="Times New Roman" w:hAnsi="Times New Roman" w:cs="Times New Roman"/>
          <w:color w:val="000000" w:themeColor="text1"/>
          <w:sz w:val="24"/>
          <w:szCs w:val="24"/>
        </w:rPr>
        <w:t xml:space="preserve">detalizēts </w:t>
      </w:r>
      <w:r w:rsidRPr="469479B5">
        <w:rPr>
          <w:rFonts w:ascii="Times New Roman" w:hAnsi="Times New Roman" w:cs="Times New Roman"/>
          <w:color w:val="000000" w:themeColor="text1"/>
          <w:sz w:val="24"/>
          <w:szCs w:val="24"/>
        </w:rPr>
        <w:t xml:space="preserve">izklāsts ir iekļauts </w:t>
      </w:r>
      <w:r>
        <w:rPr>
          <w:rFonts w:ascii="Times New Roman" w:hAnsi="Times New Roman" w:cs="Times New Roman"/>
          <w:color w:val="000000" w:themeColor="text1"/>
          <w:sz w:val="24"/>
          <w:szCs w:val="24"/>
        </w:rPr>
        <w:t xml:space="preserve">deklarācijas </w:t>
      </w:r>
      <w:r w:rsidRPr="469479B5">
        <w:rPr>
          <w:rFonts w:ascii="Times New Roman" w:hAnsi="Times New Roman" w:cs="Times New Roman"/>
          <w:color w:val="000000" w:themeColor="text1"/>
          <w:sz w:val="24"/>
          <w:szCs w:val="24"/>
        </w:rPr>
        <w:t>2. un 3.</w:t>
      </w:r>
      <w:r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sadaļā. Fiskālie riski tiek vērtēti kvalitatīvi un, kur tas iespējams, arī kvantitatīvi</w:t>
      </w:r>
      <w:r w:rsidRPr="469479B5">
        <w:rPr>
          <w:rFonts w:ascii="Times New Roman" w:hAnsi="Times New Roman" w:cs="Times New Roman"/>
          <w:sz w:val="24"/>
          <w:szCs w:val="24"/>
        </w:rPr>
        <w:t xml:space="preserve">. </w:t>
      </w:r>
    </w:p>
    <w:p w14:paraId="0780005F" w14:textId="26BB5286" w:rsidR="009333BF" w:rsidRDefault="009333BF" w:rsidP="009333BF">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Deklarācijas</w:t>
      </w:r>
      <w:r w:rsidRPr="469479B5">
        <w:rPr>
          <w:rFonts w:ascii="Times New Roman" w:hAnsi="Times New Roman" w:cs="Times New Roman"/>
          <w:color w:val="000000" w:themeColor="text1"/>
          <w:sz w:val="24"/>
          <w:szCs w:val="24"/>
        </w:rPr>
        <w:t xml:space="preserve"> 4.</w:t>
      </w:r>
      <w:r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 xml:space="preserve">sadaļā tiek analizēta ekonomikas šoku transmisijas kanālu ietekme uz valsts fiskālajiem rādītājiem, īpašu uzmanību pievēršot valsts kapitālsabiedrībām un vispārējās valdības izsniegtajiem galvojumiem. Turklāt minētajā sadaļā tiek aprakstīta valsts parāda vadība un, ņemot vērā jautājuma aktualitāti, padziļināti novērtēta vispārējās valdības parāda ilgtspēja. </w:t>
      </w:r>
    </w:p>
    <w:p w14:paraId="549AF216" w14:textId="36E3C150" w:rsidR="009333BF" w:rsidRDefault="009333BF" w:rsidP="009333BF">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2025. gadā noslēdzās EK tehniskā atbalsta instrumenta projekts</w:t>
      </w:r>
      <w:r>
        <w:rPr>
          <w:rStyle w:val="FootnoteReference"/>
          <w:rFonts w:ascii="Times New Roman" w:hAnsi="Times New Roman" w:cs="Times New Roman"/>
          <w:color w:val="000000" w:themeColor="text1"/>
          <w:sz w:val="24"/>
          <w:szCs w:val="24"/>
        </w:rPr>
        <w:footnoteReference w:id="2"/>
      </w:r>
      <w:r>
        <w:rPr>
          <w:rFonts w:ascii="Times New Roman" w:hAnsi="Times New Roman" w:cs="Times New Roman"/>
          <w:color w:val="000000" w:themeColor="text1"/>
          <w:sz w:val="24"/>
          <w:szCs w:val="24"/>
        </w:rPr>
        <w:t>, kurā, sadarbībā ar ESAO ekspertiem, tostarp tika analizēts fiskālo risku vispārējās vadības mehānisms un izteikti priekšlikumi deklarācijas pilnveidei. ESAO eksperti novērtēja, ka izveidotā fiskālo risku vadība atbilst labākajai starptautiskajai praksei, taču izteica arī priekšlikumus, ka deklarāciju varētu pilnveidot, iekļaujot tajā detalizētāku analīzi par klimata risku ietekmi uz vispārējās valdības fiskālajiem rādītājiem, kā arī lielāku uzmanību pievērst pensiju sistēmas ilgtspējai un valsts kapitālsabiedrību ietekmei uz fiskālajiem rādītājiem. ESAO ekspertu ieteikumi tiks ieviesti pakāpeniski, un šogad deklarācijas 5. sadaļa jau ir paplašināta ar veikto klimata pārmaiņu ietekmes uz galvenajiem fiskālajiem rādītājiem</w:t>
      </w:r>
      <w:r w:rsidRPr="007A651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analīzi.</w:t>
      </w:r>
    </w:p>
    <w:p w14:paraId="57460AF6" w14:textId="29B03C16" w:rsidR="009333BF" w:rsidRDefault="009333BF" w:rsidP="009333BF">
      <w:pPr>
        <w:spacing w:after="0" w:line="240" w:lineRule="auto"/>
        <w:ind w:firstLine="720"/>
        <w:jc w:val="both"/>
        <w:rPr>
          <w:rFonts w:ascii="Times New Roman" w:hAnsi="Times New Roman" w:cs="Times New Roman"/>
          <w:sz w:val="24"/>
          <w:szCs w:val="24"/>
        </w:rPr>
      </w:pPr>
      <w:bookmarkStart w:id="6" w:name="_Hlk204091058"/>
      <w:bookmarkStart w:id="7" w:name="_Hlk204799988"/>
      <w:r>
        <w:rPr>
          <w:rFonts w:ascii="Times New Roman" w:hAnsi="Times New Roman" w:cs="Times New Roman"/>
          <w:sz w:val="24"/>
          <w:szCs w:val="24"/>
        </w:rPr>
        <w:t xml:space="preserve">Deklarācijas 6. </w:t>
      </w:r>
      <w:r w:rsidRPr="469479B5">
        <w:rPr>
          <w:rFonts w:ascii="Times New Roman" w:hAnsi="Times New Roman" w:cs="Times New Roman"/>
          <w:sz w:val="24"/>
          <w:szCs w:val="24"/>
        </w:rPr>
        <w:t>sadaļa – “Zaļais budžets”</w:t>
      </w:r>
      <w:r>
        <w:rPr>
          <w:rFonts w:ascii="Times New Roman" w:hAnsi="Times New Roman" w:cs="Times New Roman"/>
          <w:sz w:val="24"/>
          <w:szCs w:val="24"/>
        </w:rPr>
        <w:t xml:space="preserve"> ir ietverta</w:t>
      </w:r>
      <w:r w:rsidRPr="469479B5">
        <w:rPr>
          <w:rFonts w:ascii="Times New Roman" w:hAnsi="Times New Roman" w:cs="Times New Roman"/>
          <w:sz w:val="24"/>
          <w:szCs w:val="24"/>
        </w:rPr>
        <w:t xml:space="preserve"> kā pagaidu risinājums līdz atsevišķas </w:t>
      </w:r>
      <w:bookmarkStart w:id="8" w:name="_Hlk204799965"/>
      <w:r w:rsidRPr="469479B5">
        <w:rPr>
          <w:rFonts w:ascii="Times New Roman" w:hAnsi="Times New Roman" w:cs="Times New Roman"/>
          <w:sz w:val="24"/>
          <w:szCs w:val="24"/>
        </w:rPr>
        <w:t xml:space="preserve">Klimata deklarācijas izstrādei sākot ar 2026. gadu. </w:t>
      </w:r>
      <w:bookmarkEnd w:id="6"/>
      <w:r w:rsidRPr="00647F68">
        <w:rPr>
          <w:rFonts w:ascii="Times New Roman" w:hAnsi="Times New Roman" w:cs="Times New Roman"/>
          <w:sz w:val="24"/>
          <w:szCs w:val="24"/>
        </w:rPr>
        <w:t>“Zaļā budžeta” marķēšanas pieeja tiek ieviesta ar nolūku veikt valsts budžeta izdevumu un nodokļu ietekmes novērtējumu attiecībā pret sešiem vides mērķiem, kalpojot kā informatīva rakstura materiāls, palielinot politikas veidotāju izpratni par dažādu budžeta izdevumu ietekmi uz vides mērķiem</w:t>
      </w:r>
      <w:bookmarkEnd w:id="7"/>
      <w:bookmarkEnd w:id="8"/>
      <w:r>
        <w:rPr>
          <w:rFonts w:ascii="Times New Roman" w:hAnsi="Times New Roman" w:cs="Times New Roman"/>
          <w:sz w:val="24"/>
          <w:szCs w:val="24"/>
        </w:rPr>
        <w:t xml:space="preserve">. </w:t>
      </w:r>
    </w:p>
    <w:p w14:paraId="351F5875" w14:textId="1460D541" w:rsidR="009333BF" w:rsidRPr="00D7182D" w:rsidRDefault="009333BF" w:rsidP="009333BF">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 xml:space="preserve">Lai vērtētu fiskālo risku vadības sistēmas efektivitāti, </w:t>
      </w:r>
      <w:r>
        <w:rPr>
          <w:rFonts w:ascii="Times New Roman" w:hAnsi="Times New Roman" w:cs="Times New Roman"/>
          <w:sz w:val="24"/>
          <w:szCs w:val="24"/>
        </w:rPr>
        <w:t xml:space="preserve">deklarācijas </w:t>
      </w:r>
      <w:r w:rsidRPr="469479B5">
        <w:rPr>
          <w:rFonts w:ascii="Times New Roman" w:hAnsi="Times New Roman" w:cs="Times New Roman"/>
          <w:color w:val="000000" w:themeColor="text1"/>
          <w:sz w:val="24"/>
          <w:szCs w:val="24"/>
        </w:rPr>
        <w:t>7.</w:t>
      </w:r>
      <w:r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 xml:space="preserve">sadaļā tiek aplūkots </w:t>
      </w:r>
      <w:r w:rsidRPr="469479B5">
        <w:rPr>
          <w:rFonts w:ascii="Times New Roman" w:hAnsi="Times New Roman" w:cs="Times New Roman"/>
          <w:sz w:val="24"/>
          <w:szCs w:val="24"/>
        </w:rPr>
        <w:t xml:space="preserve">fiskālo rādītāju (vispārējās valdības budžeta strukturālā bilance un vispārējās valdības budžeta bilance) prognožu un faktiskās izpildes salīdzinājums. </w:t>
      </w:r>
    </w:p>
    <w:p w14:paraId="0E915939" w14:textId="3135486F" w:rsidR="009333BF" w:rsidRPr="00883EE7" w:rsidRDefault="009333BF" w:rsidP="009333BF">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Fiskālo risku vispārējās vadības kvantitatīvais rezultāts</w:t>
      </w:r>
      <w:r>
        <w:rPr>
          <w:rFonts w:ascii="Times New Roman" w:hAnsi="Times New Roman" w:cs="Times New Roman"/>
          <w:color w:val="000000" w:themeColor="text1"/>
          <w:sz w:val="24"/>
          <w:szCs w:val="24"/>
        </w:rPr>
        <w:t>, proti</w:t>
      </w:r>
      <w:r w:rsidRPr="469479B5">
        <w:rPr>
          <w:rFonts w:ascii="Times New Roman" w:hAnsi="Times New Roman" w:cs="Times New Roman"/>
          <w:color w:val="000000" w:themeColor="text1"/>
          <w:sz w:val="24"/>
          <w:szCs w:val="24"/>
        </w:rPr>
        <w:t xml:space="preserve"> fiskālā nodrošinājuma rezerve</w:t>
      </w:r>
      <w:r>
        <w:rPr>
          <w:rFonts w:ascii="Times New Roman" w:hAnsi="Times New Roman" w:cs="Times New Roman"/>
          <w:color w:val="000000" w:themeColor="text1"/>
          <w:sz w:val="24"/>
          <w:szCs w:val="24"/>
        </w:rPr>
        <w:t>s aprēķins 2026. – 2028. gadam,</w:t>
      </w:r>
      <w:r w:rsidRPr="469479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sniegts</w:t>
      </w:r>
      <w:r w:rsidRPr="469479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deklarācijas </w:t>
      </w:r>
      <w:r w:rsidRPr="469479B5">
        <w:rPr>
          <w:rFonts w:ascii="Times New Roman" w:hAnsi="Times New Roman" w:cs="Times New Roman"/>
          <w:color w:val="000000" w:themeColor="text1"/>
          <w:sz w:val="24"/>
          <w:szCs w:val="24"/>
        </w:rPr>
        <w:t>8.</w:t>
      </w:r>
      <w:r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sadaļ</w:t>
      </w:r>
      <w:r>
        <w:rPr>
          <w:rFonts w:ascii="Times New Roman" w:hAnsi="Times New Roman" w:cs="Times New Roman"/>
          <w:color w:val="000000" w:themeColor="text1"/>
          <w:sz w:val="24"/>
          <w:szCs w:val="24"/>
        </w:rPr>
        <w:t>ā</w:t>
      </w:r>
      <w:r w:rsidRPr="469479B5">
        <w:rPr>
          <w:rFonts w:ascii="Times New Roman" w:hAnsi="Times New Roman" w:cs="Times New Roman"/>
          <w:color w:val="000000" w:themeColor="text1"/>
          <w:sz w:val="24"/>
          <w:szCs w:val="24"/>
        </w:rPr>
        <w:t xml:space="preserve"> “Fiskālā nodrošinājuma rezerves aprēķins”</w:t>
      </w:r>
      <w:r>
        <w:rPr>
          <w:rFonts w:ascii="Times New Roman" w:hAnsi="Times New Roman" w:cs="Times New Roman"/>
          <w:color w:val="000000" w:themeColor="text1"/>
          <w:sz w:val="24"/>
          <w:szCs w:val="24"/>
        </w:rPr>
        <w:t>, jo šī deklarācija tiks pievienota likumprojektam “Par valsts budžetu 2026. gadam un budžeta ietvaru 2026., 2027. un 2028. gadam”.</w:t>
      </w:r>
    </w:p>
    <w:p w14:paraId="79189594" w14:textId="77777777" w:rsidR="009333BF" w:rsidRPr="00883EE7" w:rsidRDefault="009333BF" w:rsidP="009333BF">
      <w:pPr>
        <w:spacing w:after="0" w:line="240" w:lineRule="auto"/>
        <w:ind w:firstLine="720"/>
        <w:jc w:val="both"/>
        <w:rPr>
          <w:rFonts w:ascii="Times New Roman" w:hAnsi="Times New Roman"/>
          <w:strike/>
          <w:sz w:val="24"/>
          <w:szCs w:val="24"/>
        </w:rPr>
      </w:pPr>
      <w:r w:rsidRPr="00883EE7">
        <w:rPr>
          <w:rFonts w:ascii="Times New Roman" w:hAnsi="Times New Roman" w:cs="Times New Roman"/>
          <w:color w:val="000000"/>
          <w:sz w:val="24"/>
          <w:szCs w:val="24"/>
        </w:rPr>
        <w:t xml:space="preserve">Izstrādājot </w:t>
      </w:r>
      <w:r>
        <w:rPr>
          <w:rFonts w:ascii="Times New Roman" w:hAnsi="Times New Roman" w:cs="Times New Roman"/>
          <w:color w:val="000000"/>
          <w:sz w:val="24"/>
          <w:szCs w:val="24"/>
        </w:rPr>
        <w:t xml:space="preserve">Fiskālo risku </w:t>
      </w:r>
      <w:r w:rsidRPr="00883EE7">
        <w:rPr>
          <w:rFonts w:ascii="Times New Roman" w:hAnsi="Times New Roman" w:cs="Times New Roman"/>
          <w:color w:val="000000"/>
          <w:sz w:val="24"/>
          <w:szCs w:val="24"/>
        </w:rPr>
        <w:t>deklarāciju, tik</w:t>
      </w:r>
      <w:r>
        <w:rPr>
          <w:rFonts w:ascii="Times New Roman" w:hAnsi="Times New Roman" w:cs="Times New Roman"/>
          <w:color w:val="000000"/>
          <w:sz w:val="24"/>
          <w:szCs w:val="24"/>
        </w:rPr>
        <w:t>a</w:t>
      </w:r>
      <w:r w:rsidRPr="00883EE7">
        <w:rPr>
          <w:rFonts w:ascii="Times New Roman" w:hAnsi="Times New Roman" w:cs="Times New Roman"/>
          <w:color w:val="000000"/>
          <w:sz w:val="24"/>
          <w:szCs w:val="24"/>
        </w:rPr>
        <w:t xml:space="preserve"> ņemtas vērā Fiskālās disciplīnas padomes rekomendācijas attiecībā uz fiskālo risku ietvaru.</w:t>
      </w:r>
    </w:p>
    <w:p w14:paraId="6A921C48" w14:textId="77777777" w:rsidR="003C7117" w:rsidRPr="00883EE7" w:rsidRDefault="003C7117">
      <w:pPr>
        <w:rPr>
          <w:rFonts w:ascii="Times New Roman" w:eastAsiaTheme="majorEastAsia" w:hAnsi="Times New Roman" w:cs="Times New Roman"/>
          <w:b/>
          <w:bCs/>
          <w:smallCaps/>
          <w:color w:val="000000"/>
          <w:sz w:val="24"/>
          <w:szCs w:val="24"/>
          <w:highlight w:val="yellow"/>
        </w:rPr>
      </w:pPr>
      <w:r w:rsidRPr="00883EE7">
        <w:rPr>
          <w:rFonts w:ascii="Times New Roman" w:hAnsi="Times New Roman" w:cs="Times New Roman"/>
          <w:color w:val="000000"/>
          <w:sz w:val="24"/>
          <w:szCs w:val="24"/>
          <w:highlight w:val="yellow"/>
        </w:rPr>
        <w:br w:type="page"/>
      </w:r>
    </w:p>
    <w:p w14:paraId="51983558" w14:textId="0EDF0278" w:rsidR="00B95E92" w:rsidRPr="007F44D8" w:rsidRDefault="00B95E92" w:rsidP="00191E2E">
      <w:pPr>
        <w:pStyle w:val="Heading1"/>
        <w:spacing w:before="0" w:after="0" w:line="240" w:lineRule="auto"/>
        <w:ind w:left="0" w:hanging="6"/>
        <w:jc w:val="center"/>
        <w:rPr>
          <w:rFonts w:ascii="Times New Roman" w:hAnsi="Times New Roman"/>
          <w:b w:val="0"/>
          <w:sz w:val="28"/>
          <w:szCs w:val="28"/>
        </w:rPr>
      </w:pPr>
      <w:bookmarkStart w:id="9" w:name="_Toc405371070"/>
      <w:bookmarkStart w:id="10" w:name="_Toc536779055"/>
      <w:bookmarkStart w:id="11" w:name="_Toc205554403"/>
      <w:r w:rsidRPr="007F44D8">
        <w:rPr>
          <w:rFonts w:ascii="Times New Roman" w:hAnsi="Times New Roman" w:cs="Times New Roman"/>
          <w:sz w:val="32"/>
        </w:rPr>
        <w:t>Fiskālo risku vispārējā vadība</w:t>
      </w:r>
      <w:bookmarkEnd w:id="9"/>
      <w:bookmarkEnd w:id="10"/>
      <w:bookmarkEnd w:id="11"/>
    </w:p>
    <w:p w14:paraId="5743518D" w14:textId="77777777" w:rsidR="00B95E92" w:rsidRPr="004417BD" w:rsidRDefault="00B95E92" w:rsidP="00191E2E">
      <w:pPr>
        <w:pStyle w:val="Heading2"/>
        <w:numPr>
          <w:ilvl w:val="1"/>
          <w:numId w:val="3"/>
        </w:numPr>
        <w:spacing w:before="120" w:after="120" w:line="240" w:lineRule="auto"/>
        <w:ind w:left="0" w:hanging="6"/>
        <w:rPr>
          <w:rFonts w:cs="Times New Roman"/>
          <w:color w:val="auto"/>
          <w:szCs w:val="24"/>
        </w:rPr>
      </w:pPr>
      <w:bookmarkStart w:id="12" w:name="_Toc405371071"/>
      <w:bookmarkStart w:id="13" w:name="_Toc536779056"/>
      <w:bookmarkStart w:id="14" w:name="_Toc205554404"/>
      <w:r w:rsidRPr="004417BD">
        <w:rPr>
          <w:rFonts w:cs="Times New Roman"/>
          <w:color w:val="auto"/>
          <w:szCs w:val="24"/>
        </w:rPr>
        <w:t>Fiskālo risku vispārējās vadības mehānisms</w:t>
      </w:r>
      <w:bookmarkEnd w:id="12"/>
      <w:bookmarkEnd w:id="13"/>
      <w:bookmarkEnd w:id="14"/>
    </w:p>
    <w:p w14:paraId="4C9C6D3B" w14:textId="35F1CBB9" w:rsidR="00481389" w:rsidRPr="00D7182D" w:rsidRDefault="06F60980" w:rsidP="00ED0A65">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FDL paredz fiskālo risku vispārējo vadību. Fiskālo risku vispārējās vadības metodoloģiskais regulējums tika izveidots 2014.</w:t>
      </w:r>
      <w:r w:rsidR="6E47DA4A"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gadā līdz ar</w:t>
      </w:r>
      <w:r w:rsidR="40A6C415" w:rsidRPr="469479B5">
        <w:rPr>
          <w:rFonts w:ascii="Times New Roman" w:hAnsi="Times New Roman" w:cs="Times New Roman"/>
          <w:color w:val="000000" w:themeColor="text1"/>
          <w:sz w:val="24"/>
          <w:szCs w:val="24"/>
        </w:rPr>
        <w:t xml:space="preserve"> </w:t>
      </w:r>
      <w:r w:rsidR="2BE52F1C" w:rsidRPr="469479B5">
        <w:rPr>
          <w:rFonts w:ascii="Times New Roman" w:hAnsi="Times New Roman" w:cs="Times New Roman"/>
          <w:color w:val="000000" w:themeColor="text1"/>
          <w:sz w:val="24"/>
          <w:szCs w:val="24"/>
        </w:rPr>
        <w:t xml:space="preserve">MK </w:t>
      </w:r>
      <w:r w:rsidR="40A6C415" w:rsidRPr="469479B5">
        <w:rPr>
          <w:rFonts w:ascii="Times New Roman" w:hAnsi="Times New Roman" w:cs="Times New Roman"/>
          <w:color w:val="000000" w:themeColor="text1"/>
          <w:sz w:val="24"/>
          <w:szCs w:val="24"/>
        </w:rPr>
        <w:t>2014.</w:t>
      </w:r>
      <w:r w:rsidR="1ADF41AE" w:rsidRPr="469479B5">
        <w:rPr>
          <w:rFonts w:ascii="Times New Roman" w:hAnsi="Times New Roman" w:cs="Times New Roman"/>
          <w:color w:val="000000" w:themeColor="text1"/>
          <w:sz w:val="24"/>
          <w:szCs w:val="24"/>
        </w:rPr>
        <w:t xml:space="preserve"> </w:t>
      </w:r>
      <w:r w:rsidR="40A6C415" w:rsidRPr="469479B5">
        <w:rPr>
          <w:rFonts w:ascii="Times New Roman" w:hAnsi="Times New Roman" w:cs="Times New Roman"/>
          <w:color w:val="000000" w:themeColor="text1"/>
          <w:sz w:val="24"/>
          <w:szCs w:val="24"/>
        </w:rPr>
        <w:t>gada 29.</w:t>
      </w:r>
      <w:r w:rsidR="77F3FDE0" w:rsidRPr="469479B5">
        <w:rPr>
          <w:rFonts w:ascii="Times New Roman" w:hAnsi="Times New Roman" w:cs="Times New Roman"/>
          <w:color w:val="000000" w:themeColor="text1"/>
          <w:sz w:val="24"/>
          <w:szCs w:val="24"/>
        </w:rPr>
        <w:t xml:space="preserve"> </w:t>
      </w:r>
      <w:r w:rsidR="40A6C415" w:rsidRPr="469479B5">
        <w:rPr>
          <w:rFonts w:ascii="Times New Roman" w:hAnsi="Times New Roman" w:cs="Times New Roman"/>
          <w:color w:val="000000" w:themeColor="text1"/>
          <w:sz w:val="24"/>
          <w:szCs w:val="24"/>
        </w:rPr>
        <w:t xml:space="preserve">aprīļa noteikumu Nr.229 </w:t>
      </w:r>
      <w:r w:rsidR="00E50660">
        <w:rPr>
          <w:rFonts w:ascii="Times New Roman" w:hAnsi="Times New Roman" w:cs="Times New Roman"/>
          <w:color w:val="000000" w:themeColor="text1"/>
          <w:sz w:val="24"/>
          <w:szCs w:val="24"/>
        </w:rPr>
        <w:t>“</w:t>
      </w:r>
      <w:r w:rsidR="40A6C415" w:rsidRPr="469479B5">
        <w:rPr>
          <w:rFonts w:ascii="Times New Roman" w:hAnsi="Times New Roman" w:cs="Times New Roman"/>
          <w:color w:val="000000" w:themeColor="text1"/>
          <w:sz w:val="24"/>
          <w:szCs w:val="24"/>
        </w:rPr>
        <w:t>Noteikumi par fiskālo risku vispārējo vadību un par fiskālās nodrošinājuma rezerves apjoma noteikšanas metodoloģiju</w:t>
      </w:r>
      <w:r w:rsidR="00E50660">
        <w:rPr>
          <w:rFonts w:ascii="Times New Roman" w:hAnsi="Times New Roman" w:cs="Times New Roman"/>
          <w:color w:val="000000" w:themeColor="text1"/>
          <w:sz w:val="24"/>
          <w:szCs w:val="24"/>
        </w:rPr>
        <w:t>”</w:t>
      </w:r>
      <w:r w:rsidR="40A6C415" w:rsidRPr="469479B5">
        <w:rPr>
          <w:rFonts w:ascii="Times New Roman" w:hAnsi="Times New Roman" w:cs="Times New Roman"/>
          <w:color w:val="000000" w:themeColor="text1"/>
          <w:sz w:val="24"/>
          <w:szCs w:val="24"/>
        </w:rPr>
        <w:t xml:space="preserve"> </w:t>
      </w:r>
      <w:bookmarkStart w:id="15" w:name="_Hlk125244828"/>
      <w:r w:rsidR="40A6C415" w:rsidRPr="469479B5">
        <w:rPr>
          <w:rFonts w:ascii="Times New Roman" w:hAnsi="Times New Roman" w:cs="Times New Roman"/>
          <w:color w:val="000000" w:themeColor="text1"/>
          <w:sz w:val="24"/>
          <w:szCs w:val="24"/>
        </w:rPr>
        <w:t xml:space="preserve">(turpmāk </w:t>
      </w:r>
      <w:r w:rsidR="2BE52F1C" w:rsidRPr="469479B5">
        <w:rPr>
          <w:rFonts w:ascii="Times New Roman" w:hAnsi="Times New Roman" w:cs="Times New Roman"/>
          <w:color w:val="000000" w:themeColor="text1"/>
          <w:sz w:val="24"/>
          <w:szCs w:val="24"/>
        </w:rPr>
        <w:t xml:space="preserve">– </w:t>
      </w:r>
      <w:r w:rsidR="2BE52F1C" w:rsidRPr="469479B5">
        <w:rPr>
          <w:rFonts w:ascii="Times New Roman" w:hAnsi="Times New Roman" w:cs="Times New Roman"/>
          <w:sz w:val="24"/>
          <w:szCs w:val="24"/>
        </w:rPr>
        <w:t xml:space="preserve">noteikumi </w:t>
      </w:r>
      <w:r w:rsidRPr="469479B5">
        <w:rPr>
          <w:rFonts w:ascii="Times New Roman" w:hAnsi="Times New Roman" w:cs="Times New Roman"/>
          <w:sz w:val="24"/>
          <w:szCs w:val="24"/>
        </w:rPr>
        <w:t>Nr.229</w:t>
      </w:r>
      <w:bookmarkEnd w:id="15"/>
      <w:r w:rsidR="40A6C415" w:rsidRPr="469479B5">
        <w:rPr>
          <w:rFonts w:ascii="Times New Roman" w:hAnsi="Times New Roman" w:cs="Times New Roman"/>
          <w:sz w:val="24"/>
          <w:szCs w:val="24"/>
        </w:rPr>
        <w:t>)</w:t>
      </w:r>
      <w:r w:rsidRPr="469479B5">
        <w:rPr>
          <w:rFonts w:ascii="Times New Roman" w:hAnsi="Times New Roman" w:cs="Times New Roman"/>
          <w:sz w:val="24"/>
          <w:szCs w:val="24"/>
        </w:rPr>
        <w:t xml:space="preserve"> apstiprināšanu. Fiskālo risku vispārējās vadības sistēma paredz, ka valstiskā līmenī tiek nodrošināta sistemātiska fiskālo risku identificēšana,</w:t>
      </w:r>
      <w:r w:rsidR="45EE66ED" w:rsidRPr="469479B5">
        <w:rPr>
          <w:rFonts w:ascii="Times New Roman" w:hAnsi="Times New Roman" w:cs="Times New Roman"/>
          <w:sz w:val="24"/>
          <w:szCs w:val="24"/>
        </w:rPr>
        <w:t xml:space="preserve"> </w:t>
      </w:r>
      <w:r w:rsidRPr="469479B5">
        <w:rPr>
          <w:rFonts w:ascii="Times New Roman" w:hAnsi="Times New Roman" w:cs="Times New Roman"/>
          <w:sz w:val="24"/>
          <w:szCs w:val="24"/>
        </w:rPr>
        <w:t>fiskālo</w:t>
      </w:r>
      <w:r w:rsidR="45EE66ED"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risku iespējamās ietekmes uz </w:t>
      </w:r>
      <w:r w:rsidR="0C78C50F" w:rsidRPr="469479B5">
        <w:rPr>
          <w:rFonts w:ascii="Times New Roman" w:hAnsi="Times New Roman" w:cs="Times New Roman"/>
          <w:sz w:val="24"/>
          <w:szCs w:val="24"/>
        </w:rPr>
        <w:t xml:space="preserve">vispārējās valdības </w:t>
      </w:r>
      <w:r w:rsidRPr="469479B5">
        <w:rPr>
          <w:rFonts w:ascii="Times New Roman" w:hAnsi="Times New Roman" w:cs="Times New Roman"/>
          <w:sz w:val="24"/>
          <w:szCs w:val="24"/>
        </w:rPr>
        <w:t xml:space="preserve">budžetu un parādu </w:t>
      </w:r>
      <w:r w:rsidR="05C84C1F" w:rsidRPr="469479B5">
        <w:rPr>
          <w:rFonts w:ascii="Times New Roman" w:hAnsi="Times New Roman" w:cs="Times New Roman"/>
          <w:sz w:val="24"/>
          <w:szCs w:val="24"/>
        </w:rPr>
        <w:t>no</w:t>
      </w:r>
      <w:r w:rsidRPr="469479B5">
        <w:rPr>
          <w:rFonts w:ascii="Times New Roman" w:hAnsi="Times New Roman" w:cs="Times New Roman"/>
          <w:sz w:val="24"/>
          <w:szCs w:val="24"/>
        </w:rPr>
        <w:t>vērtēšana, attiecīgā riska vadības instrumenta izvēle un piemērošana.</w:t>
      </w:r>
    </w:p>
    <w:p w14:paraId="28175690" w14:textId="77777777" w:rsidR="00481389" w:rsidRPr="007F44D8" w:rsidRDefault="00481389" w:rsidP="00E3792D">
      <w:pPr>
        <w:spacing w:after="0" w:line="240" w:lineRule="auto"/>
        <w:ind w:firstLine="720"/>
        <w:jc w:val="both"/>
        <w:rPr>
          <w:rFonts w:ascii="Times New Roman" w:eastAsia="Times New Roman" w:hAnsi="Times New Roman" w:cs="Times New Roman"/>
          <w:sz w:val="24"/>
          <w:szCs w:val="24"/>
          <w:lang w:eastAsia="lv-LV"/>
        </w:rPr>
      </w:pPr>
      <w:r w:rsidRPr="007F44D8">
        <w:rPr>
          <w:rFonts w:ascii="Times New Roman" w:hAnsi="Times New Roman" w:cs="Times New Roman"/>
          <w:sz w:val="24"/>
          <w:szCs w:val="24"/>
        </w:rPr>
        <w:t>Fiskālo risku identificēšana un mērīšana ir nepieciešama ar mērķi:</w:t>
      </w:r>
    </w:p>
    <w:p w14:paraId="22609BE5" w14:textId="77777777" w:rsidR="00481389" w:rsidRPr="007F44D8" w:rsidRDefault="00481389" w:rsidP="00E3792D">
      <w:pPr>
        <w:pStyle w:val="ListParagraph"/>
        <w:numPr>
          <w:ilvl w:val="0"/>
          <w:numId w:val="8"/>
        </w:numPr>
        <w:ind w:left="1418"/>
        <w:contextualSpacing w:val="0"/>
        <w:rPr>
          <w:rFonts w:ascii="Times New Roman" w:hAnsi="Times New Roman"/>
          <w:sz w:val="24"/>
          <w:szCs w:val="24"/>
        </w:rPr>
      </w:pPr>
      <w:r w:rsidRPr="007F44D8">
        <w:rPr>
          <w:rFonts w:ascii="Times New Roman" w:hAnsi="Times New Roman"/>
          <w:sz w:val="24"/>
          <w:szCs w:val="24"/>
        </w:rPr>
        <w:t>nodrošināt fiskālo risku novērtēšanu un vadīšanu;</w:t>
      </w:r>
    </w:p>
    <w:p w14:paraId="6F4961E7" w14:textId="77777777" w:rsidR="00481389" w:rsidRPr="007F44D8" w:rsidRDefault="00481389" w:rsidP="00E3792D">
      <w:pPr>
        <w:pStyle w:val="ListParagraph"/>
        <w:numPr>
          <w:ilvl w:val="0"/>
          <w:numId w:val="8"/>
        </w:numPr>
        <w:ind w:left="1418"/>
        <w:rPr>
          <w:rFonts w:ascii="Times New Roman" w:hAnsi="Times New Roman"/>
          <w:sz w:val="24"/>
          <w:szCs w:val="24"/>
        </w:rPr>
      </w:pPr>
      <w:r w:rsidRPr="007F44D8">
        <w:rPr>
          <w:rFonts w:ascii="Times New Roman" w:hAnsi="Times New Roman"/>
          <w:sz w:val="24"/>
          <w:szCs w:val="24"/>
        </w:rPr>
        <w:t>izstrādāt efektīvu fiskālo risku vadības stratēģiju, apzinot risku mazināšanas vai novēršanas instrumentus un pasākumus;</w:t>
      </w:r>
    </w:p>
    <w:p w14:paraId="6D3DC038" w14:textId="77777777" w:rsidR="00481389" w:rsidRPr="007F44D8" w:rsidRDefault="00481389" w:rsidP="00E3792D">
      <w:pPr>
        <w:pStyle w:val="ListParagraph"/>
        <w:numPr>
          <w:ilvl w:val="0"/>
          <w:numId w:val="8"/>
        </w:numPr>
        <w:ind w:left="1418"/>
        <w:rPr>
          <w:rFonts w:ascii="Times New Roman" w:hAnsi="Times New Roman"/>
          <w:sz w:val="24"/>
          <w:szCs w:val="24"/>
        </w:rPr>
      </w:pPr>
      <w:r w:rsidRPr="007F44D8">
        <w:rPr>
          <w:rFonts w:ascii="Times New Roman" w:hAnsi="Times New Roman"/>
          <w:sz w:val="24"/>
          <w:szCs w:val="24"/>
        </w:rPr>
        <w:t>uzlabot fiskālās politikas ietvaros pieņemto lēmumu kvalitāti un ilgtspēju;</w:t>
      </w:r>
    </w:p>
    <w:p w14:paraId="7504145C" w14:textId="2DB1A1B3" w:rsidR="00481389" w:rsidRPr="007F44D8" w:rsidRDefault="00481389" w:rsidP="00E3792D">
      <w:pPr>
        <w:pStyle w:val="ListParagraph"/>
        <w:numPr>
          <w:ilvl w:val="0"/>
          <w:numId w:val="8"/>
        </w:numPr>
        <w:ind w:left="1418"/>
        <w:rPr>
          <w:rFonts w:ascii="Times New Roman" w:hAnsi="Times New Roman"/>
          <w:sz w:val="24"/>
          <w:szCs w:val="24"/>
        </w:rPr>
      </w:pPr>
      <w:r w:rsidRPr="007F44D8">
        <w:rPr>
          <w:rFonts w:ascii="Times New Roman" w:hAnsi="Times New Roman"/>
          <w:sz w:val="24"/>
          <w:szCs w:val="24"/>
        </w:rPr>
        <w:t xml:space="preserve">veicināt valsts kredītreitinga </w:t>
      </w:r>
      <w:r w:rsidR="00D272B7" w:rsidRPr="007F44D8">
        <w:rPr>
          <w:rFonts w:ascii="Times New Roman" w:hAnsi="Times New Roman"/>
          <w:sz w:val="24"/>
          <w:szCs w:val="24"/>
        </w:rPr>
        <w:t xml:space="preserve">uzlabošanos </w:t>
      </w:r>
      <w:r w:rsidRPr="007F44D8">
        <w:rPr>
          <w:rFonts w:ascii="Times New Roman" w:hAnsi="Times New Roman"/>
          <w:sz w:val="24"/>
          <w:szCs w:val="24"/>
        </w:rPr>
        <w:t xml:space="preserve">un investoru uzticību. </w:t>
      </w:r>
    </w:p>
    <w:p w14:paraId="388DFC8B" w14:textId="35DB4BBE" w:rsidR="00481389" w:rsidRPr="007F44D8" w:rsidRDefault="00481389" w:rsidP="00A96163">
      <w:pPr>
        <w:spacing w:after="100" w:afterAutospacing="1" w:line="240" w:lineRule="auto"/>
        <w:ind w:firstLine="709"/>
        <w:jc w:val="both"/>
        <w:rPr>
          <w:rFonts w:ascii="Times New Roman" w:hAnsi="Times New Roman" w:cs="Times New Roman"/>
          <w:iCs/>
          <w:sz w:val="24"/>
          <w:szCs w:val="24"/>
        </w:rPr>
      </w:pPr>
      <w:r w:rsidRPr="007F44D8">
        <w:rPr>
          <w:rFonts w:ascii="Times New Roman" w:hAnsi="Times New Roman" w:cs="Times New Roman"/>
          <w:iCs/>
          <w:sz w:val="24"/>
          <w:szCs w:val="24"/>
        </w:rPr>
        <w:t xml:space="preserve">FM ir atbildīga par fiskālo risku vispārējo vadību, uzkrāj </w:t>
      </w:r>
      <w:r w:rsidRPr="007F44D8">
        <w:rPr>
          <w:rFonts w:ascii="Times New Roman" w:hAnsi="Times New Roman" w:cs="Times New Roman"/>
          <w:sz w:val="24"/>
        </w:rPr>
        <w:t>nepieciešamo informāciju par fiskālajiem riskiem, lai uzturētu fiskālo risku reģistru, kas ir v</w:t>
      </w:r>
      <w:r w:rsidRPr="007F44D8">
        <w:rPr>
          <w:rFonts w:ascii="Times New Roman" w:hAnsi="Times New Roman" w:cs="Times New Roman"/>
          <w:iCs/>
          <w:sz w:val="24"/>
          <w:szCs w:val="24"/>
        </w:rPr>
        <w:t>iens no fiskālo risku vispārējās vadības galvenajiem instrumentiem. Savukārt, centrālās valsts iestādes ir atbildīgas par savas kompetences fiskālajiem riskiem, to uzraudzību, novēršanu un fiskālo risku seku samazināšanu. Lai FM varētu uzturēt aktuālu fiskālo risku reģistru un izstrādāt deklarāciju, nepieciešamo informāciju par fiskālajiem riskiem sniedz centrālās valsts iestādes, kas izstrādā fiskālo risku vadības ziņojumus.</w:t>
      </w:r>
    </w:p>
    <w:p w14:paraId="3118F04D" w14:textId="77777777" w:rsidR="00B95E92" w:rsidRPr="004417BD" w:rsidRDefault="00B95E92" w:rsidP="00F56613">
      <w:pPr>
        <w:pStyle w:val="Heading2"/>
        <w:numPr>
          <w:ilvl w:val="1"/>
          <w:numId w:val="3"/>
        </w:numPr>
        <w:spacing w:before="120" w:after="120" w:line="240" w:lineRule="auto"/>
        <w:ind w:left="567" w:hanging="483"/>
        <w:rPr>
          <w:rFonts w:cs="Times New Roman"/>
          <w:color w:val="auto"/>
          <w:szCs w:val="24"/>
        </w:rPr>
      </w:pPr>
      <w:bookmarkStart w:id="16" w:name="_Toc405371072"/>
      <w:bookmarkStart w:id="17" w:name="_Toc536779057"/>
      <w:bookmarkStart w:id="18" w:name="_Toc205554405"/>
      <w:r w:rsidRPr="004417BD">
        <w:rPr>
          <w:rFonts w:cs="Times New Roman"/>
          <w:color w:val="auto"/>
          <w:szCs w:val="24"/>
        </w:rPr>
        <w:t>Fiskālo risku klasifikācija</w:t>
      </w:r>
      <w:bookmarkEnd w:id="16"/>
      <w:bookmarkEnd w:id="17"/>
      <w:bookmarkEnd w:id="18"/>
    </w:p>
    <w:p w14:paraId="24C77B63" w14:textId="7E2CB106" w:rsidR="00481389" w:rsidRPr="007F44D8" w:rsidRDefault="00481389"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Fiskālo risku klasifikācijas jomā plaši tiek izmantota Pasaules Bankas ekspertes Hanas Polackovas Briksi </w:t>
      </w:r>
      <w:r w:rsidRPr="007F44D8">
        <w:rPr>
          <w:rFonts w:ascii="Times New Roman" w:hAnsi="Times New Roman" w:cs="Times New Roman"/>
          <w:i/>
          <w:sz w:val="24"/>
          <w:szCs w:val="24"/>
        </w:rPr>
        <w:t>(Hana Polackova Brixi)</w:t>
      </w:r>
      <w:r w:rsidRPr="007F44D8">
        <w:rPr>
          <w:rFonts w:ascii="Times New Roman" w:hAnsi="Times New Roman" w:cs="Times New Roman"/>
          <w:sz w:val="24"/>
          <w:szCs w:val="24"/>
        </w:rPr>
        <w:t xml:space="preserve"> izstrādātā fiskālo risku avotu klasifikācija (skat. tabula Nr.</w:t>
      </w:r>
      <w:r w:rsidR="005603AD" w:rsidRPr="007F44D8">
        <w:rPr>
          <w:rFonts w:ascii="Times New Roman" w:hAnsi="Times New Roman" w:cs="Times New Roman"/>
          <w:sz w:val="24"/>
          <w:szCs w:val="24"/>
        </w:rPr>
        <w:t>1</w:t>
      </w:r>
      <w:r w:rsidR="004A682A" w:rsidRPr="007F44D8">
        <w:rPr>
          <w:rFonts w:ascii="Times New Roman" w:hAnsi="Times New Roman" w:cs="Times New Roman"/>
          <w:sz w:val="24"/>
          <w:szCs w:val="24"/>
        </w:rPr>
        <w:t>.2.1</w:t>
      </w:r>
      <w:r w:rsidRPr="007F44D8">
        <w:rPr>
          <w:rFonts w:ascii="Times New Roman" w:hAnsi="Times New Roman" w:cs="Times New Roman"/>
          <w:sz w:val="24"/>
          <w:szCs w:val="24"/>
        </w:rPr>
        <w:t>), kas tiek iedalīta četrās grupās un pielāgotā versijā tiek pielietota arī Latvijas fiskālo risku avotu klasifikācijai:</w:t>
      </w:r>
    </w:p>
    <w:p w14:paraId="13D54E66" w14:textId="77777777" w:rsidR="00481389" w:rsidRPr="007F44D8"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7F44D8">
        <w:rPr>
          <w:rFonts w:ascii="Times New Roman" w:hAnsi="Times New Roman"/>
          <w:b/>
          <w:i/>
          <w:color w:val="000000"/>
          <w:sz w:val="24"/>
          <w:szCs w:val="24"/>
        </w:rPr>
        <w:t>Tiešās saistības</w:t>
      </w:r>
      <w:r w:rsidRPr="007F44D8">
        <w:rPr>
          <w:rFonts w:ascii="Times New Roman" w:hAnsi="Times New Roman"/>
          <w:color w:val="000000"/>
          <w:sz w:val="24"/>
          <w:szCs w:val="24"/>
        </w:rPr>
        <w:t xml:space="preserve"> ir iepriekš nosakāmās saistības, kuras iestāsies jebkurā gadījumā. Fiskālais risks šajā gadījumā ir saistīts ar nenoteiktību izdevumu apjomā.</w:t>
      </w:r>
    </w:p>
    <w:p w14:paraId="792D52D4" w14:textId="1FDAA980" w:rsidR="00481389" w:rsidRPr="007F44D8"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7F44D8">
        <w:rPr>
          <w:rFonts w:ascii="Times New Roman" w:hAnsi="Times New Roman"/>
          <w:b/>
          <w:i/>
          <w:color w:val="000000"/>
          <w:sz w:val="24"/>
          <w:szCs w:val="24"/>
        </w:rPr>
        <w:t>Iespējamās saistības</w:t>
      </w:r>
      <w:r w:rsidRPr="007F44D8">
        <w:rPr>
          <w:rFonts w:ascii="Times New Roman" w:hAnsi="Times New Roman"/>
          <w:color w:val="000000"/>
          <w:sz w:val="24"/>
          <w:szCs w:val="24"/>
        </w:rPr>
        <w:t xml:space="preserve"> ir tādas saistības, kuras var izraisīt iespējami notikumi nākotnē. Fiskālais risks šajā gadījumā primāri ir tajā apstāklī, ka ir nezināms, vai riska notikums iestāsies vai nē. Papildus tam, nenoteiktība var būt </w:t>
      </w:r>
      <w:r w:rsidR="00FA06DA" w:rsidRPr="007F44D8">
        <w:rPr>
          <w:rFonts w:ascii="Times New Roman" w:hAnsi="Times New Roman"/>
          <w:color w:val="000000"/>
          <w:sz w:val="24"/>
          <w:szCs w:val="24"/>
        </w:rPr>
        <w:t xml:space="preserve">vērojama </w:t>
      </w:r>
      <w:r w:rsidRPr="007F44D8">
        <w:rPr>
          <w:rFonts w:ascii="Times New Roman" w:hAnsi="Times New Roman"/>
          <w:color w:val="000000"/>
          <w:sz w:val="24"/>
          <w:szCs w:val="24"/>
        </w:rPr>
        <w:t xml:space="preserve">arī </w:t>
      </w:r>
      <w:r w:rsidR="00FA06DA" w:rsidRPr="007F44D8">
        <w:rPr>
          <w:rFonts w:ascii="Times New Roman" w:hAnsi="Times New Roman"/>
          <w:color w:val="000000"/>
          <w:sz w:val="24"/>
          <w:szCs w:val="24"/>
        </w:rPr>
        <w:t>riska notikuma ietekmes apmērā</w:t>
      </w:r>
      <w:r w:rsidRPr="007F44D8">
        <w:rPr>
          <w:rFonts w:ascii="Times New Roman" w:hAnsi="Times New Roman"/>
          <w:color w:val="000000"/>
          <w:sz w:val="24"/>
          <w:szCs w:val="24"/>
        </w:rPr>
        <w:t>.</w:t>
      </w:r>
    </w:p>
    <w:p w14:paraId="5ACF7C8F" w14:textId="77777777" w:rsidR="00481389" w:rsidRPr="007F44D8" w:rsidRDefault="00481389" w:rsidP="002467D7">
      <w:pPr>
        <w:spacing w:after="0" w:line="240" w:lineRule="auto"/>
        <w:jc w:val="both"/>
        <w:textAlignment w:val="top"/>
        <w:rPr>
          <w:rFonts w:ascii="Times New Roman" w:hAnsi="Times New Roman"/>
          <w:color w:val="000000"/>
          <w:sz w:val="24"/>
          <w:szCs w:val="24"/>
        </w:rPr>
      </w:pPr>
    </w:p>
    <w:p w14:paraId="64EA695E" w14:textId="77777777" w:rsidR="00481389" w:rsidRPr="007F44D8" w:rsidRDefault="00481389" w:rsidP="002467D7">
      <w:pPr>
        <w:spacing w:after="0" w:line="240" w:lineRule="auto"/>
        <w:ind w:firstLine="709"/>
        <w:jc w:val="both"/>
        <w:textAlignment w:val="top"/>
        <w:rPr>
          <w:rFonts w:ascii="Times New Roman" w:hAnsi="Times New Roman"/>
          <w:color w:val="000000"/>
          <w:sz w:val="24"/>
          <w:szCs w:val="24"/>
        </w:rPr>
      </w:pPr>
      <w:r w:rsidRPr="007F44D8">
        <w:rPr>
          <w:rFonts w:ascii="Times New Roman" w:hAnsi="Times New Roman"/>
          <w:color w:val="000000"/>
          <w:sz w:val="24"/>
          <w:szCs w:val="24"/>
        </w:rPr>
        <w:t xml:space="preserve">Katru no augstāk minētajiem fiskālo risku avotiem var iedalīt divās apakškategorijās: </w:t>
      </w:r>
    </w:p>
    <w:p w14:paraId="0FD918D0" w14:textId="22A5658C" w:rsidR="00481389" w:rsidRPr="007F44D8"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7F44D8">
        <w:rPr>
          <w:rFonts w:ascii="Times New Roman" w:hAnsi="Times New Roman"/>
          <w:b/>
          <w:i/>
          <w:color w:val="000000"/>
          <w:sz w:val="24"/>
          <w:szCs w:val="24"/>
        </w:rPr>
        <w:t>Precīzi noteiktās saistības</w:t>
      </w:r>
      <w:r w:rsidRPr="007F44D8">
        <w:rPr>
          <w:rFonts w:ascii="Times New Roman" w:hAnsi="Times New Roman"/>
          <w:color w:val="000000"/>
          <w:sz w:val="24"/>
          <w:szCs w:val="24"/>
        </w:rPr>
        <w:t xml:space="preserve"> ir valdības saistības, kuras ir noteiktas </w:t>
      </w:r>
      <w:r w:rsidR="00FA06DA" w:rsidRPr="007F44D8">
        <w:rPr>
          <w:rFonts w:ascii="Times New Roman" w:hAnsi="Times New Roman"/>
          <w:color w:val="000000"/>
          <w:sz w:val="24"/>
          <w:szCs w:val="24"/>
        </w:rPr>
        <w:t xml:space="preserve">tiesību aktos </w:t>
      </w:r>
      <w:r w:rsidRPr="007F44D8">
        <w:rPr>
          <w:rFonts w:ascii="Times New Roman" w:hAnsi="Times New Roman"/>
          <w:color w:val="000000"/>
          <w:sz w:val="24"/>
          <w:szCs w:val="24"/>
        </w:rPr>
        <w:t>vai līgumos.</w:t>
      </w:r>
    </w:p>
    <w:p w14:paraId="169998FD" w14:textId="77777777" w:rsidR="00481389" w:rsidRPr="007F44D8"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7F44D8">
        <w:rPr>
          <w:rFonts w:ascii="Times New Roman" w:hAnsi="Times New Roman"/>
          <w:b/>
          <w:i/>
          <w:color w:val="000000"/>
          <w:sz w:val="24"/>
          <w:szCs w:val="24"/>
        </w:rPr>
        <w:t>Netiešās (nosacītās) saistības</w:t>
      </w:r>
      <w:r w:rsidRPr="007F44D8">
        <w:rPr>
          <w:rFonts w:ascii="Times New Roman" w:hAnsi="Times New Roman"/>
          <w:color w:val="000000"/>
          <w:sz w:val="24"/>
          <w:szCs w:val="24"/>
        </w:rPr>
        <w:t xml:space="preserve"> ir valdības politisks/morāls pienākums vai sagaidāms slogs, kam nav juridiska seguma, bet kuru izraisa sabiedrības gaidas un politisks spiediens. Tās ir raksturīgas krīžu gadījumos.</w:t>
      </w:r>
    </w:p>
    <w:p w14:paraId="1D8EE8F2" w14:textId="77777777" w:rsidR="00953696" w:rsidRPr="007F44D8" w:rsidRDefault="00953696" w:rsidP="0028507A">
      <w:pPr>
        <w:spacing w:after="0" w:line="240" w:lineRule="auto"/>
        <w:ind w:firstLine="720"/>
        <w:jc w:val="right"/>
        <w:rPr>
          <w:rFonts w:ascii="Times New Roman" w:hAnsi="Times New Roman" w:cs="Times New Roman"/>
          <w:b/>
          <w:sz w:val="24"/>
          <w:szCs w:val="24"/>
        </w:rPr>
      </w:pPr>
    </w:p>
    <w:p w14:paraId="0E8B46E3" w14:textId="7D255BE4" w:rsidR="00953696" w:rsidRPr="007F44D8" w:rsidRDefault="00953696"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Fiskālie riski deklarācijā tiek iedalīti divās grupās: </w:t>
      </w:r>
    </w:p>
    <w:p w14:paraId="102B2412" w14:textId="77777777" w:rsidR="00953696" w:rsidRPr="007F44D8" w:rsidRDefault="00953696" w:rsidP="002467D7">
      <w:pPr>
        <w:pStyle w:val="ListParagraph"/>
        <w:numPr>
          <w:ilvl w:val="0"/>
          <w:numId w:val="11"/>
        </w:numPr>
        <w:contextualSpacing w:val="0"/>
        <w:rPr>
          <w:rFonts w:ascii="Times New Roman" w:hAnsi="Times New Roman"/>
          <w:sz w:val="24"/>
          <w:szCs w:val="24"/>
        </w:rPr>
      </w:pPr>
      <w:r w:rsidRPr="007F44D8">
        <w:rPr>
          <w:rFonts w:ascii="Times New Roman" w:hAnsi="Times New Roman"/>
          <w:i/>
          <w:iCs/>
          <w:sz w:val="24"/>
          <w:szCs w:val="24"/>
        </w:rPr>
        <w:t>kvantificējamie fiskālie riski</w:t>
      </w:r>
      <w:r w:rsidRPr="007F44D8">
        <w:rPr>
          <w:rFonts w:ascii="Times New Roman" w:hAnsi="Times New Roman"/>
          <w:sz w:val="24"/>
          <w:szCs w:val="24"/>
        </w:rPr>
        <w:t xml:space="preserve"> – fiskālie riski, kuriem ir novērtēta iestāšanās varbūtība un ietekme uz vispārējās valdības budžeta bilanci;</w:t>
      </w:r>
    </w:p>
    <w:p w14:paraId="62138374" w14:textId="77777777" w:rsidR="00953696" w:rsidRPr="007F44D8" w:rsidRDefault="00953696" w:rsidP="002467D7">
      <w:pPr>
        <w:pStyle w:val="ListParagraph"/>
        <w:numPr>
          <w:ilvl w:val="0"/>
          <w:numId w:val="11"/>
        </w:numPr>
        <w:contextualSpacing w:val="0"/>
        <w:rPr>
          <w:rFonts w:ascii="Times New Roman" w:hAnsi="Times New Roman"/>
          <w:sz w:val="24"/>
        </w:rPr>
      </w:pPr>
      <w:r w:rsidRPr="007F44D8">
        <w:rPr>
          <w:rFonts w:ascii="Times New Roman" w:hAnsi="Times New Roman"/>
          <w:i/>
          <w:iCs/>
          <w:sz w:val="24"/>
          <w:szCs w:val="24"/>
        </w:rPr>
        <w:t>nekvantificējamie fiskālie riski</w:t>
      </w:r>
      <w:r w:rsidRPr="007F44D8">
        <w:rPr>
          <w:rFonts w:ascii="Times New Roman" w:hAnsi="Times New Roman"/>
          <w:sz w:val="24"/>
          <w:szCs w:val="24"/>
        </w:rPr>
        <w:t xml:space="preserve"> – fiskālie riski, kuriem iestāšanās varbūtība un fiskālā ietekme nav novērtēta.</w:t>
      </w:r>
      <w:r w:rsidRPr="007F44D8">
        <w:rPr>
          <w:rFonts w:ascii="Times New Roman" w:hAnsi="Times New Roman"/>
          <w:sz w:val="24"/>
        </w:rPr>
        <w:t xml:space="preserve"> </w:t>
      </w:r>
    </w:p>
    <w:p w14:paraId="21A6ECD5" w14:textId="77777777" w:rsidR="00953696" w:rsidRPr="007F44D8" w:rsidRDefault="00953696" w:rsidP="002467D7">
      <w:pPr>
        <w:ind w:firstLine="720"/>
        <w:jc w:val="right"/>
        <w:rPr>
          <w:rFonts w:ascii="Times New Roman" w:hAnsi="Times New Roman" w:cs="Times New Roman"/>
          <w:b/>
          <w:sz w:val="24"/>
          <w:szCs w:val="24"/>
        </w:rPr>
      </w:pPr>
    </w:p>
    <w:p w14:paraId="1BD86C3E" w14:textId="77777777" w:rsidR="00953696" w:rsidRPr="007F44D8" w:rsidRDefault="00953696" w:rsidP="002467D7">
      <w:pPr>
        <w:ind w:firstLine="720"/>
        <w:jc w:val="right"/>
        <w:rPr>
          <w:rFonts w:ascii="Times New Roman" w:hAnsi="Times New Roman" w:cs="Times New Roman"/>
          <w:b/>
          <w:sz w:val="24"/>
          <w:szCs w:val="24"/>
        </w:rPr>
      </w:pPr>
    </w:p>
    <w:p w14:paraId="25E05910" w14:textId="77777777" w:rsidR="00A96163" w:rsidRPr="007F44D8" w:rsidRDefault="00A96163" w:rsidP="002467D7">
      <w:pPr>
        <w:ind w:firstLine="720"/>
        <w:jc w:val="right"/>
        <w:rPr>
          <w:rFonts w:ascii="Times New Roman" w:hAnsi="Times New Roman" w:cs="Times New Roman"/>
          <w:b/>
          <w:sz w:val="24"/>
          <w:szCs w:val="24"/>
        </w:rPr>
      </w:pPr>
    </w:p>
    <w:p w14:paraId="58BD373A" w14:textId="0D782902" w:rsidR="00481389" w:rsidRPr="007F44D8" w:rsidRDefault="00481389" w:rsidP="00497710">
      <w:pPr>
        <w:spacing w:line="240" w:lineRule="auto"/>
        <w:ind w:firstLine="720"/>
        <w:jc w:val="right"/>
        <w:rPr>
          <w:rFonts w:ascii="Times New Roman" w:hAnsi="Times New Roman" w:cs="Times New Roman"/>
          <w:b/>
          <w:sz w:val="24"/>
          <w:szCs w:val="24"/>
        </w:rPr>
      </w:pPr>
      <w:r w:rsidRPr="007F44D8">
        <w:rPr>
          <w:rFonts w:ascii="Times New Roman" w:hAnsi="Times New Roman" w:cs="Times New Roman"/>
          <w:b/>
          <w:sz w:val="24"/>
          <w:szCs w:val="24"/>
        </w:rPr>
        <w:t>Tabula Nr.</w:t>
      </w:r>
      <w:r w:rsidR="004A682A" w:rsidRPr="007F44D8">
        <w:rPr>
          <w:rFonts w:ascii="Times New Roman" w:hAnsi="Times New Roman" w:cs="Times New Roman"/>
          <w:b/>
          <w:sz w:val="24"/>
          <w:szCs w:val="24"/>
        </w:rPr>
        <w:t>1.2.</w:t>
      </w:r>
      <w:r w:rsidR="00786453" w:rsidRPr="007F44D8">
        <w:rPr>
          <w:rFonts w:ascii="Times New Roman" w:hAnsi="Times New Roman" w:cs="Times New Roman"/>
          <w:b/>
          <w:sz w:val="24"/>
          <w:szCs w:val="24"/>
        </w:rPr>
        <w:t>1</w:t>
      </w:r>
      <w:r w:rsidRPr="007F44D8">
        <w:rPr>
          <w:rFonts w:ascii="Times New Roman" w:hAnsi="Times New Roman" w:cs="Times New Roman"/>
          <w:b/>
          <w:sz w:val="24"/>
          <w:szCs w:val="24"/>
        </w:rPr>
        <w:t xml:space="preserve"> Fiskālo risku avotu klasifikācija</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126"/>
        <w:gridCol w:w="4565"/>
      </w:tblGrid>
      <w:tr w:rsidR="00481389" w:rsidRPr="007F44D8" w14:paraId="7FE7880B" w14:textId="77777777" w:rsidTr="00863772">
        <w:tc>
          <w:tcPr>
            <w:tcW w:w="3114" w:type="dxa"/>
            <w:shd w:val="clear" w:color="auto" w:fill="9CC2E5" w:themeFill="accent1" w:themeFillTint="99"/>
            <w:vAlign w:val="center"/>
          </w:tcPr>
          <w:p w14:paraId="6DFC8874" w14:textId="77777777" w:rsidR="00481389" w:rsidRPr="007F44D8" w:rsidRDefault="00481389" w:rsidP="002467D7">
            <w:pPr>
              <w:jc w:val="center"/>
              <w:textAlignment w:val="top"/>
              <w:rPr>
                <w:rFonts w:ascii="Times New Roman" w:hAnsi="Times New Roman" w:cs="Times New Roman"/>
                <w:b/>
                <w:i/>
              </w:rPr>
            </w:pPr>
            <w:r w:rsidRPr="007F44D8">
              <w:rPr>
                <w:rFonts w:ascii="Times New Roman" w:hAnsi="Times New Roman" w:cs="Times New Roman"/>
                <w:b/>
                <w:i/>
              </w:rPr>
              <w:t>Saistību avoti</w:t>
            </w:r>
          </w:p>
        </w:tc>
        <w:tc>
          <w:tcPr>
            <w:tcW w:w="2126" w:type="dxa"/>
            <w:shd w:val="clear" w:color="auto" w:fill="9CC2E5" w:themeFill="accent1" w:themeFillTint="99"/>
            <w:vAlign w:val="center"/>
          </w:tcPr>
          <w:p w14:paraId="0C0BC8EC" w14:textId="77777777" w:rsidR="00481389" w:rsidRPr="007F44D8" w:rsidRDefault="00481389" w:rsidP="002467D7">
            <w:pPr>
              <w:jc w:val="center"/>
              <w:textAlignment w:val="top"/>
              <w:rPr>
                <w:rFonts w:ascii="Times New Roman" w:hAnsi="Times New Roman" w:cs="Times New Roman"/>
                <w:i/>
              </w:rPr>
            </w:pPr>
            <w:r w:rsidRPr="007F44D8">
              <w:rPr>
                <w:rFonts w:ascii="Times New Roman" w:hAnsi="Times New Roman" w:cs="Times New Roman"/>
                <w:b/>
                <w:i/>
              </w:rPr>
              <w:t>Tiešās (direct) saistības</w:t>
            </w:r>
            <w:r w:rsidRPr="007F44D8">
              <w:rPr>
                <w:rFonts w:ascii="Times New Roman" w:hAnsi="Times New Roman" w:cs="Times New Roman"/>
                <w:i/>
              </w:rPr>
              <w:t xml:space="preserve"> (iestājās jebkurā gadījumā)</w:t>
            </w:r>
          </w:p>
        </w:tc>
        <w:tc>
          <w:tcPr>
            <w:tcW w:w="4565" w:type="dxa"/>
            <w:shd w:val="clear" w:color="auto" w:fill="9CC2E5" w:themeFill="accent1" w:themeFillTint="99"/>
            <w:vAlign w:val="center"/>
          </w:tcPr>
          <w:p w14:paraId="3B27C619" w14:textId="77777777" w:rsidR="00481389" w:rsidRPr="007F44D8" w:rsidRDefault="00481389" w:rsidP="002467D7">
            <w:pPr>
              <w:jc w:val="center"/>
              <w:textAlignment w:val="top"/>
              <w:rPr>
                <w:rFonts w:ascii="Times New Roman" w:hAnsi="Times New Roman" w:cs="Times New Roman"/>
                <w:i/>
              </w:rPr>
            </w:pPr>
            <w:r w:rsidRPr="007F44D8">
              <w:rPr>
                <w:rFonts w:ascii="Times New Roman" w:hAnsi="Times New Roman" w:cs="Times New Roman"/>
                <w:b/>
                <w:i/>
              </w:rPr>
              <w:t>Iespējamās (contingent) saistības</w:t>
            </w:r>
            <w:r w:rsidRPr="007F44D8">
              <w:rPr>
                <w:rFonts w:ascii="Times New Roman" w:hAnsi="Times New Roman" w:cs="Times New Roman"/>
                <w:i/>
              </w:rPr>
              <w:t xml:space="preserve"> (iestājās īpašu nākotnes notikumu rezultātā)</w:t>
            </w:r>
          </w:p>
        </w:tc>
      </w:tr>
      <w:tr w:rsidR="00481389" w:rsidRPr="007F44D8" w14:paraId="1E15C913" w14:textId="77777777" w:rsidTr="00863772">
        <w:tc>
          <w:tcPr>
            <w:tcW w:w="3114" w:type="dxa"/>
            <w:shd w:val="clear" w:color="auto" w:fill="9CC2E5" w:themeFill="accent1" w:themeFillTint="99"/>
            <w:vAlign w:val="center"/>
          </w:tcPr>
          <w:p w14:paraId="705AFB77" w14:textId="087BF1BA" w:rsidR="00481389" w:rsidRPr="007F44D8" w:rsidRDefault="06F60980" w:rsidP="00FA06DA">
            <w:pPr>
              <w:spacing w:after="60"/>
              <w:textAlignment w:val="top"/>
              <w:rPr>
                <w:rFonts w:ascii="Times New Roman" w:hAnsi="Times New Roman" w:cs="Times New Roman"/>
              </w:rPr>
            </w:pPr>
            <w:r w:rsidRPr="469479B5">
              <w:rPr>
                <w:rFonts w:ascii="Times New Roman" w:hAnsi="Times New Roman" w:cs="Times New Roman"/>
                <w:b/>
                <w:bCs/>
                <w:i/>
                <w:iCs/>
              </w:rPr>
              <w:t>Precīzi noteikt</w:t>
            </w:r>
            <w:r w:rsidR="005B24ED">
              <w:rPr>
                <w:rFonts w:ascii="Times New Roman" w:hAnsi="Times New Roman" w:cs="Times New Roman"/>
                <w:b/>
                <w:bCs/>
                <w:i/>
                <w:iCs/>
              </w:rPr>
              <w:t>ā</w:t>
            </w:r>
            <w:r w:rsidRPr="469479B5">
              <w:rPr>
                <w:rFonts w:ascii="Times New Roman" w:hAnsi="Times New Roman" w:cs="Times New Roman"/>
                <w:b/>
                <w:bCs/>
                <w:i/>
                <w:iCs/>
              </w:rPr>
              <w:t>s</w:t>
            </w:r>
            <w:r w:rsidRPr="469479B5">
              <w:rPr>
                <w:rFonts w:ascii="Times New Roman" w:hAnsi="Times New Roman" w:cs="Times New Roman"/>
              </w:rPr>
              <w:t xml:space="preserve"> (</w:t>
            </w:r>
            <w:r w:rsidRPr="469479B5">
              <w:rPr>
                <w:rFonts w:ascii="Times New Roman" w:hAnsi="Times New Roman" w:cs="Times New Roman"/>
                <w:i/>
                <w:iCs/>
              </w:rPr>
              <w:t>explicit</w:t>
            </w:r>
            <w:r w:rsidRPr="469479B5">
              <w:rPr>
                <w:rFonts w:ascii="Times New Roman" w:hAnsi="Times New Roman" w:cs="Times New Roman"/>
              </w:rPr>
              <w:t xml:space="preserve">) </w:t>
            </w:r>
            <w:r w:rsidRPr="469479B5">
              <w:rPr>
                <w:rFonts w:ascii="Times New Roman" w:hAnsi="Times New Roman" w:cs="Times New Roman"/>
                <w:b/>
                <w:bCs/>
                <w:i/>
                <w:iCs/>
              </w:rPr>
              <w:t>saistības</w:t>
            </w:r>
            <w:r w:rsidRPr="469479B5">
              <w:rPr>
                <w:rFonts w:ascii="Times New Roman" w:hAnsi="Times New Roman" w:cs="Times New Roman"/>
              </w:rPr>
              <w:t xml:space="preserve">, kas izriet no </w:t>
            </w:r>
            <w:r w:rsidR="1FD677F5" w:rsidRPr="469479B5">
              <w:rPr>
                <w:rFonts w:ascii="Times New Roman" w:hAnsi="Times New Roman" w:cs="Times New Roman"/>
              </w:rPr>
              <w:t xml:space="preserve">tiesību aktiem </w:t>
            </w:r>
            <w:r w:rsidRPr="469479B5">
              <w:rPr>
                <w:rFonts w:ascii="Times New Roman" w:hAnsi="Times New Roman" w:cs="Times New Roman"/>
              </w:rPr>
              <w:t>vai līgumiem</w:t>
            </w:r>
          </w:p>
        </w:tc>
        <w:tc>
          <w:tcPr>
            <w:tcW w:w="2126" w:type="dxa"/>
            <w:vAlign w:val="center"/>
          </w:tcPr>
          <w:p w14:paraId="6D6DEC9A" w14:textId="77777777" w:rsidR="00481389" w:rsidRPr="007F44D8"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7F44D8">
              <w:rPr>
                <w:rFonts w:ascii="Times New Roman" w:hAnsi="Times New Roman" w:cs="Times New Roman"/>
              </w:rPr>
              <w:t>valsts parādsaistības;</w:t>
            </w:r>
          </w:p>
          <w:p w14:paraId="2D1AD133" w14:textId="77777777" w:rsidR="00481389" w:rsidRPr="007F44D8"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7F44D8">
              <w:rPr>
                <w:rFonts w:ascii="Times New Roman" w:hAnsi="Times New Roman" w:cs="Times New Roman"/>
              </w:rPr>
              <w:t>ilgtermiņa saistības (pensijas un citi sociālās apdrošināšanas maksājumi u.c.).</w:t>
            </w:r>
          </w:p>
        </w:tc>
        <w:tc>
          <w:tcPr>
            <w:tcW w:w="4565" w:type="dxa"/>
            <w:vAlign w:val="center"/>
          </w:tcPr>
          <w:p w14:paraId="78D851BD" w14:textId="77777777" w:rsidR="00481389" w:rsidRPr="007F44D8"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7F44D8">
              <w:rPr>
                <w:rFonts w:ascii="Times New Roman" w:hAnsi="Times New Roman" w:cs="Times New Roman"/>
              </w:rPr>
              <w:t>valsts galvojumi, t.sk. privāto investīciju galvojumi;</w:t>
            </w:r>
          </w:p>
          <w:p w14:paraId="1DC4B30D" w14:textId="533D3E77" w:rsidR="00481389" w:rsidRPr="007F44D8" w:rsidRDefault="006375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Pr>
                <w:rFonts w:ascii="Times New Roman" w:hAnsi="Times New Roman" w:cs="Times New Roman"/>
              </w:rPr>
              <w:t>“</w:t>
            </w:r>
            <w:r w:rsidR="00481389" w:rsidRPr="007F44D8">
              <w:rPr>
                <w:rFonts w:ascii="Times New Roman" w:hAnsi="Times New Roman" w:cs="Times New Roman"/>
              </w:rPr>
              <w:t>jumta” valsts galvojumi par dažādu veidu aizdevumiem (hipotekārie aizdevumi, studējošo kreditēšana, aizdevumi lauksaimniekiem, maziem un vidējiem uzņēmējiem).</w:t>
            </w:r>
          </w:p>
        </w:tc>
      </w:tr>
      <w:tr w:rsidR="00481389" w:rsidRPr="007F44D8" w14:paraId="02E1FA6B" w14:textId="77777777" w:rsidTr="00863772">
        <w:trPr>
          <w:trHeight w:val="1370"/>
        </w:trPr>
        <w:tc>
          <w:tcPr>
            <w:tcW w:w="3114" w:type="dxa"/>
            <w:shd w:val="clear" w:color="auto" w:fill="9CC2E5" w:themeFill="accent1" w:themeFillTint="99"/>
            <w:vAlign w:val="center"/>
          </w:tcPr>
          <w:p w14:paraId="44CF9F17" w14:textId="59F61A81" w:rsidR="00481389" w:rsidRPr="007F44D8" w:rsidRDefault="06F60980" w:rsidP="002467D7">
            <w:pPr>
              <w:spacing w:after="60"/>
              <w:textAlignment w:val="top"/>
              <w:rPr>
                <w:rFonts w:ascii="Times New Roman" w:hAnsi="Times New Roman" w:cs="Times New Roman"/>
              </w:rPr>
            </w:pPr>
            <w:r w:rsidRPr="469479B5">
              <w:rPr>
                <w:rFonts w:ascii="Times New Roman" w:hAnsi="Times New Roman" w:cs="Times New Roman"/>
                <w:b/>
                <w:bCs/>
                <w:i/>
                <w:iCs/>
              </w:rPr>
              <w:t>Nosacītās (netiešas) saistības</w:t>
            </w:r>
            <w:r w:rsidRPr="469479B5">
              <w:rPr>
                <w:rFonts w:ascii="Times New Roman" w:hAnsi="Times New Roman" w:cs="Times New Roman"/>
              </w:rPr>
              <w:t xml:space="preserve"> (</w:t>
            </w:r>
            <w:r w:rsidRPr="469479B5">
              <w:rPr>
                <w:rFonts w:ascii="Times New Roman" w:hAnsi="Times New Roman" w:cs="Times New Roman"/>
                <w:i/>
                <w:iCs/>
              </w:rPr>
              <w:t>implicit</w:t>
            </w:r>
            <w:r w:rsidRPr="469479B5">
              <w:rPr>
                <w:rFonts w:ascii="Times New Roman" w:hAnsi="Times New Roman" w:cs="Times New Roman"/>
              </w:rPr>
              <w:t>) (valdības morālās saistī</w:t>
            </w:r>
            <w:r w:rsidR="03718FC6" w:rsidRPr="469479B5">
              <w:rPr>
                <w:rFonts w:ascii="Times New Roman" w:hAnsi="Times New Roman" w:cs="Times New Roman"/>
              </w:rPr>
              <w:t>bas, kuru pamatā ir sabiedrības</w:t>
            </w:r>
            <w:r w:rsidRPr="469479B5">
              <w:rPr>
                <w:rFonts w:ascii="Times New Roman" w:hAnsi="Times New Roman" w:cs="Times New Roman"/>
              </w:rPr>
              <w:t xml:space="preserve"> un interešu grupu gaidas vai spiedien</w:t>
            </w:r>
            <w:r w:rsidR="13BA090A" w:rsidRPr="469479B5">
              <w:rPr>
                <w:rFonts w:ascii="Times New Roman" w:hAnsi="Times New Roman" w:cs="Times New Roman"/>
              </w:rPr>
              <w:t>s</w:t>
            </w:r>
            <w:r w:rsidRPr="469479B5">
              <w:rPr>
                <w:rFonts w:ascii="Times New Roman" w:hAnsi="Times New Roman" w:cs="Times New Roman"/>
              </w:rPr>
              <w:t>)</w:t>
            </w:r>
          </w:p>
        </w:tc>
        <w:tc>
          <w:tcPr>
            <w:tcW w:w="2126" w:type="dxa"/>
            <w:vAlign w:val="center"/>
          </w:tcPr>
          <w:p w14:paraId="6C17103E" w14:textId="77777777" w:rsidR="00481389" w:rsidRPr="007F44D8" w:rsidRDefault="00481389" w:rsidP="002467D7">
            <w:pPr>
              <w:ind w:left="230"/>
              <w:jc w:val="both"/>
              <w:textAlignment w:val="top"/>
              <w:rPr>
                <w:rFonts w:ascii="Times New Roman" w:hAnsi="Times New Roman" w:cs="Times New Roman"/>
              </w:rPr>
            </w:pPr>
          </w:p>
        </w:tc>
        <w:tc>
          <w:tcPr>
            <w:tcW w:w="4565" w:type="dxa"/>
            <w:vAlign w:val="center"/>
          </w:tcPr>
          <w:p w14:paraId="4BD70106" w14:textId="77777777" w:rsidR="00481389" w:rsidRPr="007F44D8"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7F44D8">
              <w:rPr>
                <w:rFonts w:ascii="Times New Roman" w:hAnsi="Times New Roman" w:cs="Times New Roman"/>
              </w:rPr>
              <w:t>nodarbinātības fondu, sociālās aizsardzības fondu un citu fondu maksātnespēja;</w:t>
            </w:r>
          </w:p>
          <w:p w14:paraId="124F2F9B" w14:textId="77777777" w:rsidR="00481389" w:rsidRPr="007F44D8" w:rsidRDefault="00481389" w:rsidP="002467D7">
            <w:pPr>
              <w:numPr>
                <w:ilvl w:val="0"/>
                <w:numId w:val="9"/>
              </w:numPr>
              <w:tabs>
                <w:tab w:val="clear" w:pos="720"/>
                <w:tab w:val="num" w:pos="230"/>
              </w:tabs>
              <w:spacing w:after="0" w:line="240" w:lineRule="auto"/>
              <w:ind w:left="252" w:hanging="252"/>
              <w:jc w:val="both"/>
              <w:textAlignment w:val="top"/>
              <w:rPr>
                <w:rFonts w:ascii="Times New Roman" w:hAnsi="Times New Roman" w:cs="Times New Roman"/>
              </w:rPr>
            </w:pPr>
            <w:r w:rsidRPr="007F44D8">
              <w:rPr>
                <w:rFonts w:ascii="Times New Roman" w:hAnsi="Times New Roman" w:cs="Times New Roman"/>
              </w:rPr>
              <w:t>pašvaldību, valsts uzņēmumu, lielo privāto uzņēmumu, valsts un ārpusbudžeta aģentūru zaudējumu kompensēšana, saistību pārņemšana.</w:t>
            </w:r>
          </w:p>
        </w:tc>
      </w:tr>
    </w:tbl>
    <w:p w14:paraId="32509BAF" w14:textId="77777777" w:rsidR="00481389" w:rsidRPr="007F44D8" w:rsidRDefault="00481389" w:rsidP="002467D7">
      <w:pPr>
        <w:rPr>
          <w:rFonts w:ascii="Times New Roman" w:hAnsi="Times New Roman" w:cs="Times New Roman"/>
          <w:szCs w:val="24"/>
        </w:rPr>
      </w:pPr>
      <w:r w:rsidRPr="007F44D8">
        <w:rPr>
          <w:rFonts w:ascii="Times New Roman" w:hAnsi="Times New Roman" w:cs="Times New Roman"/>
          <w:i/>
          <w:sz w:val="20"/>
        </w:rPr>
        <w:t>Avots: Hana Polackova Brixi, (1998).</w:t>
      </w:r>
    </w:p>
    <w:p w14:paraId="6E88BD4B" w14:textId="77777777" w:rsidR="00B95E92" w:rsidRPr="00366F79" w:rsidRDefault="00B95E92" w:rsidP="00F56613">
      <w:pPr>
        <w:pStyle w:val="Heading2"/>
        <w:numPr>
          <w:ilvl w:val="1"/>
          <w:numId w:val="3"/>
        </w:numPr>
        <w:spacing w:before="120" w:after="120" w:line="240" w:lineRule="auto"/>
        <w:ind w:left="426" w:hanging="483"/>
        <w:rPr>
          <w:rFonts w:cs="Times New Roman"/>
          <w:color w:val="auto"/>
          <w:szCs w:val="24"/>
        </w:rPr>
      </w:pPr>
      <w:bookmarkStart w:id="19" w:name="_Toc405371073"/>
      <w:bookmarkStart w:id="20" w:name="_Toc536779058"/>
      <w:bookmarkStart w:id="21" w:name="_Toc205554406"/>
      <w:r w:rsidRPr="00366F79">
        <w:rPr>
          <w:rFonts w:cs="Times New Roman"/>
          <w:color w:val="auto"/>
          <w:szCs w:val="24"/>
        </w:rPr>
        <w:t>Fiskālo risku ietekmes un iestāšanās varbūtības novērtēšanas metodes</w:t>
      </w:r>
      <w:bookmarkEnd w:id="19"/>
      <w:bookmarkEnd w:id="20"/>
      <w:bookmarkEnd w:id="21"/>
    </w:p>
    <w:p w14:paraId="0ED2C7BB" w14:textId="77777777" w:rsidR="00481389" w:rsidRPr="007F44D8" w:rsidRDefault="00481389"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MK noteikumi Nr.229 nosaka fiskālo risku ietekmes un iestāšanās varbūtības noteikšanas metodes. Fiskālā ietekme fiskālo risku iestāšanās gadījumā uz vispārējās valdības budžeta bilanci, ja iespējams, tiek vērtēta kvalitatīvi. </w:t>
      </w:r>
      <w:r w:rsidRPr="00863772">
        <w:rPr>
          <w:rFonts w:ascii="Times New Roman" w:hAnsi="Times New Roman" w:cs="Times New Roman"/>
          <w:sz w:val="24"/>
          <w:szCs w:val="24"/>
          <w:u w:val="single"/>
        </w:rPr>
        <w:t xml:space="preserve">Kvalitatīvais </w:t>
      </w:r>
      <w:r w:rsidRPr="007F44D8">
        <w:rPr>
          <w:rFonts w:ascii="Times New Roman" w:hAnsi="Times New Roman" w:cs="Times New Roman"/>
          <w:sz w:val="24"/>
          <w:szCs w:val="24"/>
        </w:rPr>
        <w:t>novērtējums paredz fiskālo ietekmi novērtēt kā būtisku, vidēju vai zemu:</w:t>
      </w:r>
    </w:p>
    <w:p w14:paraId="4745108C" w14:textId="77777777" w:rsidR="00481389" w:rsidRPr="007F44D8" w:rsidRDefault="00481389" w:rsidP="002467D7">
      <w:pPr>
        <w:pStyle w:val="ListParagraph"/>
        <w:numPr>
          <w:ilvl w:val="0"/>
          <w:numId w:val="13"/>
        </w:numPr>
        <w:contextualSpacing w:val="0"/>
        <w:rPr>
          <w:rFonts w:ascii="Times New Roman" w:hAnsi="Times New Roman"/>
          <w:sz w:val="24"/>
          <w:szCs w:val="24"/>
        </w:rPr>
      </w:pPr>
      <w:r w:rsidRPr="007F44D8">
        <w:rPr>
          <w:rFonts w:ascii="Times New Roman" w:hAnsi="Times New Roman"/>
          <w:sz w:val="24"/>
          <w:szCs w:val="24"/>
        </w:rPr>
        <w:t>būtiska fiskālā ietekme tiek paredzēta tādā gadījumā, ja ietekme uz vispārējās valdības budžeta bilanci pārsniedz 0,5% no IKP;</w:t>
      </w:r>
    </w:p>
    <w:p w14:paraId="3F98ACDE" w14:textId="77777777" w:rsidR="00481389" w:rsidRPr="007F44D8" w:rsidRDefault="00481389" w:rsidP="002467D7">
      <w:pPr>
        <w:pStyle w:val="ListParagraph"/>
        <w:numPr>
          <w:ilvl w:val="0"/>
          <w:numId w:val="13"/>
        </w:numPr>
        <w:contextualSpacing w:val="0"/>
        <w:rPr>
          <w:rFonts w:ascii="Times New Roman" w:hAnsi="Times New Roman"/>
          <w:sz w:val="24"/>
          <w:szCs w:val="24"/>
        </w:rPr>
      </w:pPr>
      <w:r w:rsidRPr="007F44D8">
        <w:rPr>
          <w:rFonts w:ascii="Times New Roman" w:hAnsi="Times New Roman"/>
          <w:sz w:val="24"/>
          <w:szCs w:val="24"/>
        </w:rPr>
        <w:t>vidēja fiskālā ietekme – ja ietekme uz vispārējās valdības budžeta bilanci ir robežās no 0,01 līdz 0,5% no IKP;</w:t>
      </w:r>
    </w:p>
    <w:p w14:paraId="5F2C8A9A" w14:textId="77777777" w:rsidR="00481389" w:rsidRPr="007F44D8" w:rsidRDefault="00481389" w:rsidP="002467D7">
      <w:pPr>
        <w:pStyle w:val="ListParagraph"/>
        <w:numPr>
          <w:ilvl w:val="0"/>
          <w:numId w:val="13"/>
        </w:numPr>
        <w:contextualSpacing w:val="0"/>
        <w:rPr>
          <w:rFonts w:ascii="Times New Roman" w:hAnsi="Times New Roman"/>
          <w:sz w:val="24"/>
          <w:szCs w:val="24"/>
        </w:rPr>
      </w:pPr>
      <w:r w:rsidRPr="007F44D8">
        <w:rPr>
          <w:rFonts w:ascii="Times New Roman" w:hAnsi="Times New Roman"/>
          <w:sz w:val="24"/>
          <w:szCs w:val="24"/>
        </w:rPr>
        <w:t>zema fiskālā ietekme – ja ietekme uz vispārējās valdības budžeta bilanci nepārsniedz 0,01% no IKP.</w:t>
      </w:r>
    </w:p>
    <w:p w14:paraId="4ACE1A80" w14:textId="77777777" w:rsidR="00481389" w:rsidRPr="007F44D8" w:rsidRDefault="00481389"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Vienlaikus, ja iespējams, tad fiskālā ietekme tiek vērtēta </w:t>
      </w:r>
      <w:r w:rsidRPr="00863772">
        <w:rPr>
          <w:rFonts w:ascii="Times New Roman" w:hAnsi="Times New Roman" w:cs="Times New Roman"/>
          <w:sz w:val="24"/>
          <w:szCs w:val="24"/>
          <w:u w:val="single"/>
        </w:rPr>
        <w:t>kvantitatīvi</w:t>
      </w:r>
      <w:r w:rsidRPr="007F44D8">
        <w:rPr>
          <w:rFonts w:ascii="Times New Roman" w:hAnsi="Times New Roman" w:cs="Times New Roman"/>
          <w:sz w:val="24"/>
          <w:szCs w:val="24"/>
        </w:rPr>
        <w:t xml:space="preserve"> procentos no IKP, izvērtējot specifisko fiskālo risku vadības iestāžu sagatavotos fiskālo risku vadības ziņojumus. Fiskālās ietekmes kvantitatīvais novērtējums tiek veikts, ja novērtējumu var veikt ar šādu precizitāti: </w:t>
      </w:r>
    </w:p>
    <w:p w14:paraId="5FDB7132" w14:textId="77777777" w:rsidR="00481389" w:rsidRPr="007F44D8" w:rsidRDefault="00481389" w:rsidP="002467D7">
      <w:pPr>
        <w:pStyle w:val="ListParagraph"/>
        <w:numPr>
          <w:ilvl w:val="0"/>
          <w:numId w:val="12"/>
        </w:numPr>
        <w:contextualSpacing w:val="0"/>
        <w:rPr>
          <w:rFonts w:ascii="Times New Roman" w:hAnsi="Times New Roman"/>
          <w:sz w:val="24"/>
          <w:szCs w:val="24"/>
        </w:rPr>
      </w:pPr>
      <w:r w:rsidRPr="007F44D8">
        <w:rPr>
          <w:rFonts w:ascii="Times New Roman" w:eastAsiaTheme="minorHAnsi" w:hAnsi="Times New Roman"/>
          <w:sz w:val="24"/>
          <w:szCs w:val="24"/>
        </w:rPr>
        <w:t>fiskāliem riskiem ar fiskālo ietekmi zem 0,1% no IKP, ja novērtējuma kļūda nepārsniedz 0,01 procentpunktu;</w:t>
      </w:r>
    </w:p>
    <w:p w14:paraId="00927D0F" w14:textId="77777777" w:rsidR="00481389" w:rsidRPr="007F44D8" w:rsidRDefault="00481389" w:rsidP="002467D7">
      <w:pPr>
        <w:pStyle w:val="ListParagraph"/>
        <w:numPr>
          <w:ilvl w:val="0"/>
          <w:numId w:val="12"/>
        </w:numPr>
        <w:contextualSpacing w:val="0"/>
        <w:rPr>
          <w:rFonts w:ascii="Times New Roman" w:hAnsi="Times New Roman"/>
          <w:sz w:val="24"/>
          <w:szCs w:val="24"/>
        </w:rPr>
      </w:pPr>
      <w:r w:rsidRPr="007F44D8">
        <w:rPr>
          <w:rFonts w:ascii="Times New Roman" w:hAnsi="Times New Roman"/>
          <w:sz w:val="24"/>
          <w:szCs w:val="24"/>
        </w:rPr>
        <w:t xml:space="preserve">fiskāliem riskiem ar fiskālo ietekmi robežās no 0,1% līdz 1% no IKP, </w:t>
      </w:r>
      <w:r w:rsidRPr="007F44D8">
        <w:rPr>
          <w:rFonts w:ascii="Times New Roman" w:eastAsiaTheme="minorHAnsi" w:hAnsi="Times New Roman"/>
          <w:sz w:val="24"/>
          <w:szCs w:val="24"/>
        </w:rPr>
        <w:t>ja novērtējuma kļūda nepārsniedz 0,1 procentpunktu</w:t>
      </w:r>
      <w:r w:rsidRPr="007F44D8">
        <w:rPr>
          <w:rFonts w:ascii="Times New Roman" w:hAnsi="Times New Roman"/>
          <w:sz w:val="24"/>
          <w:szCs w:val="24"/>
        </w:rPr>
        <w:t>;</w:t>
      </w:r>
    </w:p>
    <w:p w14:paraId="0ED45F86" w14:textId="77777777" w:rsidR="00481389" w:rsidRPr="007F44D8" w:rsidRDefault="00481389" w:rsidP="002467D7">
      <w:pPr>
        <w:pStyle w:val="ListParagraph"/>
        <w:numPr>
          <w:ilvl w:val="0"/>
          <w:numId w:val="12"/>
        </w:numPr>
        <w:contextualSpacing w:val="0"/>
        <w:rPr>
          <w:rFonts w:ascii="Times New Roman" w:hAnsi="Times New Roman"/>
          <w:sz w:val="24"/>
          <w:szCs w:val="24"/>
        </w:rPr>
      </w:pPr>
      <w:r w:rsidRPr="007F44D8">
        <w:rPr>
          <w:rFonts w:ascii="Times New Roman" w:hAnsi="Times New Roman"/>
          <w:sz w:val="24"/>
          <w:szCs w:val="24"/>
        </w:rPr>
        <w:t xml:space="preserve">fiskāliem riskiem ar fiskālo ietekmi 1% no IKP un vairāk, </w:t>
      </w:r>
      <w:r w:rsidRPr="007F44D8">
        <w:rPr>
          <w:rFonts w:ascii="Times New Roman" w:eastAsiaTheme="minorHAnsi" w:hAnsi="Times New Roman"/>
          <w:sz w:val="24"/>
          <w:szCs w:val="24"/>
        </w:rPr>
        <w:t>ja novērtējuma kļūda nepārsniedz 1 procentpunktu</w:t>
      </w:r>
      <w:r w:rsidRPr="007F44D8">
        <w:rPr>
          <w:rFonts w:ascii="Times New Roman" w:hAnsi="Times New Roman"/>
          <w:sz w:val="24"/>
          <w:szCs w:val="24"/>
        </w:rPr>
        <w:t>.</w:t>
      </w:r>
    </w:p>
    <w:p w14:paraId="04615E91" w14:textId="77777777" w:rsidR="00481389" w:rsidRPr="007F44D8" w:rsidRDefault="00481389"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Fiskālā riska iestāšanās varbūtība tiek novērtēta 5 punktu skalā. Iestāšanās varbūtību nosaka paliekošajam riskam, tas ir, ņemot vērā jau pastāvošos fiskālo risku mazināšanas pasākumus.</w:t>
      </w:r>
    </w:p>
    <w:p w14:paraId="26759936" w14:textId="49CEDC74" w:rsidR="00481389" w:rsidRPr="007F44D8" w:rsidRDefault="00481389" w:rsidP="00497710">
      <w:pPr>
        <w:spacing w:before="240" w:line="240" w:lineRule="auto"/>
        <w:ind w:firstLine="720"/>
        <w:jc w:val="right"/>
        <w:rPr>
          <w:rFonts w:ascii="Times New Roman" w:hAnsi="Times New Roman" w:cs="Times New Roman"/>
          <w:b/>
          <w:sz w:val="24"/>
          <w:szCs w:val="24"/>
        </w:rPr>
      </w:pPr>
      <w:r w:rsidRPr="007F44D8">
        <w:rPr>
          <w:rFonts w:ascii="Times New Roman" w:hAnsi="Times New Roman" w:cs="Times New Roman"/>
          <w:b/>
          <w:sz w:val="24"/>
          <w:szCs w:val="24"/>
        </w:rPr>
        <w:t>Tabula Nr.</w:t>
      </w:r>
      <w:r w:rsidR="004A682A" w:rsidRPr="007F44D8">
        <w:rPr>
          <w:rFonts w:ascii="Times New Roman" w:hAnsi="Times New Roman" w:cs="Times New Roman"/>
          <w:b/>
          <w:sz w:val="24"/>
          <w:szCs w:val="24"/>
        </w:rPr>
        <w:t>1.3.1</w:t>
      </w:r>
      <w:r w:rsidRPr="007F44D8">
        <w:rPr>
          <w:rFonts w:ascii="Times New Roman" w:hAnsi="Times New Roman" w:cs="Times New Roman"/>
          <w:b/>
          <w:sz w:val="24"/>
          <w:szCs w:val="24"/>
        </w:rPr>
        <w:t xml:space="preserve"> Iestāšanās varbūtības novērtēšanas metodoloģija</w:t>
      </w:r>
    </w:p>
    <w:tbl>
      <w:tblPr>
        <w:tblStyle w:val="TableGrid"/>
        <w:tblW w:w="3828" w:type="pct"/>
        <w:jc w:val="center"/>
        <w:tblLook w:val="04A0" w:firstRow="1" w:lastRow="0" w:firstColumn="1" w:lastColumn="0" w:noHBand="0" w:noVBand="1"/>
      </w:tblPr>
      <w:tblGrid>
        <w:gridCol w:w="3794"/>
        <w:gridCol w:w="3794"/>
      </w:tblGrid>
      <w:tr w:rsidR="00481389" w:rsidRPr="007F44D8" w14:paraId="00FBBE0E" w14:textId="77777777" w:rsidTr="00863772">
        <w:trPr>
          <w:trHeight w:val="231"/>
          <w:jc w:val="center"/>
        </w:trPr>
        <w:tc>
          <w:tcPr>
            <w:tcW w:w="3794" w:type="dxa"/>
            <w:shd w:val="clear" w:color="auto" w:fill="9CC2E5" w:themeFill="accent1" w:themeFillTint="99"/>
          </w:tcPr>
          <w:p w14:paraId="0883751D" w14:textId="77777777" w:rsidR="00481389" w:rsidRPr="00940337" w:rsidRDefault="06F60980" w:rsidP="469479B5">
            <w:pPr>
              <w:jc w:val="center"/>
              <w:rPr>
                <w:rFonts w:eastAsia="Times New Roman" w:cs="Times New Roman"/>
                <w:b/>
                <w:bCs/>
                <w:sz w:val="22"/>
              </w:rPr>
            </w:pPr>
            <w:r w:rsidRPr="00940337">
              <w:rPr>
                <w:rFonts w:eastAsia="Times New Roman" w:cs="Times New Roman"/>
                <w:b/>
                <w:bCs/>
              </w:rPr>
              <w:t>Iestāšanās varbūtības novērtējums</w:t>
            </w:r>
          </w:p>
        </w:tc>
        <w:tc>
          <w:tcPr>
            <w:tcW w:w="3794" w:type="dxa"/>
            <w:shd w:val="clear" w:color="auto" w:fill="9CC2E5" w:themeFill="accent1" w:themeFillTint="99"/>
          </w:tcPr>
          <w:p w14:paraId="3630961E" w14:textId="77777777" w:rsidR="00481389" w:rsidRPr="00940337" w:rsidRDefault="06F60980" w:rsidP="469479B5">
            <w:pPr>
              <w:jc w:val="center"/>
              <w:rPr>
                <w:rFonts w:eastAsia="Times New Roman" w:cs="Times New Roman"/>
                <w:b/>
                <w:bCs/>
                <w:sz w:val="22"/>
              </w:rPr>
            </w:pPr>
            <w:r w:rsidRPr="00940337">
              <w:rPr>
                <w:rFonts w:eastAsia="Times New Roman" w:cs="Times New Roman"/>
                <w:b/>
                <w:bCs/>
              </w:rPr>
              <w:t>Iestāšanās varbūtība</w:t>
            </w:r>
          </w:p>
        </w:tc>
      </w:tr>
      <w:tr w:rsidR="00481389" w:rsidRPr="007F44D8" w14:paraId="3EC6B100" w14:textId="77777777" w:rsidTr="00863772">
        <w:trPr>
          <w:trHeight w:val="222"/>
          <w:jc w:val="center"/>
        </w:trPr>
        <w:tc>
          <w:tcPr>
            <w:tcW w:w="3794" w:type="dxa"/>
          </w:tcPr>
          <w:p w14:paraId="54B6BCE8" w14:textId="77777777" w:rsidR="00481389" w:rsidRPr="00940337" w:rsidRDefault="06F60980" w:rsidP="469479B5">
            <w:pPr>
              <w:jc w:val="center"/>
              <w:rPr>
                <w:rFonts w:eastAsia="Times New Roman" w:cs="Times New Roman"/>
                <w:sz w:val="22"/>
              </w:rPr>
            </w:pPr>
            <w:r w:rsidRPr="00940337">
              <w:rPr>
                <w:rFonts w:eastAsia="Times New Roman" w:cs="Times New Roman"/>
              </w:rPr>
              <w:t>1</w:t>
            </w:r>
          </w:p>
        </w:tc>
        <w:tc>
          <w:tcPr>
            <w:tcW w:w="3794" w:type="dxa"/>
            <w:vAlign w:val="center"/>
          </w:tcPr>
          <w:p w14:paraId="0179F55D" w14:textId="77777777" w:rsidR="00481389" w:rsidRPr="00940337" w:rsidRDefault="06F60980" w:rsidP="00635592">
            <w:pPr>
              <w:jc w:val="center"/>
              <w:rPr>
                <w:rFonts w:eastAsia="Times New Roman" w:cs="Times New Roman"/>
                <w:sz w:val="22"/>
              </w:rPr>
            </w:pPr>
            <w:r w:rsidRPr="00940337">
              <w:rPr>
                <w:rFonts w:eastAsia="Times New Roman" w:cs="Times New Roman"/>
              </w:rPr>
              <w:t>ir tuvāka 0%</w:t>
            </w:r>
          </w:p>
        </w:tc>
      </w:tr>
      <w:tr w:rsidR="00481389" w:rsidRPr="007F44D8" w14:paraId="7A00D797" w14:textId="77777777" w:rsidTr="00863772">
        <w:trPr>
          <w:trHeight w:val="231"/>
          <w:jc w:val="center"/>
        </w:trPr>
        <w:tc>
          <w:tcPr>
            <w:tcW w:w="3794" w:type="dxa"/>
          </w:tcPr>
          <w:p w14:paraId="67811A06" w14:textId="77777777" w:rsidR="00481389" w:rsidRPr="00940337" w:rsidRDefault="06F60980" w:rsidP="469479B5">
            <w:pPr>
              <w:jc w:val="center"/>
              <w:rPr>
                <w:rFonts w:eastAsia="Times New Roman" w:cs="Times New Roman"/>
                <w:sz w:val="22"/>
              </w:rPr>
            </w:pPr>
            <w:r w:rsidRPr="00940337">
              <w:rPr>
                <w:rFonts w:eastAsia="Times New Roman" w:cs="Times New Roman"/>
              </w:rPr>
              <w:t>2</w:t>
            </w:r>
          </w:p>
        </w:tc>
        <w:tc>
          <w:tcPr>
            <w:tcW w:w="3794" w:type="dxa"/>
            <w:vAlign w:val="center"/>
          </w:tcPr>
          <w:p w14:paraId="5ED0595B" w14:textId="77777777" w:rsidR="00481389" w:rsidRPr="00940337" w:rsidRDefault="06F60980" w:rsidP="00635592">
            <w:pPr>
              <w:jc w:val="center"/>
              <w:rPr>
                <w:rFonts w:eastAsia="Times New Roman" w:cs="Times New Roman"/>
                <w:sz w:val="22"/>
              </w:rPr>
            </w:pPr>
            <w:r w:rsidRPr="00940337">
              <w:rPr>
                <w:rFonts w:eastAsia="Times New Roman" w:cs="Times New Roman"/>
              </w:rPr>
              <w:t>ir tuvāka 10%</w:t>
            </w:r>
          </w:p>
        </w:tc>
      </w:tr>
      <w:tr w:rsidR="00481389" w:rsidRPr="007F44D8" w14:paraId="1F6C943F" w14:textId="77777777" w:rsidTr="00863772">
        <w:trPr>
          <w:trHeight w:val="222"/>
          <w:jc w:val="center"/>
        </w:trPr>
        <w:tc>
          <w:tcPr>
            <w:tcW w:w="3794" w:type="dxa"/>
          </w:tcPr>
          <w:p w14:paraId="0D5BAC67" w14:textId="77777777" w:rsidR="00481389" w:rsidRPr="00940337" w:rsidRDefault="06F60980" w:rsidP="469479B5">
            <w:pPr>
              <w:jc w:val="center"/>
              <w:rPr>
                <w:rFonts w:eastAsia="Times New Roman" w:cs="Times New Roman"/>
                <w:sz w:val="22"/>
              </w:rPr>
            </w:pPr>
            <w:r w:rsidRPr="00940337">
              <w:rPr>
                <w:rFonts w:eastAsia="Times New Roman" w:cs="Times New Roman"/>
              </w:rPr>
              <w:t>3</w:t>
            </w:r>
          </w:p>
        </w:tc>
        <w:tc>
          <w:tcPr>
            <w:tcW w:w="3794" w:type="dxa"/>
            <w:vAlign w:val="center"/>
          </w:tcPr>
          <w:p w14:paraId="10F1984E" w14:textId="77777777" w:rsidR="00481389" w:rsidRPr="00940337" w:rsidRDefault="06F60980" w:rsidP="00635592">
            <w:pPr>
              <w:jc w:val="center"/>
              <w:rPr>
                <w:rFonts w:eastAsia="Times New Roman" w:cs="Times New Roman"/>
                <w:sz w:val="22"/>
              </w:rPr>
            </w:pPr>
            <w:r w:rsidRPr="00940337">
              <w:rPr>
                <w:rFonts w:eastAsia="Times New Roman" w:cs="Times New Roman"/>
              </w:rPr>
              <w:t>ir tuvāka 30%</w:t>
            </w:r>
          </w:p>
        </w:tc>
      </w:tr>
      <w:tr w:rsidR="00481389" w:rsidRPr="007F44D8" w14:paraId="2C5B222F" w14:textId="77777777" w:rsidTr="00863772">
        <w:trPr>
          <w:trHeight w:val="231"/>
          <w:jc w:val="center"/>
        </w:trPr>
        <w:tc>
          <w:tcPr>
            <w:tcW w:w="3794" w:type="dxa"/>
          </w:tcPr>
          <w:p w14:paraId="237FF94C" w14:textId="77777777" w:rsidR="00481389" w:rsidRPr="00940337" w:rsidRDefault="06F60980" w:rsidP="469479B5">
            <w:pPr>
              <w:jc w:val="center"/>
              <w:rPr>
                <w:rFonts w:eastAsia="Times New Roman" w:cs="Times New Roman"/>
                <w:sz w:val="22"/>
              </w:rPr>
            </w:pPr>
            <w:r w:rsidRPr="00940337">
              <w:rPr>
                <w:rFonts w:eastAsia="Times New Roman" w:cs="Times New Roman"/>
              </w:rPr>
              <w:t>4</w:t>
            </w:r>
          </w:p>
        </w:tc>
        <w:tc>
          <w:tcPr>
            <w:tcW w:w="3794" w:type="dxa"/>
            <w:vAlign w:val="center"/>
          </w:tcPr>
          <w:p w14:paraId="7F8BAC3A" w14:textId="77777777" w:rsidR="00481389" w:rsidRPr="00940337" w:rsidRDefault="06F60980" w:rsidP="00635592">
            <w:pPr>
              <w:jc w:val="center"/>
              <w:rPr>
                <w:rFonts w:eastAsia="Times New Roman" w:cs="Times New Roman"/>
                <w:sz w:val="22"/>
              </w:rPr>
            </w:pPr>
            <w:r w:rsidRPr="00940337">
              <w:rPr>
                <w:rFonts w:eastAsia="Times New Roman" w:cs="Times New Roman"/>
              </w:rPr>
              <w:t>ir tuvāka 60%</w:t>
            </w:r>
          </w:p>
        </w:tc>
      </w:tr>
      <w:tr w:rsidR="00481389" w:rsidRPr="007F44D8" w14:paraId="0E2DD9DA" w14:textId="77777777" w:rsidTr="00863772">
        <w:trPr>
          <w:trHeight w:val="231"/>
          <w:jc w:val="center"/>
        </w:trPr>
        <w:tc>
          <w:tcPr>
            <w:tcW w:w="3794" w:type="dxa"/>
          </w:tcPr>
          <w:p w14:paraId="3F3B3B51" w14:textId="77777777" w:rsidR="00481389" w:rsidRPr="00940337" w:rsidRDefault="06F60980" w:rsidP="469479B5">
            <w:pPr>
              <w:jc w:val="center"/>
              <w:rPr>
                <w:rFonts w:eastAsia="Times New Roman" w:cs="Times New Roman"/>
                <w:sz w:val="22"/>
              </w:rPr>
            </w:pPr>
            <w:r w:rsidRPr="00940337">
              <w:rPr>
                <w:rFonts w:eastAsia="Times New Roman" w:cs="Times New Roman"/>
              </w:rPr>
              <w:t>5</w:t>
            </w:r>
          </w:p>
        </w:tc>
        <w:tc>
          <w:tcPr>
            <w:tcW w:w="3794" w:type="dxa"/>
            <w:vAlign w:val="center"/>
          </w:tcPr>
          <w:p w14:paraId="5E5F6EE3" w14:textId="77777777" w:rsidR="00481389" w:rsidRPr="00940337" w:rsidRDefault="06F60980" w:rsidP="00635592">
            <w:pPr>
              <w:jc w:val="center"/>
              <w:rPr>
                <w:rFonts w:eastAsia="Times New Roman" w:cs="Times New Roman"/>
                <w:sz w:val="22"/>
              </w:rPr>
            </w:pPr>
            <w:r w:rsidRPr="00940337">
              <w:rPr>
                <w:rFonts w:eastAsia="Times New Roman" w:cs="Times New Roman"/>
              </w:rPr>
              <w:t>ir tuvāka 100%</w:t>
            </w:r>
          </w:p>
        </w:tc>
      </w:tr>
    </w:tbl>
    <w:p w14:paraId="100B3C71" w14:textId="2B82C1DC" w:rsidR="00481389" w:rsidRPr="007F44D8" w:rsidRDefault="00481389" w:rsidP="000D02B5">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Fiskālos riskus, kuru iestāšanās varbūtība ir tuva 100% un tiek novērtēta ar koeficientu 5, iekļauj </w:t>
      </w:r>
      <w:r w:rsidR="003235C5" w:rsidRPr="007F44D8">
        <w:rPr>
          <w:rFonts w:ascii="Times New Roman" w:hAnsi="Times New Roman" w:cs="Times New Roman"/>
          <w:sz w:val="24"/>
          <w:szCs w:val="24"/>
        </w:rPr>
        <w:t>budžeta ietvarā</w:t>
      </w:r>
      <w:r w:rsidRPr="007F44D8">
        <w:rPr>
          <w:rFonts w:ascii="Times New Roman" w:hAnsi="Times New Roman" w:cs="Times New Roman"/>
          <w:sz w:val="24"/>
          <w:szCs w:val="24"/>
        </w:rPr>
        <w:t xml:space="preserve"> kā plānojamus (paredzamus) pasākumus</w:t>
      </w:r>
      <w:r w:rsidR="00372A67">
        <w:rPr>
          <w:rFonts w:ascii="Times New Roman" w:hAnsi="Times New Roman" w:cs="Times New Roman"/>
          <w:sz w:val="24"/>
          <w:szCs w:val="24"/>
        </w:rPr>
        <w:t>.</w:t>
      </w:r>
    </w:p>
    <w:p w14:paraId="59DB61B6" w14:textId="69557BEF" w:rsidR="008E31F7" w:rsidRPr="007F44D8" w:rsidRDefault="00481389" w:rsidP="000D02B5">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Novērtējot fiskālos riskus pēc to būtības, FM fiskālo risku vadībā ir ieviesusi terminu </w:t>
      </w:r>
      <w:r w:rsidR="003707F3">
        <w:rPr>
          <w:rFonts w:ascii="Times New Roman" w:hAnsi="Times New Roman" w:cs="Times New Roman"/>
          <w:sz w:val="24"/>
          <w:szCs w:val="24"/>
        </w:rPr>
        <w:t>“</w:t>
      </w:r>
      <w:r w:rsidRPr="007F44D8">
        <w:rPr>
          <w:rFonts w:ascii="Times New Roman" w:hAnsi="Times New Roman" w:cs="Times New Roman"/>
          <w:i/>
          <w:iCs/>
          <w:sz w:val="24"/>
          <w:szCs w:val="24"/>
        </w:rPr>
        <w:t>simetrisks fiskālais risks</w:t>
      </w:r>
      <w:r w:rsidRPr="007F44D8">
        <w:rPr>
          <w:rFonts w:ascii="Times New Roman" w:hAnsi="Times New Roman" w:cs="Times New Roman"/>
          <w:sz w:val="24"/>
          <w:szCs w:val="24"/>
        </w:rPr>
        <w:t>”. Tas nozīmē, ka pastāv vienāda varbūtība, ka konkrētā fiskālā rādītāja faktiskais rezultāts var būt gan lielāks, gan mazāks nekā tika iepriekš prognozēts un novirzes amplitūda abos virz</w:t>
      </w:r>
      <w:r w:rsidR="00974C98" w:rsidRPr="007F44D8">
        <w:rPr>
          <w:rFonts w:ascii="Times New Roman" w:hAnsi="Times New Roman" w:cs="Times New Roman"/>
          <w:sz w:val="24"/>
          <w:szCs w:val="24"/>
        </w:rPr>
        <w:t xml:space="preserve">ienos ir līdzīga. </w:t>
      </w:r>
      <w:r w:rsidRPr="007F44D8">
        <w:rPr>
          <w:rFonts w:ascii="Times New Roman" w:hAnsi="Times New Roman" w:cs="Times New Roman"/>
          <w:sz w:val="24"/>
          <w:szCs w:val="24"/>
        </w:rPr>
        <w:t xml:space="preserve">Simetriskajam riskam varbūtība, </w:t>
      </w:r>
      <w:r w:rsidR="008E31F7" w:rsidRPr="007F44D8">
        <w:rPr>
          <w:rFonts w:ascii="Times New Roman" w:hAnsi="Times New Roman" w:cs="Times New Roman"/>
          <w:sz w:val="24"/>
          <w:szCs w:val="24"/>
        </w:rPr>
        <w:t xml:space="preserve">ka fiskālais rādītājs ietekmēs budžeta deficītu, to palielinot, ir </w:t>
      </w:r>
      <w:r w:rsidR="002B5920" w:rsidRPr="007F44D8">
        <w:rPr>
          <w:rFonts w:ascii="Times New Roman" w:hAnsi="Times New Roman" w:cs="Times New Roman"/>
          <w:sz w:val="24"/>
          <w:szCs w:val="24"/>
        </w:rPr>
        <w:t xml:space="preserve">tuvu </w:t>
      </w:r>
      <w:r w:rsidR="008E31F7" w:rsidRPr="007F44D8">
        <w:rPr>
          <w:rFonts w:ascii="Times New Roman" w:hAnsi="Times New Roman" w:cs="Times New Roman"/>
          <w:sz w:val="24"/>
          <w:szCs w:val="24"/>
        </w:rPr>
        <w:t>50% un varbūtība, ka fiskālais rādītājs ietekmēs budžeta deficītu, to samazinot, arī ir</w:t>
      </w:r>
      <w:r w:rsidR="002B5920" w:rsidRPr="007F44D8">
        <w:rPr>
          <w:rFonts w:ascii="Times New Roman" w:hAnsi="Times New Roman" w:cs="Times New Roman"/>
          <w:sz w:val="24"/>
          <w:szCs w:val="24"/>
        </w:rPr>
        <w:t xml:space="preserve"> tuva</w:t>
      </w:r>
      <w:r w:rsidR="008E31F7" w:rsidRPr="007F44D8">
        <w:rPr>
          <w:rFonts w:ascii="Times New Roman" w:hAnsi="Times New Roman" w:cs="Times New Roman"/>
          <w:sz w:val="24"/>
          <w:szCs w:val="24"/>
        </w:rPr>
        <w:t xml:space="preserve"> 50%. Tas nozīmē, ka simetriskajam fiskālajam riskam ietekme ilgtermiņā ir tuva nullei, jo novirzes ilgākā periodā kompensēs viena otru.</w:t>
      </w:r>
    </w:p>
    <w:p w14:paraId="03488022" w14:textId="2A5AC105" w:rsidR="00481389" w:rsidRPr="00C11D35" w:rsidRDefault="00481389" w:rsidP="000D02B5">
      <w:pPr>
        <w:spacing w:after="0" w:line="240" w:lineRule="auto"/>
        <w:ind w:firstLine="720"/>
        <w:jc w:val="both"/>
        <w:rPr>
          <w:rFonts w:ascii="Times New Roman" w:hAnsi="Times New Roman" w:cs="Times New Roman"/>
          <w:sz w:val="24"/>
          <w:szCs w:val="24"/>
        </w:rPr>
      </w:pPr>
      <w:r w:rsidRPr="00C11D35">
        <w:rPr>
          <w:rFonts w:ascii="Times New Roman" w:hAnsi="Times New Roman" w:cs="Times New Roman"/>
          <w:sz w:val="24"/>
          <w:szCs w:val="24"/>
        </w:rPr>
        <w:t xml:space="preserve">Simetrisko fiskālo risku īpatnība ir tā, ka tie vienmēr iestājas, jo fiskālā rādītāja rezultāts nekad precīzi nesakrīt ar tā prognozēto vērtību. Tomēr, tā kā ilgākā laika periodā novirzes kompensē viena otru, tie </w:t>
      </w:r>
      <w:r w:rsidR="00214D26" w:rsidRPr="00C11D35">
        <w:rPr>
          <w:rFonts w:ascii="Times New Roman" w:hAnsi="Times New Roman" w:cs="Times New Roman"/>
          <w:sz w:val="24"/>
          <w:szCs w:val="24"/>
        </w:rPr>
        <w:t>neapdraud</w:t>
      </w:r>
      <w:r w:rsidRPr="00C11D35">
        <w:rPr>
          <w:rFonts w:ascii="Times New Roman" w:hAnsi="Times New Roman" w:cs="Times New Roman"/>
          <w:sz w:val="24"/>
          <w:szCs w:val="24"/>
        </w:rPr>
        <w:t xml:space="preserve"> publisko finanšu ilgtspēj</w:t>
      </w:r>
      <w:r w:rsidR="00214D26" w:rsidRPr="00C11D35">
        <w:rPr>
          <w:rFonts w:ascii="Times New Roman" w:hAnsi="Times New Roman" w:cs="Times New Roman"/>
          <w:sz w:val="24"/>
          <w:szCs w:val="24"/>
        </w:rPr>
        <w:t>u</w:t>
      </w:r>
      <w:r w:rsidRPr="00C11D35">
        <w:rPr>
          <w:rFonts w:ascii="Times New Roman" w:hAnsi="Times New Roman" w:cs="Times New Roman"/>
          <w:sz w:val="24"/>
          <w:szCs w:val="24"/>
        </w:rPr>
        <w:t xml:space="preserve"> un fiskālā nodrošinājuma rezervi šiem riskiem neveido.</w:t>
      </w:r>
    </w:p>
    <w:p w14:paraId="0F6845B0" w14:textId="5E372F1C" w:rsidR="002F17DB" w:rsidRPr="00C11D35" w:rsidRDefault="403CEC44" w:rsidP="002F17DB">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Šajā gadījumā būtisks jautājums ir par to, kā konstatēt riska simetriskumu. Vien</w:t>
      </w:r>
      <w:r w:rsidR="74B87135" w:rsidRPr="469479B5">
        <w:rPr>
          <w:rFonts w:ascii="Times New Roman" w:hAnsi="Times New Roman" w:cs="Times New Roman"/>
          <w:sz w:val="24"/>
          <w:szCs w:val="24"/>
        </w:rPr>
        <w:t>a</w:t>
      </w:r>
      <w:r w:rsidRPr="469479B5">
        <w:rPr>
          <w:rFonts w:ascii="Times New Roman" w:hAnsi="Times New Roman" w:cs="Times New Roman"/>
          <w:sz w:val="24"/>
          <w:szCs w:val="24"/>
        </w:rPr>
        <w:t xml:space="preserve"> </w:t>
      </w:r>
      <w:r w:rsidR="14596B52" w:rsidRPr="469479B5">
        <w:rPr>
          <w:rFonts w:ascii="Times New Roman" w:hAnsi="Times New Roman" w:cs="Times New Roman"/>
          <w:sz w:val="24"/>
          <w:szCs w:val="24"/>
        </w:rPr>
        <w:t>metode</w:t>
      </w:r>
      <w:r w:rsidR="74B87135" w:rsidRPr="469479B5">
        <w:rPr>
          <w:rFonts w:ascii="Times New Roman" w:hAnsi="Times New Roman" w:cs="Times New Roman"/>
          <w:sz w:val="24"/>
          <w:szCs w:val="24"/>
        </w:rPr>
        <w:t xml:space="preserve"> </w:t>
      </w:r>
      <w:r w:rsidRPr="469479B5">
        <w:rPr>
          <w:rFonts w:ascii="Times New Roman" w:hAnsi="Times New Roman" w:cs="Times New Roman"/>
          <w:sz w:val="24"/>
          <w:szCs w:val="24"/>
        </w:rPr>
        <w:t>ir analizēt pagātnes datus. Kopumā</w:t>
      </w:r>
      <w:r w:rsidR="51C29FA5" w:rsidRPr="469479B5">
        <w:rPr>
          <w:rFonts w:ascii="Times New Roman" w:hAnsi="Times New Roman" w:cs="Times New Roman"/>
          <w:sz w:val="24"/>
          <w:szCs w:val="24"/>
        </w:rPr>
        <w:t>,</w:t>
      </w:r>
      <w:r w:rsidRPr="469479B5">
        <w:rPr>
          <w:rFonts w:ascii="Times New Roman" w:hAnsi="Times New Roman" w:cs="Times New Roman"/>
          <w:sz w:val="24"/>
          <w:szCs w:val="24"/>
        </w:rPr>
        <w:t xml:space="preserve"> </w:t>
      </w:r>
      <w:r w:rsidR="51C29FA5" w:rsidRPr="469479B5">
        <w:rPr>
          <w:rFonts w:ascii="Times New Roman" w:hAnsi="Times New Roman" w:cs="Times New Roman"/>
          <w:sz w:val="24"/>
          <w:szCs w:val="24"/>
        </w:rPr>
        <w:t xml:space="preserve">pateicoties </w:t>
      </w:r>
      <w:r w:rsidRPr="469479B5">
        <w:rPr>
          <w:rFonts w:ascii="Times New Roman" w:hAnsi="Times New Roman" w:cs="Times New Roman"/>
          <w:color w:val="000000" w:themeColor="text1"/>
          <w:sz w:val="24"/>
          <w:szCs w:val="24"/>
        </w:rPr>
        <w:t>fiskālo risku vadības sistēma</w:t>
      </w:r>
      <w:r w:rsidR="51C29FA5" w:rsidRPr="469479B5">
        <w:rPr>
          <w:rFonts w:ascii="Times New Roman" w:hAnsi="Times New Roman" w:cs="Times New Roman"/>
          <w:color w:val="000000" w:themeColor="text1"/>
          <w:sz w:val="24"/>
          <w:szCs w:val="24"/>
        </w:rPr>
        <w:t>i,</w:t>
      </w:r>
      <w:r w:rsidRPr="469479B5">
        <w:rPr>
          <w:rFonts w:ascii="Times New Roman" w:hAnsi="Times New Roman" w:cs="Times New Roman"/>
          <w:color w:val="000000" w:themeColor="text1"/>
          <w:sz w:val="24"/>
          <w:szCs w:val="24"/>
        </w:rPr>
        <w:t xml:space="preserve"> </w:t>
      </w:r>
      <w:r w:rsidR="51C29FA5" w:rsidRPr="469479B5">
        <w:rPr>
          <w:rFonts w:ascii="Times New Roman" w:hAnsi="Times New Roman" w:cs="Times New Roman"/>
          <w:color w:val="000000" w:themeColor="text1"/>
          <w:sz w:val="24"/>
          <w:szCs w:val="24"/>
        </w:rPr>
        <w:t xml:space="preserve">iepriekšējos gados </w:t>
      </w:r>
      <w:r w:rsidRPr="469479B5">
        <w:rPr>
          <w:rFonts w:ascii="Times New Roman" w:hAnsi="Times New Roman" w:cs="Times New Roman"/>
          <w:color w:val="000000" w:themeColor="text1"/>
          <w:sz w:val="24"/>
          <w:szCs w:val="24"/>
        </w:rPr>
        <w:t xml:space="preserve">ir </w:t>
      </w:r>
      <w:r w:rsidRPr="469479B5">
        <w:rPr>
          <w:rFonts w:ascii="Times New Roman" w:hAnsi="Times New Roman" w:cs="Times New Roman"/>
          <w:sz w:val="24"/>
          <w:szCs w:val="24"/>
        </w:rPr>
        <w:t xml:space="preserve">uzkrāta pietiekama informācija par novirzēm no fiskālajiem rādītājiem, </w:t>
      </w:r>
      <w:r w:rsidR="51C29FA5" w:rsidRPr="469479B5">
        <w:rPr>
          <w:rFonts w:ascii="Times New Roman" w:hAnsi="Times New Roman" w:cs="Times New Roman"/>
          <w:sz w:val="24"/>
          <w:szCs w:val="24"/>
        </w:rPr>
        <w:t xml:space="preserve">un šī metode tiek izmantota </w:t>
      </w:r>
      <w:r w:rsidRPr="469479B5">
        <w:rPr>
          <w:rFonts w:ascii="Times New Roman" w:hAnsi="Times New Roman" w:cs="Times New Roman"/>
          <w:sz w:val="24"/>
          <w:szCs w:val="24"/>
        </w:rPr>
        <w:t xml:space="preserve">pilnvērtīgi </w:t>
      </w:r>
      <w:r w:rsidR="51C29FA5" w:rsidRPr="469479B5">
        <w:rPr>
          <w:rFonts w:ascii="Times New Roman" w:hAnsi="Times New Roman" w:cs="Times New Roman"/>
          <w:sz w:val="24"/>
          <w:szCs w:val="24"/>
        </w:rPr>
        <w:t>un efektīvi</w:t>
      </w:r>
      <w:r w:rsidRPr="009502A9">
        <w:rPr>
          <w:rFonts w:ascii="Times New Roman" w:hAnsi="Times New Roman" w:cs="Times New Roman"/>
          <w:sz w:val="24"/>
          <w:szCs w:val="24"/>
        </w:rPr>
        <w:t xml:space="preserve">. Tajā pašā laikā par atsevišķiem fiskālajiem riskiem – valsts kapitālsabiedrību </w:t>
      </w:r>
      <w:r w:rsidR="2BDA932A" w:rsidRPr="009502A9">
        <w:rPr>
          <w:rFonts w:ascii="Times New Roman" w:hAnsi="Times New Roman" w:cs="Times New Roman"/>
          <w:sz w:val="24"/>
          <w:szCs w:val="24"/>
        </w:rPr>
        <w:t>radītajiem riskiem</w:t>
      </w:r>
      <w:r w:rsidRPr="009502A9">
        <w:rPr>
          <w:rFonts w:ascii="Times New Roman" w:hAnsi="Times New Roman" w:cs="Times New Roman"/>
          <w:sz w:val="24"/>
          <w:szCs w:val="24"/>
        </w:rPr>
        <w:t>,</w:t>
      </w:r>
      <w:r w:rsidR="00E12365">
        <w:rPr>
          <w:rFonts w:ascii="Times New Roman" w:hAnsi="Times New Roman" w:cs="Times New Roman"/>
          <w:sz w:val="24"/>
          <w:szCs w:val="24"/>
        </w:rPr>
        <w:t xml:space="preserve"> </w:t>
      </w:r>
      <w:r w:rsidRPr="009502A9">
        <w:rPr>
          <w:rFonts w:ascii="Times New Roman" w:hAnsi="Times New Roman" w:cs="Times New Roman"/>
          <w:sz w:val="24"/>
          <w:szCs w:val="24"/>
        </w:rPr>
        <w:t>kvantificējamajiem riskiem l</w:t>
      </w:r>
      <w:r w:rsidR="51D587D8" w:rsidRPr="009502A9">
        <w:rPr>
          <w:rFonts w:ascii="Times New Roman" w:hAnsi="Times New Roman" w:cs="Times New Roman"/>
          <w:sz w:val="24"/>
          <w:szCs w:val="24"/>
        </w:rPr>
        <w:t xml:space="preserve">abklājības nozarē un iemaksām </w:t>
      </w:r>
      <w:r w:rsidR="6D89E369" w:rsidRPr="009502A9">
        <w:rPr>
          <w:rFonts w:ascii="Times New Roman" w:hAnsi="Times New Roman" w:cs="Times New Roman"/>
          <w:sz w:val="24"/>
          <w:szCs w:val="24"/>
        </w:rPr>
        <w:t>ES</w:t>
      </w:r>
      <w:r w:rsidR="51D587D8" w:rsidRPr="009502A9">
        <w:rPr>
          <w:rFonts w:ascii="Times New Roman" w:hAnsi="Times New Roman" w:cs="Times New Roman"/>
          <w:sz w:val="24"/>
          <w:szCs w:val="24"/>
        </w:rPr>
        <w:t xml:space="preserve"> </w:t>
      </w:r>
      <w:r w:rsidRPr="009502A9">
        <w:rPr>
          <w:rFonts w:ascii="Times New Roman" w:hAnsi="Times New Roman" w:cs="Times New Roman"/>
          <w:sz w:val="24"/>
          <w:szCs w:val="24"/>
        </w:rPr>
        <w:t>budžetā – uzkrātais datu apjoms ļauj secināt, ka periods, kurā jāvērtē simetriskuma principa piemērošana, ir atšķirīgs, tomēr</w:t>
      </w:r>
      <w:r w:rsidRPr="469479B5">
        <w:rPr>
          <w:rFonts w:ascii="Times New Roman" w:hAnsi="Times New Roman" w:cs="Times New Roman"/>
          <w:sz w:val="24"/>
          <w:szCs w:val="24"/>
        </w:rPr>
        <w:t xml:space="preserve"> tam ir jābūt tik garam, lai būtu iespējams veikt pilnu izdevumu cikla novērtējumu t.i. novērot gadījumus, kad faktiskie izdevumi gan pārsniedz plānoto apmēru, gan ir mazāki nekā plānots. Fiskālos riskus var ietekmēt tādi faktori kā ekonomikas cikliskā attīstība,</w:t>
      </w:r>
      <w:r w:rsidR="5BFA7817" w:rsidRPr="469479B5">
        <w:rPr>
          <w:rFonts w:ascii="Times New Roman" w:hAnsi="Times New Roman" w:cs="Times New Roman"/>
          <w:sz w:val="24"/>
          <w:szCs w:val="24"/>
        </w:rPr>
        <w:t xml:space="preserve"> normatīvā regulējuma izmaiņas</w:t>
      </w:r>
      <w:r w:rsidRPr="469479B5">
        <w:rPr>
          <w:rFonts w:ascii="Times New Roman" w:hAnsi="Times New Roman" w:cs="Times New Roman"/>
          <w:sz w:val="24"/>
          <w:szCs w:val="24"/>
        </w:rPr>
        <w:t xml:space="preserve">, un savukārt šo faktoru ietekme uz fiskālo risku var būt atšķirīga. </w:t>
      </w:r>
    </w:p>
    <w:p w14:paraId="2E46204C" w14:textId="6AC3D330" w:rsidR="002F17DB" w:rsidRPr="00C11D35" w:rsidRDefault="002F17DB" w:rsidP="002F17DB">
      <w:pPr>
        <w:spacing w:after="0" w:line="240" w:lineRule="auto"/>
        <w:ind w:firstLine="720"/>
        <w:jc w:val="both"/>
        <w:rPr>
          <w:rFonts w:ascii="Times New Roman" w:hAnsi="Times New Roman" w:cs="Times New Roman"/>
          <w:sz w:val="24"/>
          <w:szCs w:val="24"/>
        </w:rPr>
      </w:pPr>
      <w:r w:rsidRPr="00C11D35">
        <w:rPr>
          <w:rFonts w:ascii="Times New Roman" w:hAnsi="Times New Roman" w:cs="Times New Roman"/>
          <w:sz w:val="24"/>
          <w:szCs w:val="24"/>
        </w:rPr>
        <w:t xml:space="preserve">Otra metode ir analizēt riska avotu. Ja riska avots ir process, kas, teorētiski </w:t>
      </w:r>
      <w:r w:rsidR="00E365CE" w:rsidRPr="00C11D35">
        <w:rPr>
          <w:rFonts w:ascii="Times New Roman" w:hAnsi="Times New Roman" w:cs="Times New Roman"/>
          <w:sz w:val="24"/>
          <w:szCs w:val="24"/>
        </w:rPr>
        <w:t>pie</w:t>
      </w:r>
      <w:r w:rsidRPr="00C11D35">
        <w:rPr>
          <w:rFonts w:ascii="Times New Roman" w:hAnsi="Times New Roman" w:cs="Times New Roman"/>
          <w:sz w:val="24"/>
          <w:szCs w:val="24"/>
        </w:rPr>
        <w:t>ņemot, ģenerē simetriskas novirzes, deklarācijā risks tiek atzīts par simetrisku risku. Tomēr pastāv iespēja, ka, lai arī teorētiski novirzēm būtu jābūt simetriskām, praksē tas tā nav, jo procesu ietekmē neidentificēti faktori, piemēram, sabiedrības uzvedības maiņa, kas prognozēs netiek pienācīgi ņemtas vērā.</w:t>
      </w:r>
    </w:p>
    <w:p w14:paraId="5351C64B" w14:textId="71321E33" w:rsidR="008C07FB" w:rsidRPr="00C11D35" w:rsidRDefault="002F17DB" w:rsidP="008C0513">
      <w:pPr>
        <w:spacing w:after="0" w:line="240" w:lineRule="auto"/>
        <w:ind w:firstLine="720"/>
        <w:jc w:val="both"/>
        <w:rPr>
          <w:rFonts w:ascii="Times New Roman" w:hAnsi="Times New Roman" w:cs="Times New Roman"/>
          <w:sz w:val="24"/>
          <w:szCs w:val="24"/>
        </w:rPr>
      </w:pPr>
      <w:r w:rsidRPr="00C11D35">
        <w:rPr>
          <w:rFonts w:ascii="Times New Roman" w:hAnsi="Times New Roman" w:cs="Times New Roman"/>
          <w:sz w:val="24"/>
          <w:szCs w:val="24"/>
        </w:rPr>
        <w:t>Līdz ar to periodam, kurā būtu nepieciešams vērtēt fiskālā riska simetriskumu ir jābūt vismaz vidējam termiņam (3</w:t>
      </w:r>
      <w:r w:rsidR="00711C13" w:rsidRPr="00C11D35">
        <w:rPr>
          <w:rFonts w:ascii="Times New Roman" w:hAnsi="Times New Roman" w:cs="Times New Roman"/>
          <w:color w:val="000000"/>
          <w:sz w:val="24"/>
          <w:szCs w:val="24"/>
        </w:rPr>
        <w:t>–</w:t>
      </w:r>
      <w:r w:rsidRPr="00C11D35">
        <w:rPr>
          <w:rFonts w:ascii="Times New Roman" w:hAnsi="Times New Roman" w:cs="Times New Roman"/>
          <w:sz w:val="24"/>
          <w:szCs w:val="24"/>
        </w:rPr>
        <w:t>5 gadi), savukārt</w:t>
      </w:r>
      <w:r w:rsidR="00A3208D" w:rsidRPr="00C11D35">
        <w:rPr>
          <w:rFonts w:ascii="Times New Roman" w:hAnsi="Times New Roman" w:cs="Times New Roman"/>
          <w:sz w:val="24"/>
          <w:szCs w:val="24"/>
        </w:rPr>
        <w:t>,</w:t>
      </w:r>
      <w:r w:rsidRPr="00C11D35">
        <w:rPr>
          <w:rFonts w:ascii="Times New Roman" w:hAnsi="Times New Roman" w:cs="Times New Roman"/>
          <w:sz w:val="24"/>
          <w:szCs w:val="24"/>
        </w:rPr>
        <w:t xml:space="preserve"> ja attiecīgajā periodā nav iespējams praktiski konstatēt simetriska fiskālā riska pazīmes, tad</w:t>
      </w:r>
      <w:r w:rsidR="00953696" w:rsidRPr="00C11D35">
        <w:rPr>
          <w:rFonts w:ascii="Times New Roman" w:hAnsi="Times New Roman" w:cs="Times New Roman"/>
          <w:sz w:val="24"/>
          <w:szCs w:val="24"/>
        </w:rPr>
        <w:t xml:space="preserve"> novērojumu periods jāpagarina </w:t>
      </w:r>
      <w:r w:rsidRPr="00C11D35">
        <w:rPr>
          <w:rFonts w:ascii="Times New Roman" w:hAnsi="Times New Roman" w:cs="Times New Roman"/>
          <w:sz w:val="24"/>
          <w:szCs w:val="24"/>
        </w:rPr>
        <w:t xml:space="preserve">līdz 7 gadiem, ko varētu vērtēt kā ilgtermiņu. </w:t>
      </w:r>
    </w:p>
    <w:p w14:paraId="03311E6A" w14:textId="77777777" w:rsidR="00953696" w:rsidRPr="00883EE7" w:rsidRDefault="00953696">
      <w:pPr>
        <w:rPr>
          <w:rFonts w:ascii="Times New Roman" w:hAnsi="Times New Roman" w:cs="Times New Roman"/>
          <w:sz w:val="24"/>
          <w:szCs w:val="24"/>
          <w:highlight w:val="yellow"/>
        </w:rPr>
      </w:pPr>
      <w:r w:rsidRPr="00883EE7">
        <w:rPr>
          <w:rFonts w:ascii="Times New Roman" w:hAnsi="Times New Roman" w:cs="Times New Roman"/>
          <w:sz w:val="24"/>
          <w:szCs w:val="24"/>
          <w:highlight w:val="yellow"/>
        </w:rPr>
        <w:br w:type="page"/>
      </w:r>
    </w:p>
    <w:p w14:paraId="0E6882F5" w14:textId="77777777" w:rsidR="008F58C9" w:rsidRPr="005963DE" w:rsidRDefault="008F58C9" w:rsidP="002467D7">
      <w:pPr>
        <w:pStyle w:val="Heading1"/>
        <w:ind w:left="426"/>
        <w:jc w:val="center"/>
        <w:rPr>
          <w:rFonts w:ascii="Times New Roman" w:hAnsi="Times New Roman" w:cs="Times New Roman"/>
          <w:sz w:val="32"/>
        </w:rPr>
      </w:pPr>
      <w:bookmarkStart w:id="22" w:name="_Toc536779059"/>
      <w:bookmarkStart w:id="23" w:name="_Toc205554407"/>
      <w:r w:rsidRPr="005963DE">
        <w:rPr>
          <w:rFonts w:ascii="Times New Roman" w:hAnsi="Times New Roman" w:cs="Times New Roman"/>
          <w:sz w:val="32"/>
        </w:rPr>
        <w:t>Kvantificējamie fiskālie riski</w:t>
      </w:r>
      <w:bookmarkEnd w:id="22"/>
      <w:bookmarkEnd w:id="23"/>
    </w:p>
    <w:p w14:paraId="5A749831" w14:textId="45932D39" w:rsidR="00822D84" w:rsidRPr="00372A67" w:rsidRDefault="00822D84" w:rsidP="009A521C">
      <w:pPr>
        <w:pStyle w:val="Heading2"/>
        <w:numPr>
          <w:ilvl w:val="1"/>
          <w:numId w:val="4"/>
        </w:numPr>
        <w:tabs>
          <w:tab w:val="left" w:pos="3261"/>
          <w:tab w:val="left" w:pos="5103"/>
          <w:tab w:val="left" w:pos="5245"/>
        </w:tabs>
        <w:spacing w:before="120" w:after="120" w:line="240" w:lineRule="auto"/>
        <w:ind w:left="567" w:hanging="555"/>
        <w:rPr>
          <w:rFonts w:cs="Times New Roman"/>
          <w:color w:val="auto"/>
          <w:szCs w:val="24"/>
        </w:rPr>
      </w:pPr>
      <w:bookmarkStart w:id="24" w:name="_Toc405371076"/>
      <w:bookmarkStart w:id="25" w:name="_Toc536779060"/>
      <w:bookmarkStart w:id="26" w:name="_Toc205554408"/>
      <w:r w:rsidRPr="00372A67">
        <w:rPr>
          <w:rFonts w:cs="Times New Roman"/>
          <w:color w:val="auto"/>
          <w:szCs w:val="24"/>
        </w:rPr>
        <w:t xml:space="preserve">Valsts </w:t>
      </w:r>
      <w:r w:rsidR="00393298" w:rsidRPr="00372A67">
        <w:rPr>
          <w:rFonts w:cs="Times New Roman"/>
          <w:color w:val="auto"/>
          <w:szCs w:val="24"/>
        </w:rPr>
        <w:t xml:space="preserve">un pašvaldību </w:t>
      </w:r>
      <w:r w:rsidRPr="00372A67">
        <w:rPr>
          <w:rFonts w:cs="Times New Roman"/>
          <w:color w:val="auto"/>
          <w:szCs w:val="24"/>
        </w:rPr>
        <w:t>galvojumi</w:t>
      </w:r>
      <w:bookmarkEnd w:id="24"/>
      <w:bookmarkEnd w:id="25"/>
      <w:bookmarkEnd w:id="26"/>
    </w:p>
    <w:p w14:paraId="0FFB1AC1" w14:textId="70B21373" w:rsidR="00821D16" w:rsidRDefault="597F8F48" w:rsidP="005B24ED">
      <w:pPr>
        <w:spacing w:after="120" w:line="240" w:lineRule="auto"/>
        <w:ind w:firstLine="709"/>
        <w:jc w:val="both"/>
        <w:rPr>
          <w:rFonts w:ascii="Times New Roman" w:eastAsia="Calibri" w:hAnsi="Times New Roman"/>
          <w:sz w:val="24"/>
          <w:szCs w:val="24"/>
        </w:rPr>
      </w:pPr>
      <w:r w:rsidRPr="005963DE">
        <w:rPr>
          <w:rFonts w:ascii="Times New Roman" w:eastAsia="Calibri" w:hAnsi="Times New Roman"/>
          <w:b/>
          <w:bCs/>
          <w:sz w:val="24"/>
          <w:szCs w:val="24"/>
        </w:rPr>
        <w:t>Valsts galvojumi</w:t>
      </w:r>
      <w:r w:rsidRPr="005963DE">
        <w:rPr>
          <w:rFonts w:ascii="Times New Roman" w:eastAsia="Calibri" w:hAnsi="Times New Roman"/>
          <w:sz w:val="24"/>
          <w:szCs w:val="24"/>
        </w:rPr>
        <w:t xml:space="preserve"> saskaņā ar fiskālo risku avotu klasifikāciju ir iespējamās saistības, kas izriet no </w:t>
      </w:r>
      <w:r w:rsidR="7C4353E9" w:rsidRPr="005963DE">
        <w:rPr>
          <w:rFonts w:ascii="Times New Roman" w:eastAsia="Calibri" w:hAnsi="Times New Roman"/>
          <w:sz w:val="24"/>
          <w:szCs w:val="24"/>
        </w:rPr>
        <w:t xml:space="preserve">tiesību aktiem </w:t>
      </w:r>
      <w:r w:rsidRPr="005963DE">
        <w:rPr>
          <w:rFonts w:ascii="Times New Roman" w:eastAsia="Calibri" w:hAnsi="Times New Roman"/>
          <w:sz w:val="24"/>
          <w:szCs w:val="24"/>
        </w:rPr>
        <w:t xml:space="preserve">vai līgumiem. </w:t>
      </w:r>
      <w:bookmarkStart w:id="27" w:name="_Hlk125245088"/>
      <w:r w:rsidRPr="005963DE">
        <w:rPr>
          <w:rFonts w:ascii="Times New Roman" w:eastAsia="Calibri" w:hAnsi="Times New Roman"/>
          <w:sz w:val="24"/>
          <w:szCs w:val="24"/>
        </w:rPr>
        <w:t xml:space="preserve">Valsts galvojumu fiskālais risks </w:t>
      </w:r>
      <w:bookmarkEnd w:id="27"/>
      <w:r w:rsidRPr="005963DE">
        <w:rPr>
          <w:rFonts w:ascii="Times New Roman" w:eastAsia="Calibri" w:hAnsi="Times New Roman"/>
          <w:sz w:val="24"/>
          <w:szCs w:val="24"/>
        </w:rPr>
        <w:t>(</w:t>
      </w:r>
      <w:r w:rsidR="5DE4F684" w:rsidRPr="005963DE">
        <w:rPr>
          <w:rFonts w:ascii="Times New Roman" w:eastAsia="Calibri" w:hAnsi="Times New Roman"/>
          <w:sz w:val="24"/>
          <w:szCs w:val="24"/>
        </w:rPr>
        <w:t xml:space="preserve">šīs deklarācijas apakšsadaļas ietvaros </w:t>
      </w:r>
      <w:r w:rsidRPr="005963DE">
        <w:rPr>
          <w:rFonts w:ascii="Times New Roman" w:eastAsia="Calibri" w:hAnsi="Times New Roman"/>
          <w:sz w:val="24"/>
          <w:szCs w:val="24"/>
        </w:rPr>
        <w:t>turpmāk – galvojumu risks</w:t>
      </w:r>
      <w:r w:rsidR="5DE4F684" w:rsidRPr="005963DE">
        <w:rPr>
          <w:rFonts w:ascii="Times New Roman" w:eastAsia="Calibri" w:hAnsi="Times New Roman"/>
          <w:sz w:val="24"/>
          <w:szCs w:val="24"/>
        </w:rPr>
        <w:t>)</w:t>
      </w:r>
      <w:r w:rsidRPr="005963DE">
        <w:rPr>
          <w:rFonts w:ascii="Times New Roman" w:eastAsia="Calibri" w:hAnsi="Times New Roman"/>
          <w:sz w:val="24"/>
          <w:szCs w:val="24"/>
        </w:rPr>
        <w:t xml:space="preserve"> ir nenoteiktības ietekme uz valsts galvoto aizdevumu saņēmēju (</w:t>
      </w:r>
      <w:r w:rsidR="5DE4F684" w:rsidRPr="005963DE">
        <w:rPr>
          <w:rFonts w:ascii="Times New Roman" w:eastAsia="Calibri" w:hAnsi="Times New Roman"/>
          <w:sz w:val="24"/>
          <w:szCs w:val="24"/>
        </w:rPr>
        <w:t>šīs deklarācijas apakšsadaļas ie</w:t>
      </w:r>
      <w:r w:rsidR="4C8F549F" w:rsidRPr="005963DE">
        <w:rPr>
          <w:rFonts w:ascii="Times New Roman" w:eastAsia="Calibri" w:hAnsi="Times New Roman"/>
          <w:sz w:val="24"/>
          <w:szCs w:val="24"/>
        </w:rPr>
        <w:t>t</w:t>
      </w:r>
      <w:r w:rsidR="5DE4F684" w:rsidRPr="005963DE">
        <w:rPr>
          <w:rFonts w:ascii="Times New Roman" w:eastAsia="Calibri" w:hAnsi="Times New Roman"/>
          <w:sz w:val="24"/>
          <w:szCs w:val="24"/>
        </w:rPr>
        <w:t xml:space="preserve">varos turpmāk </w:t>
      </w:r>
      <w:r w:rsidRPr="005963DE">
        <w:rPr>
          <w:rFonts w:ascii="Times New Roman" w:eastAsia="Calibri" w:hAnsi="Times New Roman"/>
          <w:sz w:val="24"/>
          <w:szCs w:val="24"/>
        </w:rPr>
        <w:t>– galvojumu saņēmēj</w:t>
      </w:r>
      <w:r w:rsidR="5DE4F684" w:rsidRPr="005963DE">
        <w:rPr>
          <w:rFonts w:ascii="Times New Roman" w:eastAsia="Calibri" w:hAnsi="Times New Roman"/>
          <w:sz w:val="24"/>
          <w:szCs w:val="24"/>
        </w:rPr>
        <w:t>s</w:t>
      </w:r>
      <w:r w:rsidRPr="005963DE">
        <w:rPr>
          <w:rFonts w:ascii="Times New Roman" w:eastAsia="Calibri" w:hAnsi="Times New Roman"/>
          <w:sz w:val="24"/>
          <w:szCs w:val="24"/>
        </w:rPr>
        <w:t>) spēju segt savas saistības savlaicīgi un pilnā apmērā</w:t>
      </w:r>
      <w:r w:rsidR="00821D16" w:rsidRPr="005963DE">
        <w:rPr>
          <w:rStyle w:val="FootnoteReference"/>
          <w:rFonts w:ascii="Times New Roman" w:eastAsia="Calibri" w:hAnsi="Times New Roman" w:cs="Times New Roman"/>
          <w:sz w:val="24"/>
          <w:szCs w:val="24"/>
        </w:rPr>
        <w:footnoteReference w:id="3"/>
      </w:r>
      <w:r w:rsidRPr="005963DE">
        <w:rPr>
          <w:rFonts w:ascii="Times New Roman" w:eastAsia="Calibri" w:hAnsi="Times New Roman"/>
          <w:sz w:val="24"/>
          <w:szCs w:val="24"/>
        </w:rPr>
        <w:t xml:space="preserve">, kā rezultātā valstij var rasties pienākums segt saistības pret attiecīgo </w:t>
      </w:r>
      <w:r w:rsidR="38C4C48A" w:rsidRPr="005963DE">
        <w:rPr>
          <w:rFonts w:ascii="Times New Roman" w:eastAsia="Calibri" w:hAnsi="Times New Roman"/>
          <w:sz w:val="24"/>
          <w:szCs w:val="24"/>
        </w:rPr>
        <w:t>aizdevēju</w:t>
      </w:r>
      <w:r w:rsidRPr="005963DE">
        <w:rPr>
          <w:rFonts w:ascii="Times New Roman" w:eastAsia="Calibri" w:hAnsi="Times New Roman"/>
          <w:sz w:val="24"/>
          <w:szCs w:val="24"/>
        </w:rPr>
        <w:t xml:space="preserve"> galvojuma saņēmēja vietā. Saskaņā ar MK noteikumiem Nr.229 galvojumu riska fiskālo ietekmi katrā gadā aprēķina kā katra valsts galvotā aizdevuma ārpus vispārējās valdības sektora klasificētām iestādēm attiecīgajā gadā saskaņā ar aizdevuma līguma grafiku plānoto maksājumu kopsummu. Savukārt fiskālā nodrošinājuma rezervi valsts galvojumiem aprēķina, reizinot galvojumu risku fiskālās ietekmes vērtības ar galvojumu risku iestāšanās varbūtībām.</w:t>
      </w:r>
    </w:p>
    <w:p w14:paraId="175431B8" w14:textId="77777777" w:rsidR="005B24ED" w:rsidRDefault="53BB34BF" w:rsidP="005B24ED">
      <w:pPr>
        <w:spacing w:after="0" w:line="240" w:lineRule="auto"/>
        <w:jc w:val="right"/>
        <w:rPr>
          <w:rFonts w:ascii="Times New Roman" w:hAnsi="Times New Roman" w:cs="Times New Roman"/>
          <w:b/>
          <w:bCs/>
          <w:sz w:val="24"/>
          <w:szCs w:val="24"/>
        </w:rPr>
      </w:pPr>
      <w:r w:rsidRPr="469479B5">
        <w:rPr>
          <w:rFonts w:ascii="Times New Roman" w:hAnsi="Times New Roman" w:cs="Times New Roman"/>
          <w:b/>
          <w:bCs/>
          <w:sz w:val="24"/>
          <w:szCs w:val="24"/>
        </w:rPr>
        <w:t xml:space="preserve">Tabula Nr.2.1.1 Valsts galvoto aizdevumu atlikums pārskata periodā </w:t>
      </w:r>
    </w:p>
    <w:p w14:paraId="69D9C488" w14:textId="00EA41E3" w:rsidR="006F23BC" w:rsidRDefault="53BB34BF" w:rsidP="005B24ED">
      <w:pPr>
        <w:spacing w:after="120" w:line="240" w:lineRule="auto"/>
        <w:jc w:val="right"/>
        <w:rPr>
          <w:rFonts w:ascii="Times New Roman" w:eastAsia="Calibri" w:hAnsi="Times New Roman"/>
          <w:sz w:val="24"/>
          <w:szCs w:val="24"/>
        </w:rPr>
      </w:pPr>
      <w:r w:rsidRPr="469479B5">
        <w:rPr>
          <w:rFonts w:ascii="Times New Roman" w:hAnsi="Times New Roman" w:cs="Times New Roman"/>
          <w:b/>
          <w:bCs/>
          <w:sz w:val="24"/>
          <w:szCs w:val="24"/>
        </w:rPr>
        <w:t>no 2021. gada līdz 202</w:t>
      </w:r>
      <w:r w:rsidR="00B42130">
        <w:rPr>
          <w:rFonts w:ascii="Times New Roman" w:hAnsi="Times New Roman" w:cs="Times New Roman"/>
          <w:b/>
          <w:bCs/>
          <w:sz w:val="24"/>
          <w:szCs w:val="24"/>
        </w:rPr>
        <w:t>5</w:t>
      </w:r>
      <w:r w:rsidRPr="469479B5">
        <w:rPr>
          <w:rFonts w:ascii="Times New Roman" w:hAnsi="Times New Roman" w:cs="Times New Roman"/>
          <w:b/>
          <w:bCs/>
          <w:sz w:val="24"/>
          <w:szCs w:val="24"/>
        </w:rPr>
        <w:t>. gada</w:t>
      </w:r>
      <w:r w:rsidR="1EE30111" w:rsidRPr="469479B5">
        <w:rPr>
          <w:rFonts w:ascii="Times New Roman" w:hAnsi="Times New Roman" w:cs="Times New Roman"/>
          <w:b/>
          <w:bCs/>
          <w:sz w:val="24"/>
          <w:szCs w:val="24"/>
        </w:rPr>
        <w:t xml:space="preserve"> 30.</w:t>
      </w:r>
      <w:r w:rsidR="347EF6EB" w:rsidRPr="469479B5">
        <w:rPr>
          <w:rFonts w:ascii="Times New Roman" w:hAnsi="Times New Roman" w:cs="Times New Roman"/>
          <w:b/>
          <w:bCs/>
          <w:sz w:val="24"/>
          <w:szCs w:val="24"/>
        </w:rPr>
        <w:t xml:space="preserve"> </w:t>
      </w:r>
      <w:r w:rsidR="1EE30111" w:rsidRPr="469479B5">
        <w:rPr>
          <w:rFonts w:ascii="Times New Roman" w:hAnsi="Times New Roman" w:cs="Times New Roman"/>
          <w:b/>
          <w:bCs/>
          <w:sz w:val="24"/>
          <w:szCs w:val="24"/>
        </w:rPr>
        <w:t>aprīlim</w:t>
      </w:r>
      <w:r w:rsidRPr="469479B5">
        <w:rPr>
          <w:rFonts w:ascii="Times New Roman" w:hAnsi="Times New Roman" w:cs="Times New Roman"/>
          <w:b/>
          <w:bCs/>
          <w:sz w:val="24"/>
          <w:szCs w:val="24"/>
        </w:rPr>
        <w:t xml:space="preserve">, </w:t>
      </w:r>
      <w:r w:rsidRPr="469479B5">
        <w:rPr>
          <w:rFonts w:ascii="Times New Roman" w:hAnsi="Times New Roman" w:cs="Times New Roman"/>
          <w:b/>
          <w:bCs/>
          <w:i/>
          <w:iCs/>
          <w:sz w:val="24"/>
          <w:szCs w:val="24"/>
        </w:rPr>
        <w:t>euro</w:t>
      </w:r>
    </w:p>
    <w:tbl>
      <w:tblPr>
        <w:tblW w:w="9507" w:type="dxa"/>
        <w:jc w:val="center"/>
        <w:tblLook w:val="04A0" w:firstRow="1" w:lastRow="0" w:firstColumn="1" w:lastColumn="0" w:noHBand="0" w:noVBand="1"/>
      </w:tblPr>
      <w:tblGrid>
        <w:gridCol w:w="1411"/>
        <w:gridCol w:w="3343"/>
        <w:gridCol w:w="3271"/>
        <w:gridCol w:w="1482"/>
      </w:tblGrid>
      <w:tr w:rsidR="006F23BC" w:rsidRPr="004147ED" w14:paraId="53A0FA3C" w14:textId="77777777" w:rsidTr="00E02557">
        <w:trPr>
          <w:trHeight w:val="450"/>
          <w:jc w:val="center"/>
        </w:trPr>
        <w:tc>
          <w:tcPr>
            <w:tcW w:w="141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2559814" w14:textId="77777777" w:rsidR="006F23BC" w:rsidRPr="004147ED" w:rsidRDefault="006F23BC" w:rsidP="00B54C11">
            <w:pPr>
              <w:spacing w:after="0" w:line="240" w:lineRule="auto"/>
              <w:jc w:val="center"/>
              <w:rPr>
                <w:rFonts w:ascii="Times New Roman" w:eastAsia="Times New Roman" w:hAnsi="Times New Roman" w:cs="Times New Roman"/>
                <w:b/>
                <w:bCs/>
                <w:sz w:val="20"/>
                <w:szCs w:val="20"/>
                <w:lang w:eastAsia="lv-LV"/>
              </w:rPr>
            </w:pPr>
            <w:r w:rsidRPr="004147ED">
              <w:rPr>
                <w:rFonts w:ascii="Times New Roman" w:eastAsia="Times New Roman" w:hAnsi="Times New Roman" w:cs="Times New Roman"/>
                <w:b/>
                <w:bCs/>
                <w:sz w:val="20"/>
                <w:szCs w:val="20"/>
                <w:lang w:eastAsia="lv-LV"/>
              </w:rPr>
              <w:t>Pārskata gads</w:t>
            </w:r>
          </w:p>
        </w:tc>
        <w:tc>
          <w:tcPr>
            <w:tcW w:w="3343"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B82F14" w14:textId="16A055A4" w:rsidR="006F23BC" w:rsidRPr="004147ED" w:rsidRDefault="006F23BC" w:rsidP="00B54C11">
            <w:pPr>
              <w:spacing w:after="0" w:line="240" w:lineRule="auto"/>
              <w:jc w:val="center"/>
              <w:rPr>
                <w:rFonts w:ascii="Times New Roman" w:eastAsia="Times New Roman" w:hAnsi="Times New Roman" w:cs="Times New Roman"/>
                <w:b/>
                <w:bCs/>
                <w:sz w:val="20"/>
                <w:szCs w:val="20"/>
                <w:lang w:eastAsia="lv-LV"/>
              </w:rPr>
            </w:pPr>
            <w:r w:rsidRPr="004147ED">
              <w:rPr>
                <w:rFonts w:ascii="Times New Roman" w:eastAsia="Times New Roman" w:hAnsi="Times New Roman" w:cs="Times New Roman"/>
                <w:b/>
                <w:bCs/>
                <w:sz w:val="20"/>
                <w:szCs w:val="20"/>
                <w:lang w:eastAsia="lv-LV"/>
              </w:rPr>
              <w:t>Galvotā aizdevuma</w:t>
            </w:r>
            <w:r w:rsidR="005B24ED" w:rsidRPr="004147ED">
              <w:rPr>
                <w:rFonts w:ascii="Times New Roman" w:eastAsia="Times New Roman" w:hAnsi="Times New Roman" w:cs="Times New Roman"/>
                <w:b/>
                <w:bCs/>
                <w:sz w:val="20"/>
                <w:szCs w:val="20"/>
                <w:lang w:eastAsia="lv-LV"/>
              </w:rPr>
              <w:t xml:space="preserve"> </w:t>
            </w:r>
            <w:r w:rsidRPr="004147ED">
              <w:rPr>
                <w:rFonts w:ascii="Times New Roman" w:eastAsia="Times New Roman" w:hAnsi="Times New Roman" w:cs="Times New Roman"/>
                <w:b/>
                <w:bCs/>
                <w:sz w:val="20"/>
                <w:szCs w:val="20"/>
                <w:lang w:eastAsia="lv-LV"/>
              </w:rPr>
              <w:t>atlikums pārskata perioda sākumā</w:t>
            </w:r>
          </w:p>
        </w:tc>
        <w:tc>
          <w:tcPr>
            <w:tcW w:w="327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CF2D6C1" w14:textId="53B2E1B6" w:rsidR="006F23BC" w:rsidRPr="004147ED" w:rsidRDefault="006F23BC" w:rsidP="00B54C11">
            <w:pPr>
              <w:spacing w:after="0" w:line="240" w:lineRule="auto"/>
              <w:jc w:val="center"/>
              <w:rPr>
                <w:rFonts w:ascii="Times New Roman" w:eastAsia="Times New Roman" w:hAnsi="Times New Roman" w:cs="Times New Roman"/>
                <w:b/>
                <w:bCs/>
                <w:sz w:val="20"/>
                <w:szCs w:val="20"/>
                <w:lang w:eastAsia="lv-LV"/>
              </w:rPr>
            </w:pPr>
            <w:r w:rsidRPr="004147ED">
              <w:rPr>
                <w:rFonts w:ascii="Times New Roman" w:eastAsia="Times New Roman" w:hAnsi="Times New Roman" w:cs="Times New Roman"/>
                <w:b/>
                <w:bCs/>
                <w:sz w:val="20"/>
                <w:szCs w:val="20"/>
                <w:lang w:eastAsia="lv-LV"/>
              </w:rPr>
              <w:t>Galvotā aizdevuma</w:t>
            </w:r>
            <w:r w:rsidR="005B24ED" w:rsidRPr="004147ED">
              <w:rPr>
                <w:rFonts w:ascii="Times New Roman" w:eastAsia="Times New Roman" w:hAnsi="Times New Roman" w:cs="Times New Roman"/>
                <w:b/>
                <w:bCs/>
                <w:sz w:val="20"/>
                <w:szCs w:val="20"/>
                <w:lang w:eastAsia="lv-LV"/>
              </w:rPr>
              <w:t xml:space="preserve"> </w:t>
            </w:r>
            <w:r w:rsidRPr="004147ED">
              <w:rPr>
                <w:rFonts w:ascii="Times New Roman" w:eastAsia="Times New Roman" w:hAnsi="Times New Roman" w:cs="Times New Roman"/>
                <w:b/>
                <w:bCs/>
                <w:sz w:val="20"/>
                <w:szCs w:val="20"/>
                <w:lang w:eastAsia="lv-LV"/>
              </w:rPr>
              <w:t>atlikums pārskata perioda beigās</w:t>
            </w:r>
          </w:p>
        </w:tc>
        <w:tc>
          <w:tcPr>
            <w:tcW w:w="1482"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B255E57" w14:textId="3AAB1D0A" w:rsidR="006F23BC" w:rsidRPr="004147ED" w:rsidRDefault="0030249B" w:rsidP="00B54C11">
            <w:pPr>
              <w:spacing w:after="0" w:line="240" w:lineRule="auto"/>
              <w:jc w:val="center"/>
              <w:rPr>
                <w:rFonts w:ascii="Times New Roman" w:eastAsia="Times New Roman" w:hAnsi="Times New Roman" w:cs="Times New Roman"/>
                <w:b/>
                <w:bCs/>
                <w:sz w:val="20"/>
                <w:szCs w:val="20"/>
                <w:lang w:eastAsia="lv-LV"/>
              </w:rPr>
            </w:pPr>
            <w:r w:rsidRPr="004147ED">
              <w:rPr>
                <w:rFonts w:ascii="Times New Roman" w:eastAsia="Times New Roman" w:hAnsi="Times New Roman" w:cs="Times New Roman"/>
                <w:b/>
                <w:bCs/>
                <w:sz w:val="20"/>
                <w:szCs w:val="20"/>
                <w:lang w:eastAsia="lv-LV"/>
              </w:rPr>
              <w:t>Izmaiņas</w:t>
            </w:r>
          </w:p>
        </w:tc>
      </w:tr>
      <w:tr w:rsidR="006F23BC" w:rsidRPr="004147ED" w14:paraId="00C65D8A" w14:textId="77777777" w:rsidTr="00E02557">
        <w:trPr>
          <w:trHeight w:val="450"/>
          <w:jc w:val="center"/>
        </w:trPr>
        <w:tc>
          <w:tcPr>
            <w:tcW w:w="1411"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1ACA656" w14:textId="77777777" w:rsidR="006F23BC" w:rsidRPr="004147ED" w:rsidRDefault="006F23BC" w:rsidP="00B54C11">
            <w:pPr>
              <w:spacing w:after="0" w:line="240" w:lineRule="auto"/>
              <w:rPr>
                <w:rFonts w:ascii="Times New Roman" w:eastAsia="Times New Roman" w:hAnsi="Times New Roman" w:cs="Times New Roman"/>
                <w:sz w:val="20"/>
                <w:szCs w:val="20"/>
                <w:lang w:eastAsia="lv-LV"/>
              </w:rPr>
            </w:pPr>
          </w:p>
        </w:tc>
        <w:tc>
          <w:tcPr>
            <w:tcW w:w="3343"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762994" w14:textId="77777777" w:rsidR="006F23BC" w:rsidRPr="004147ED" w:rsidRDefault="006F23BC" w:rsidP="00B54C11">
            <w:pPr>
              <w:spacing w:after="0" w:line="240" w:lineRule="auto"/>
              <w:rPr>
                <w:rFonts w:ascii="Times New Roman" w:eastAsia="Times New Roman" w:hAnsi="Times New Roman" w:cs="Times New Roman"/>
                <w:sz w:val="20"/>
                <w:szCs w:val="20"/>
                <w:lang w:eastAsia="lv-LV"/>
              </w:rPr>
            </w:pPr>
          </w:p>
        </w:tc>
        <w:tc>
          <w:tcPr>
            <w:tcW w:w="3271"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B25E1AA" w14:textId="77777777" w:rsidR="006F23BC" w:rsidRPr="004147ED" w:rsidRDefault="006F23BC" w:rsidP="00B54C11">
            <w:pPr>
              <w:spacing w:after="0" w:line="240" w:lineRule="auto"/>
              <w:rPr>
                <w:rFonts w:ascii="Times New Roman" w:eastAsia="Times New Roman" w:hAnsi="Times New Roman" w:cs="Times New Roman"/>
                <w:sz w:val="20"/>
                <w:szCs w:val="20"/>
                <w:lang w:eastAsia="lv-LV"/>
              </w:rPr>
            </w:pPr>
          </w:p>
        </w:tc>
        <w:tc>
          <w:tcPr>
            <w:tcW w:w="1482"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74F1ADE" w14:textId="77777777" w:rsidR="006F23BC" w:rsidRPr="004147ED" w:rsidRDefault="006F23BC" w:rsidP="00B54C11">
            <w:pPr>
              <w:spacing w:after="0" w:line="240" w:lineRule="auto"/>
              <w:rPr>
                <w:rFonts w:ascii="Times New Roman" w:eastAsia="Times New Roman" w:hAnsi="Times New Roman" w:cs="Times New Roman"/>
                <w:sz w:val="20"/>
                <w:szCs w:val="20"/>
                <w:lang w:eastAsia="lv-LV"/>
              </w:rPr>
            </w:pPr>
          </w:p>
        </w:tc>
      </w:tr>
      <w:tr w:rsidR="006F23BC" w:rsidRPr="004147ED" w14:paraId="71B5159E" w14:textId="77777777" w:rsidTr="00E02557">
        <w:trPr>
          <w:trHeight w:val="340"/>
          <w:jc w:val="center"/>
        </w:trPr>
        <w:tc>
          <w:tcPr>
            <w:tcW w:w="1411" w:type="dxa"/>
            <w:tcBorders>
              <w:top w:val="nil"/>
              <w:left w:val="single" w:sz="4" w:space="0" w:color="auto"/>
              <w:bottom w:val="single" w:sz="4" w:space="0" w:color="auto"/>
              <w:right w:val="single" w:sz="4" w:space="0" w:color="auto"/>
            </w:tcBorders>
            <w:shd w:val="clear" w:color="000000" w:fill="FFFFFF"/>
            <w:noWrap/>
            <w:vAlign w:val="center"/>
            <w:hideMark/>
          </w:tcPr>
          <w:p w14:paraId="54FF3506" w14:textId="77777777" w:rsidR="006F23BC" w:rsidRPr="004147ED" w:rsidRDefault="006F23BC" w:rsidP="00131F02">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2021</w:t>
            </w:r>
          </w:p>
        </w:tc>
        <w:tc>
          <w:tcPr>
            <w:tcW w:w="3343" w:type="dxa"/>
            <w:tcBorders>
              <w:top w:val="nil"/>
              <w:left w:val="nil"/>
              <w:bottom w:val="single" w:sz="4" w:space="0" w:color="auto"/>
              <w:right w:val="single" w:sz="4" w:space="0" w:color="auto"/>
            </w:tcBorders>
            <w:shd w:val="clear" w:color="000000" w:fill="FFFFFF"/>
            <w:noWrap/>
            <w:vAlign w:val="center"/>
            <w:hideMark/>
          </w:tcPr>
          <w:p w14:paraId="5DA2025E" w14:textId="77777777" w:rsidR="006F23BC" w:rsidRPr="004147ED" w:rsidRDefault="006F23BC"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484 373 035</w:t>
            </w:r>
          </w:p>
        </w:tc>
        <w:tc>
          <w:tcPr>
            <w:tcW w:w="3271" w:type="dxa"/>
            <w:tcBorders>
              <w:top w:val="nil"/>
              <w:left w:val="nil"/>
              <w:bottom w:val="single" w:sz="4" w:space="0" w:color="auto"/>
              <w:right w:val="single" w:sz="4" w:space="0" w:color="auto"/>
            </w:tcBorders>
            <w:shd w:val="clear" w:color="000000" w:fill="FFFFFF"/>
            <w:noWrap/>
            <w:vAlign w:val="center"/>
            <w:hideMark/>
          </w:tcPr>
          <w:p w14:paraId="2B41B7A0" w14:textId="77777777" w:rsidR="006F23BC" w:rsidRPr="004147ED" w:rsidRDefault="006F23BC"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411 130 492</w:t>
            </w:r>
          </w:p>
        </w:tc>
        <w:tc>
          <w:tcPr>
            <w:tcW w:w="1482" w:type="dxa"/>
            <w:tcBorders>
              <w:top w:val="nil"/>
              <w:left w:val="nil"/>
              <w:bottom w:val="single" w:sz="4" w:space="0" w:color="auto"/>
              <w:right w:val="single" w:sz="4" w:space="0" w:color="auto"/>
            </w:tcBorders>
            <w:shd w:val="clear" w:color="000000" w:fill="FFFFFF"/>
            <w:noWrap/>
            <w:vAlign w:val="center"/>
            <w:hideMark/>
          </w:tcPr>
          <w:p w14:paraId="132E490C" w14:textId="5096E293" w:rsidR="006F23BC" w:rsidRPr="004147ED" w:rsidRDefault="00B42130"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w:t>
            </w:r>
            <w:r w:rsidR="006F23BC" w:rsidRPr="004147ED">
              <w:rPr>
                <w:rFonts w:ascii="Times New Roman" w:eastAsia="Times New Roman" w:hAnsi="Times New Roman" w:cs="Times New Roman"/>
                <w:sz w:val="20"/>
                <w:szCs w:val="20"/>
                <w:lang w:eastAsia="lv-LV"/>
              </w:rPr>
              <w:t>73 242 543</w:t>
            </w:r>
          </w:p>
        </w:tc>
      </w:tr>
      <w:tr w:rsidR="006F23BC" w:rsidRPr="004147ED" w14:paraId="1105C293" w14:textId="77777777" w:rsidTr="00E02557">
        <w:trPr>
          <w:trHeight w:val="340"/>
          <w:jc w:val="center"/>
        </w:trPr>
        <w:tc>
          <w:tcPr>
            <w:tcW w:w="1411" w:type="dxa"/>
            <w:tcBorders>
              <w:top w:val="nil"/>
              <w:left w:val="single" w:sz="4" w:space="0" w:color="auto"/>
              <w:bottom w:val="single" w:sz="4" w:space="0" w:color="auto"/>
              <w:right w:val="single" w:sz="4" w:space="0" w:color="auto"/>
            </w:tcBorders>
            <w:noWrap/>
            <w:vAlign w:val="center"/>
            <w:hideMark/>
          </w:tcPr>
          <w:p w14:paraId="4B0B3A72" w14:textId="77777777" w:rsidR="006F23BC" w:rsidRPr="004147ED" w:rsidRDefault="006F23BC" w:rsidP="00131F02">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2022</w:t>
            </w:r>
          </w:p>
        </w:tc>
        <w:tc>
          <w:tcPr>
            <w:tcW w:w="3343" w:type="dxa"/>
            <w:tcBorders>
              <w:top w:val="nil"/>
              <w:left w:val="nil"/>
              <w:bottom w:val="single" w:sz="4" w:space="0" w:color="auto"/>
              <w:right w:val="single" w:sz="4" w:space="0" w:color="auto"/>
            </w:tcBorders>
            <w:noWrap/>
            <w:vAlign w:val="center"/>
            <w:hideMark/>
          </w:tcPr>
          <w:p w14:paraId="08CDFE8F" w14:textId="77777777" w:rsidR="006F23BC" w:rsidRPr="004147ED" w:rsidRDefault="006F23BC"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411 130 492</w:t>
            </w:r>
          </w:p>
        </w:tc>
        <w:tc>
          <w:tcPr>
            <w:tcW w:w="3271" w:type="dxa"/>
            <w:tcBorders>
              <w:top w:val="nil"/>
              <w:left w:val="nil"/>
              <w:bottom w:val="single" w:sz="4" w:space="0" w:color="auto"/>
              <w:right w:val="single" w:sz="4" w:space="0" w:color="auto"/>
            </w:tcBorders>
            <w:noWrap/>
            <w:vAlign w:val="center"/>
            <w:hideMark/>
          </w:tcPr>
          <w:p w14:paraId="61AB70F0" w14:textId="77777777" w:rsidR="006F23BC" w:rsidRPr="004147ED" w:rsidRDefault="006F23BC"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371 786 610</w:t>
            </w:r>
          </w:p>
        </w:tc>
        <w:tc>
          <w:tcPr>
            <w:tcW w:w="1482" w:type="dxa"/>
            <w:tcBorders>
              <w:top w:val="nil"/>
              <w:left w:val="nil"/>
              <w:bottom w:val="single" w:sz="4" w:space="0" w:color="auto"/>
              <w:right w:val="single" w:sz="4" w:space="0" w:color="auto"/>
            </w:tcBorders>
            <w:noWrap/>
            <w:vAlign w:val="center"/>
            <w:hideMark/>
          </w:tcPr>
          <w:p w14:paraId="0918A1D9" w14:textId="2156A405" w:rsidR="006F23BC" w:rsidRPr="004147ED" w:rsidRDefault="00B42130"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w:t>
            </w:r>
            <w:r w:rsidR="006F23BC" w:rsidRPr="004147ED">
              <w:rPr>
                <w:rFonts w:ascii="Times New Roman" w:eastAsia="Times New Roman" w:hAnsi="Times New Roman" w:cs="Times New Roman"/>
                <w:sz w:val="20"/>
                <w:szCs w:val="20"/>
                <w:lang w:eastAsia="lv-LV"/>
              </w:rPr>
              <w:t>39 343 88</w:t>
            </w:r>
            <w:r w:rsidRPr="004147ED">
              <w:rPr>
                <w:rFonts w:ascii="Times New Roman" w:eastAsia="Times New Roman" w:hAnsi="Times New Roman" w:cs="Times New Roman"/>
                <w:sz w:val="20"/>
                <w:szCs w:val="20"/>
                <w:lang w:eastAsia="lv-LV"/>
              </w:rPr>
              <w:t>2</w:t>
            </w:r>
          </w:p>
        </w:tc>
      </w:tr>
      <w:tr w:rsidR="006F23BC" w:rsidRPr="004147ED" w14:paraId="2A33F574" w14:textId="77777777" w:rsidTr="00E02557">
        <w:trPr>
          <w:trHeight w:val="340"/>
          <w:jc w:val="center"/>
        </w:trPr>
        <w:tc>
          <w:tcPr>
            <w:tcW w:w="1411" w:type="dxa"/>
            <w:tcBorders>
              <w:top w:val="nil"/>
              <w:left w:val="single" w:sz="4" w:space="0" w:color="auto"/>
              <w:bottom w:val="single" w:sz="4" w:space="0" w:color="auto"/>
              <w:right w:val="single" w:sz="4" w:space="0" w:color="auto"/>
            </w:tcBorders>
            <w:noWrap/>
            <w:vAlign w:val="center"/>
            <w:hideMark/>
          </w:tcPr>
          <w:p w14:paraId="2506327B" w14:textId="77777777" w:rsidR="006F23BC" w:rsidRPr="004147ED" w:rsidRDefault="006F23BC" w:rsidP="00131F02">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2023</w:t>
            </w:r>
          </w:p>
        </w:tc>
        <w:tc>
          <w:tcPr>
            <w:tcW w:w="3343" w:type="dxa"/>
            <w:tcBorders>
              <w:top w:val="nil"/>
              <w:left w:val="nil"/>
              <w:bottom w:val="single" w:sz="4" w:space="0" w:color="auto"/>
              <w:right w:val="single" w:sz="4" w:space="0" w:color="auto"/>
            </w:tcBorders>
            <w:noWrap/>
            <w:vAlign w:val="center"/>
            <w:hideMark/>
          </w:tcPr>
          <w:p w14:paraId="79CB718C" w14:textId="77777777" w:rsidR="006F23BC" w:rsidRPr="004147ED" w:rsidRDefault="006F23BC"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371 786 610</w:t>
            </w:r>
          </w:p>
        </w:tc>
        <w:tc>
          <w:tcPr>
            <w:tcW w:w="3271" w:type="dxa"/>
            <w:tcBorders>
              <w:top w:val="nil"/>
              <w:left w:val="nil"/>
              <w:bottom w:val="single" w:sz="4" w:space="0" w:color="auto"/>
              <w:right w:val="single" w:sz="4" w:space="0" w:color="auto"/>
            </w:tcBorders>
            <w:noWrap/>
            <w:vAlign w:val="center"/>
            <w:hideMark/>
          </w:tcPr>
          <w:p w14:paraId="0CCFF209" w14:textId="77777777" w:rsidR="006F23BC" w:rsidRPr="004147ED" w:rsidRDefault="006F23BC"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354 578 729</w:t>
            </w:r>
          </w:p>
        </w:tc>
        <w:tc>
          <w:tcPr>
            <w:tcW w:w="1482" w:type="dxa"/>
            <w:tcBorders>
              <w:top w:val="nil"/>
              <w:left w:val="nil"/>
              <w:bottom w:val="single" w:sz="4" w:space="0" w:color="auto"/>
              <w:right w:val="single" w:sz="4" w:space="0" w:color="auto"/>
            </w:tcBorders>
            <w:noWrap/>
            <w:vAlign w:val="center"/>
            <w:hideMark/>
          </w:tcPr>
          <w:p w14:paraId="20850595" w14:textId="0C360669" w:rsidR="006F23BC" w:rsidRPr="004147ED" w:rsidRDefault="00B42130"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w:t>
            </w:r>
            <w:r w:rsidR="006F23BC" w:rsidRPr="004147ED">
              <w:rPr>
                <w:rFonts w:ascii="Times New Roman" w:eastAsia="Times New Roman" w:hAnsi="Times New Roman" w:cs="Times New Roman"/>
                <w:sz w:val="20"/>
                <w:szCs w:val="20"/>
                <w:lang w:eastAsia="lv-LV"/>
              </w:rPr>
              <w:t>17 207 881</w:t>
            </w:r>
          </w:p>
        </w:tc>
      </w:tr>
      <w:tr w:rsidR="006F23BC" w:rsidRPr="004147ED" w14:paraId="7891EF7A" w14:textId="77777777" w:rsidTr="00E02557">
        <w:trPr>
          <w:trHeight w:val="340"/>
          <w:jc w:val="center"/>
        </w:trPr>
        <w:tc>
          <w:tcPr>
            <w:tcW w:w="1411" w:type="dxa"/>
            <w:tcBorders>
              <w:top w:val="nil"/>
              <w:left w:val="single" w:sz="4" w:space="0" w:color="auto"/>
              <w:bottom w:val="single" w:sz="4" w:space="0" w:color="auto"/>
              <w:right w:val="single" w:sz="4" w:space="0" w:color="auto"/>
            </w:tcBorders>
            <w:noWrap/>
            <w:vAlign w:val="center"/>
            <w:hideMark/>
          </w:tcPr>
          <w:p w14:paraId="265C3231" w14:textId="77777777" w:rsidR="006F23BC" w:rsidRPr="004147ED" w:rsidRDefault="006F23BC" w:rsidP="00131F02">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2024</w:t>
            </w:r>
          </w:p>
        </w:tc>
        <w:tc>
          <w:tcPr>
            <w:tcW w:w="3343" w:type="dxa"/>
            <w:tcBorders>
              <w:top w:val="nil"/>
              <w:left w:val="nil"/>
              <w:bottom w:val="single" w:sz="4" w:space="0" w:color="auto"/>
              <w:right w:val="single" w:sz="4" w:space="0" w:color="auto"/>
            </w:tcBorders>
            <w:noWrap/>
            <w:vAlign w:val="center"/>
            <w:hideMark/>
          </w:tcPr>
          <w:p w14:paraId="39FE4D7B" w14:textId="77777777" w:rsidR="006F23BC" w:rsidRPr="004147ED" w:rsidRDefault="006F23BC"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354 578 729</w:t>
            </w:r>
          </w:p>
        </w:tc>
        <w:tc>
          <w:tcPr>
            <w:tcW w:w="3271" w:type="dxa"/>
            <w:tcBorders>
              <w:top w:val="nil"/>
              <w:left w:val="nil"/>
              <w:bottom w:val="single" w:sz="4" w:space="0" w:color="auto"/>
              <w:right w:val="single" w:sz="4" w:space="0" w:color="auto"/>
            </w:tcBorders>
            <w:noWrap/>
            <w:vAlign w:val="center"/>
            <w:hideMark/>
          </w:tcPr>
          <w:p w14:paraId="6BEF2CB1" w14:textId="68FDF3DB" w:rsidR="006F23BC" w:rsidRPr="004147ED" w:rsidRDefault="00B42130"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 xml:space="preserve">355 113 464 </w:t>
            </w:r>
          </w:p>
        </w:tc>
        <w:tc>
          <w:tcPr>
            <w:tcW w:w="1482" w:type="dxa"/>
            <w:tcBorders>
              <w:top w:val="nil"/>
              <w:left w:val="nil"/>
              <w:bottom w:val="single" w:sz="4" w:space="0" w:color="auto"/>
              <w:right w:val="single" w:sz="4" w:space="0" w:color="auto"/>
            </w:tcBorders>
            <w:noWrap/>
            <w:vAlign w:val="center"/>
            <w:hideMark/>
          </w:tcPr>
          <w:p w14:paraId="5192674E" w14:textId="7CA86A2D" w:rsidR="006F23BC" w:rsidRPr="004147ED" w:rsidRDefault="00B42130" w:rsidP="00131F02">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534 735</w:t>
            </w:r>
          </w:p>
        </w:tc>
      </w:tr>
      <w:tr w:rsidR="00B42130" w:rsidRPr="004147ED" w14:paraId="20D2D227" w14:textId="77777777" w:rsidTr="00E02557">
        <w:trPr>
          <w:trHeight w:val="340"/>
          <w:jc w:val="center"/>
        </w:trPr>
        <w:tc>
          <w:tcPr>
            <w:tcW w:w="1411" w:type="dxa"/>
            <w:tcBorders>
              <w:top w:val="single" w:sz="4" w:space="0" w:color="auto"/>
              <w:left w:val="single" w:sz="4" w:space="0" w:color="auto"/>
              <w:bottom w:val="single" w:sz="4" w:space="0" w:color="auto"/>
              <w:right w:val="single" w:sz="4" w:space="0" w:color="auto"/>
            </w:tcBorders>
            <w:noWrap/>
            <w:vAlign w:val="center"/>
          </w:tcPr>
          <w:p w14:paraId="17DC71C9" w14:textId="5FDC9BFA" w:rsidR="00B42130" w:rsidRPr="004147ED" w:rsidRDefault="00B42130" w:rsidP="00B42130">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2025</w:t>
            </w:r>
          </w:p>
        </w:tc>
        <w:tc>
          <w:tcPr>
            <w:tcW w:w="3343" w:type="dxa"/>
            <w:tcBorders>
              <w:top w:val="single" w:sz="4" w:space="0" w:color="auto"/>
              <w:left w:val="nil"/>
              <w:bottom w:val="single" w:sz="4" w:space="0" w:color="auto"/>
              <w:right w:val="single" w:sz="4" w:space="0" w:color="auto"/>
            </w:tcBorders>
            <w:noWrap/>
            <w:vAlign w:val="center"/>
          </w:tcPr>
          <w:p w14:paraId="7F05DA06" w14:textId="0D79D264" w:rsidR="00B42130" w:rsidRPr="004147ED" w:rsidRDefault="00B42130" w:rsidP="00B42130">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355 113 464</w:t>
            </w:r>
          </w:p>
        </w:tc>
        <w:tc>
          <w:tcPr>
            <w:tcW w:w="3271" w:type="dxa"/>
            <w:tcBorders>
              <w:top w:val="single" w:sz="4" w:space="0" w:color="auto"/>
              <w:left w:val="nil"/>
              <w:bottom w:val="single" w:sz="4" w:space="0" w:color="auto"/>
              <w:right w:val="single" w:sz="4" w:space="0" w:color="auto"/>
            </w:tcBorders>
            <w:noWrap/>
            <w:vAlign w:val="center"/>
          </w:tcPr>
          <w:p w14:paraId="1E8A0640" w14:textId="1588F6E2" w:rsidR="00B42130" w:rsidRPr="004147ED" w:rsidRDefault="00B42130" w:rsidP="00B42130">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368 941 062</w:t>
            </w:r>
          </w:p>
        </w:tc>
        <w:tc>
          <w:tcPr>
            <w:tcW w:w="1482" w:type="dxa"/>
            <w:tcBorders>
              <w:top w:val="single" w:sz="4" w:space="0" w:color="auto"/>
              <w:left w:val="nil"/>
              <w:bottom w:val="single" w:sz="4" w:space="0" w:color="auto"/>
              <w:right w:val="single" w:sz="4" w:space="0" w:color="auto"/>
            </w:tcBorders>
            <w:noWrap/>
            <w:vAlign w:val="center"/>
          </w:tcPr>
          <w:p w14:paraId="301E98A6" w14:textId="42740A8D" w:rsidR="00B42130" w:rsidRPr="004147ED" w:rsidRDefault="00B42130" w:rsidP="00B42130">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13 827 598</w:t>
            </w:r>
          </w:p>
        </w:tc>
      </w:tr>
    </w:tbl>
    <w:p w14:paraId="119D1ADA" w14:textId="77777777" w:rsidR="006F23BC" w:rsidRPr="005B24ED" w:rsidRDefault="006F23BC" w:rsidP="006F23BC">
      <w:pPr>
        <w:spacing w:after="0" w:line="240" w:lineRule="auto"/>
        <w:ind w:firstLine="709"/>
        <w:jc w:val="both"/>
        <w:rPr>
          <w:rFonts w:ascii="Times New Roman" w:eastAsia="Calibri" w:hAnsi="Times New Roman"/>
          <w:sz w:val="14"/>
          <w:szCs w:val="14"/>
        </w:rPr>
      </w:pPr>
    </w:p>
    <w:p w14:paraId="531BD6AA" w14:textId="0F66138E" w:rsidR="006F23BC" w:rsidRPr="00F81AF8" w:rsidRDefault="53BB34BF" w:rsidP="469479B5">
      <w:pPr>
        <w:pStyle w:val="NormalWeb"/>
        <w:spacing w:before="0" w:beforeAutospacing="0" w:after="0" w:afterAutospacing="0"/>
        <w:ind w:firstLine="709"/>
        <w:jc w:val="both"/>
        <w:textAlignment w:val="baseline"/>
      </w:pPr>
      <w:r>
        <w:t>Valsts galvoto aizdevumu atlikums 202</w:t>
      </w:r>
      <w:r w:rsidR="00B42130">
        <w:t>5</w:t>
      </w:r>
      <w:r>
        <w:t>.</w:t>
      </w:r>
      <w:r w:rsidR="1A329B64">
        <w:t xml:space="preserve"> </w:t>
      </w:r>
      <w:r>
        <w:t>gada 30.</w:t>
      </w:r>
      <w:r w:rsidR="7FD89F6B">
        <w:t xml:space="preserve"> </w:t>
      </w:r>
      <w:r>
        <w:t xml:space="preserve">aprīlī bija </w:t>
      </w:r>
      <w:r w:rsidR="00B42130">
        <w:t>368,9</w:t>
      </w:r>
      <w:r>
        <w:t xml:space="preserve"> milj. </w:t>
      </w:r>
      <w:r w:rsidRPr="469479B5">
        <w:rPr>
          <w:i/>
          <w:iCs/>
        </w:rPr>
        <w:t xml:space="preserve">euro, </w:t>
      </w:r>
      <w:r>
        <w:t xml:space="preserve">kas </w:t>
      </w:r>
      <w:r w:rsidR="00B42130">
        <w:t>ir</w:t>
      </w:r>
      <w:r>
        <w:t xml:space="preserve"> par </w:t>
      </w:r>
      <w:r w:rsidR="00B42130">
        <w:t>13,8</w:t>
      </w:r>
      <w:r>
        <w:t xml:space="preserve"> milj. </w:t>
      </w:r>
      <w:r w:rsidRPr="469479B5">
        <w:rPr>
          <w:i/>
          <w:iCs/>
        </w:rPr>
        <w:t>euro</w:t>
      </w:r>
      <w:r>
        <w:t xml:space="preserve"> </w:t>
      </w:r>
      <w:r w:rsidR="00B42130">
        <w:t xml:space="preserve">vairāk </w:t>
      </w:r>
      <w:r>
        <w:t>kā 202</w:t>
      </w:r>
      <w:r w:rsidR="00B42130">
        <w:t>4</w:t>
      </w:r>
      <w:r>
        <w:t>.</w:t>
      </w:r>
      <w:r w:rsidR="3B52478D">
        <w:t xml:space="preserve"> </w:t>
      </w:r>
      <w:r>
        <w:t>gada 31.</w:t>
      </w:r>
      <w:r w:rsidR="0E573C73">
        <w:t xml:space="preserve"> </w:t>
      </w:r>
      <w:r>
        <w:t xml:space="preserve">decembrī, </w:t>
      </w:r>
      <w:r w:rsidR="00B42130">
        <w:t xml:space="preserve">palielinoties lauksaimniecības un lauku attīstības kredītu garantiju apjomam. </w:t>
      </w:r>
    </w:p>
    <w:p w14:paraId="69AE33F2" w14:textId="1A4794D7" w:rsidR="006F23BC" w:rsidRPr="00F81AF8" w:rsidRDefault="006F23BC" w:rsidP="006F23BC">
      <w:pPr>
        <w:spacing w:before="240" w:line="240" w:lineRule="auto"/>
        <w:jc w:val="right"/>
        <w:rPr>
          <w:rFonts w:ascii="Times New Roman" w:hAnsi="Times New Roman" w:cs="Times New Roman"/>
          <w:b/>
          <w:i/>
          <w:sz w:val="24"/>
          <w:szCs w:val="24"/>
        </w:rPr>
      </w:pPr>
      <w:r w:rsidRPr="00F81AF8">
        <w:rPr>
          <w:rFonts w:ascii="Times New Roman" w:hAnsi="Times New Roman" w:cs="Times New Roman"/>
          <w:b/>
          <w:sz w:val="24"/>
          <w:szCs w:val="24"/>
        </w:rPr>
        <w:t>Tabula Nr.2.1.</w:t>
      </w:r>
      <w:r w:rsidR="00B54C11">
        <w:rPr>
          <w:rFonts w:ascii="Times New Roman" w:hAnsi="Times New Roman" w:cs="Times New Roman"/>
          <w:b/>
          <w:sz w:val="24"/>
          <w:szCs w:val="24"/>
        </w:rPr>
        <w:t>2</w:t>
      </w:r>
      <w:r w:rsidRPr="00F81AF8">
        <w:rPr>
          <w:rFonts w:ascii="Times New Roman" w:hAnsi="Times New Roman" w:cs="Times New Roman"/>
          <w:b/>
          <w:sz w:val="24"/>
          <w:szCs w:val="24"/>
        </w:rPr>
        <w:t xml:space="preserve"> </w:t>
      </w:r>
      <w:r>
        <w:rPr>
          <w:rFonts w:ascii="Times New Roman" w:hAnsi="Times New Roman" w:cs="Times New Roman"/>
          <w:b/>
          <w:sz w:val="24"/>
          <w:szCs w:val="24"/>
        </w:rPr>
        <w:t>Valsts</w:t>
      </w:r>
      <w:r w:rsidRPr="00F81AF8">
        <w:rPr>
          <w:rFonts w:ascii="Times New Roman" w:hAnsi="Times New Roman" w:cs="Times New Roman"/>
          <w:b/>
          <w:sz w:val="24"/>
          <w:szCs w:val="24"/>
        </w:rPr>
        <w:t xml:space="preserve"> galvojumu apjomi </w:t>
      </w:r>
      <w:r w:rsidR="00BE3BBD">
        <w:rPr>
          <w:rFonts w:ascii="Times New Roman" w:hAnsi="Times New Roman" w:cs="Times New Roman"/>
          <w:b/>
          <w:sz w:val="24"/>
          <w:szCs w:val="24"/>
        </w:rPr>
        <w:t xml:space="preserve">uz </w:t>
      </w:r>
      <w:r w:rsidRPr="00F81AF8">
        <w:rPr>
          <w:rFonts w:ascii="Times New Roman" w:hAnsi="Times New Roman" w:cs="Times New Roman"/>
          <w:b/>
          <w:sz w:val="24"/>
          <w:szCs w:val="24"/>
        </w:rPr>
        <w:t>202</w:t>
      </w:r>
      <w:r w:rsidR="00B42130">
        <w:rPr>
          <w:rFonts w:ascii="Times New Roman" w:hAnsi="Times New Roman" w:cs="Times New Roman"/>
          <w:b/>
          <w:sz w:val="24"/>
          <w:szCs w:val="24"/>
        </w:rPr>
        <w:t>5</w:t>
      </w:r>
      <w:r w:rsidRPr="00F81AF8">
        <w:rPr>
          <w:rFonts w:ascii="Times New Roman" w:hAnsi="Times New Roman" w:cs="Times New Roman"/>
          <w:b/>
          <w:sz w:val="24"/>
          <w:szCs w:val="24"/>
        </w:rPr>
        <w:t>.</w:t>
      </w:r>
      <w:r>
        <w:rPr>
          <w:rFonts w:ascii="Times New Roman" w:hAnsi="Times New Roman" w:cs="Times New Roman"/>
          <w:b/>
          <w:sz w:val="24"/>
          <w:szCs w:val="24"/>
        </w:rPr>
        <w:t> </w:t>
      </w:r>
      <w:r w:rsidRPr="00F81AF8">
        <w:rPr>
          <w:rFonts w:ascii="Times New Roman" w:hAnsi="Times New Roman" w:cs="Times New Roman"/>
          <w:b/>
          <w:sz w:val="24"/>
          <w:szCs w:val="24"/>
        </w:rPr>
        <w:t xml:space="preserve">gada </w:t>
      </w:r>
      <w:r>
        <w:rPr>
          <w:rFonts w:ascii="Times New Roman" w:hAnsi="Times New Roman" w:cs="Times New Roman"/>
          <w:b/>
          <w:sz w:val="24"/>
          <w:szCs w:val="24"/>
        </w:rPr>
        <w:t>30. aprīli</w:t>
      </w:r>
    </w:p>
    <w:tbl>
      <w:tblPr>
        <w:tblW w:w="9923" w:type="dxa"/>
        <w:jc w:val="center"/>
        <w:tblLayout w:type="fixed"/>
        <w:tblLook w:val="04A0" w:firstRow="1" w:lastRow="0" w:firstColumn="1" w:lastColumn="0" w:noHBand="0" w:noVBand="1"/>
      </w:tblPr>
      <w:tblGrid>
        <w:gridCol w:w="5762"/>
        <w:gridCol w:w="1920"/>
        <w:gridCol w:w="2241"/>
      </w:tblGrid>
      <w:tr w:rsidR="006F23BC" w:rsidRPr="004147ED" w14:paraId="3218E582" w14:textId="77777777" w:rsidTr="00E252EB">
        <w:trPr>
          <w:trHeight w:val="293"/>
          <w:tblHeader/>
          <w:jc w:val="center"/>
        </w:trPr>
        <w:tc>
          <w:tcPr>
            <w:tcW w:w="510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B0BA880" w14:textId="77777777" w:rsidR="006F23BC" w:rsidRPr="004147ED" w:rsidRDefault="006F23BC" w:rsidP="00604169">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sz w:val="20"/>
                <w:szCs w:val="20"/>
                <w:lang w:eastAsia="lv-LV"/>
              </w:rPr>
              <w:t>Mērķis (Aizdevējs)</w:t>
            </w:r>
          </w:p>
        </w:tc>
        <w:tc>
          <w:tcPr>
            <w:tcW w:w="1701"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94C0B51" w14:textId="18D7ADBB" w:rsidR="006F23BC" w:rsidRPr="004147ED" w:rsidRDefault="006F23BC" w:rsidP="00604169">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sz w:val="20"/>
                <w:szCs w:val="20"/>
                <w:lang w:eastAsia="lv-LV"/>
              </w:rPr>
              <w:t xml:space="preserve">Galvojuma apmērs, </w:t>
            </w:r>
            <w:r w:rsidRPr="004147ED">
              <w:rPr>
                <w:rFonts w:ascii="Times New Roman" w:eastAsia="Times New Roman" w:hAnsi="Times New Roman" w:cs="Times New Roman"/>
                <w:b/>
                <w:bCs/>
                <w:i/>
                <w:color w:val="000000"/>
                <w:sz w:val="20"/>
                <w:szCs w:val="20"/>
                <w:lang w:eastAsia="lv-LV"/>
              </w:rPr>
              <w:t>euro</w:t>
            </w:r>
          </w:p>
        </w:tc>
        <w:tc>
          <w:tcPr>
            <w:tcW w:w="198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255B13F2" w14:textId="77777777" w:rsidR="006F23BC" w:rsidRPr="004147ED" w:rsidRDefault="006F23BC" w:rsidP="00604169">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sz w:val="20"/>
                <w:szCs w:val="20"/>
                <w:lang w:eastAsia="lv-LV"/>
              </w:rPr>
              <w:t>Galvojuma apmērs attiecībā pret kopējo valsts galvojumu portfeli, %</w:t>
            </w:r>
          </w:p>
        </w:tc>
      </w:tr>
      <w:tr w:rsidR="00B42130" w:rsidRPr="004147ED" w14:paraId="5C4C14C7" w14:textId="77777777" w:rsidTr="00F90E4B">
        <w:trPr>
          <w:trHeight w:val="617"/>
          <w:jc w:val="center"/>
        </w:trPr>
        <w:tc>
          <w:tcPr>
            <w:tcW w:w="5103" w:type="dxa"/>
            <w:tcBorders>
              <w:top w:val="nil"/>
              <w:left w:val="single" w:sz="4" w:space="0" w:color="auto"/>
              <w:bottom w:val="single" w:sz="4" w:space="0" w:color="auto"/>
              <w:right w:val="single" w:sz="4" w:space="0" w:color="auto"/>
            </w:tcBorders>
            <w:shd w:val="clear" w:color="000000" w:fill="FFFFFF"/>
            <w:noWrap/>
            <w:vAlign w:val="center"/>
          </w:tcPr>
          <w:p w14:paraId="002987B8" w14:textId="77777777" w:rsidR="00B42130" w:rsidRPr="004147ED" w:rsidRDefault="00B42130" w:rsidP="00B42130">
            <w:pPr>
              <w:spacing w:before="40" w:after="40" w:line="240" w:lineRule="auto"/>
              <w:jc w:val="center"/>
              <w:rPr>
                <w:rFonts w:ascii="Times New Roman" w:hAnsi="Times New Roman" w:cs="Times New Roman"/>
                <w:sz w:val="20"/>
                <w:szCs w:val="20"/>
              </w:rPr>
            </w:pPr>
            <w:r w:rsidRPr="004147ED">
              <w:rPr>
                <w:rFonts w:ascii="Times New Roman" w:hAnsi="Times New Roman" w:cs="Times New Roman"/>
                <w:sz w:val="20"/>
                <w:szCs w:val="20"/>
              </w:rPr>
              <w:t>Lauksaimniecības un lauku attīstības kredītu garantijas (dažādas kredītiestādes)</w:t>
            </w:r>
          </w:p>
        </w:tc>
        <w:tc>
          <w:tcPr>
            <w:tcW w:w="1701" w:type="dxa"/>
            <w:tcBorders>
              <w:top w:val="nil"/>
              <w:left w:val="nil"/>
              <w:bottom w:val="single" w:sz="4" w:space="0" w:color="auto"/>
              <w:right w:val="single" w:sz="4" w:space="0" w:color="auto"/>
            </w:tcBorders>
            <w:shd w:val="clear" w:color="000000" w:fill="FFFFFF"/>
            <w:noWrap/>
            <w:vAlign w:val="center"/>
          </w:tcPr>
          <w:p w14:paraId="54484900" w14:textId="48F04587" w:rsidR="00B42130" w:rsidRPr="004147ED" w:rsidRDefault="00B42130" w:rsidP="00B42130">
            <w:pPr>
              <w:spacing w:before="40" w:after="40" w:line="240" w:lineRule="auto"/>
              <w:jc w:val="center"/>
              <w:rPr>
                <w:rFonts w:ascii="Times New Roman" w:hAnsi="Times New Roman" w:cs="Times New Roman"/>
                <w:color w:val="000000"/>
                <w:sz w:val="20"/>
                <w:szCs w:val="20"/>
              </w:rPr>
            </w:pPr>
            <w:r w:rsidRPr="004147ED">
              <w:rPr>
                <w:rFonts w:ascii="Times New Roman" w:eastAsia="Times New Roman" w:hAnsi="Times New Roman" w:cs="Times New Roman"/>
                <w:color w:val="000000" w:themeColor="text1"/>
                <w:sz w:val="20"/>
                <w:szCs w:val="20"/>
              </w:rPr>
              <w:t>255 754 192</w:t>
            </w:r>
          </w:p>
        </w:tc>
        <w:tc>
          <w:tcPr>
            <w:tcW w:w="1985" w:type="dxa"/>
            <w:tcBorders>
              <w:top w:val="nil"/>
              <w:left w:val="nil"/>
              <w:bottom w:val="single" w:sz="4" w:space="0" w:color="auto"/>
              <w:right w:val="single" w:sz="4" w:space="0" w:color="auto"/>
            </w:tcBorders>
            <w:shd w:val="clear" w:color="000000" w:fill="FFFFFF"/>
            <w:vAlign w:val="center"/>
          </w:tcPr>
          <w:p w14:paraId="742576D1" w14:textId="3AED50BF" w:rsidR="00B42130" w:rsidRPr="004147ED" w:rsidRDefault="00B42130" w:rsidP="00B42130">
            <w:pPr>
              <w:spacing w:before="40" w:after="4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 xml:space="preserve">69,3% </w:t>
            </w:r>
          </w:p>
        </w:tc>
      </w:tr>
      <w:tr w:rsidR="00B42130" w:rsidRPr="004147ED" w14:paraId="0AABDD3A" w14:textId="77777777" w:rsidTr="00F90E4B">
        <w:trPr>
          <w:trHeight w:val="839"/>
          <w:jc w:val="center"/>
        </w:trPr>
        <w:tc>
          <w:tcPr>
            <w:tcW w:w="5103" w:type="dxa"/>
            <w:tcBorders>
              <w:top w:val="nil"/>
              <w:left w:val="single" w:sz="4" w:space="0" w:color="auto"/>
              <w:bottom w:val="single" w:sz="4" w:space="0" w:color="auto"/>
              <w:right w:val="single" w:sz="4" w:space="0" w:color="auto"/>
            </w:tcBorders>
            <w:shd w:val="clear" w:color="000000" w:fill="FFFFFF"/>
            <w:noWrap/>
            <w:vAlign w:val="center"/>
          </w:tcPr>
          <w:p w14:paraId="6DC60303" w14:textId="0A993CAA" w:rsidR="00B42130" w:rsidRPr="004147ED" w:rsidRDefault="00B42130" w:rsidP="00B42130">
            <w:pPr>
              <w:spacing w:before="40" w:after="40" w:line="240" w:lineRule="auto"/>
              <w:jc w:val="center"/>
              <w:rPr>
                <w:rFonts w:ascii="Times New Roman" w:hAnsi="Times New Roman" w:cs="Times New Roman"/>
                <w:sz w:val="20"/>
                <w:szCs w:val="20"/>
              </w:rPr>
            </w:pPr>
            <w:r w:rsidRPr="004147ED">
              <w:rPr>
                <w:rFonts w:ascii="Times New Roman" w:hAnsi="Times New Roman" w:cs="Times New Roman"/>
                <w:sz w:val="20"/>
                <w:szCs w:val="20"/>
              </w:rPr>
              <w:t>Eiropas pagaidu atbalsta instruments bezdarba riska mazināšanai ārkārtas situācijā (SURE) pēc COVID</w:t>
            </w:r>
            <w:r w:rsidRPr="004147ED">
              <w:rPr>
                <w:rFonts w:ascii="Times New Roman" w:hAnsi="Times New Roman" w:cs="Times New Roman"/>
                <w:color w:val="000000" w:themeColor="text1"/>
                <w:sz w:val="20"/>
                <w:szCs w:val="20"/>
              </w:rPr>
              <w:t>–</w:t>
            </w:r>
            <w:r w:rsidRPr="004147ED">
              <w:rPr>
                <w:rFonts w:ascii="Times New Roman" w:hAnsi="Times New Roman" w:cs="Times New Roman"/>
                <w:sz w:val="20"/>
                <w:szCs w:val="20"/>
              </w:rPr>
              <w:t>19 uzliesmojuma ES dalībvalstīm 3 (EK)</w:t>
            </w:r>
          </w:p>
        </w:tc>
        <w:tc>
          <w:tcPr>
            <w:tcW w:w="1701" w:type="dxa"/>
            <w:tcBorders>
              <w:top w:val="nil"/>
              <w:left w:val="nil"/>
              <w:bottom w:val="single" w:sz="4" w:space="0" w:color="auto"/>
              <w:right w:val="single" w:sz="4" w:space="0" w:color="auto"/>
            </w:tcBorders>
            <w:shd w:val="clear" w:color="000000" w:fill="FFFFFF"/>
            <w:noWrap/>
            <w:vAlign w:val="center"/>
          </w:tcPr>
          <w:p w14:paraId="09356E2B" w14:textId="19C74CA3" w:rsidR="00B42130" w:rsidRPr="004147ED" w:rsidRDefault="00B42130" w:rsidP="00B42130">
            <w:pPr>
              <w:spacing w:before="40" w:after="40" w:line="240" w:lineRule="auto"/>
              <w:jc w:val="center"/>
              <w:rPr>
                <w:rFonts w:ascii="Times New Roman" w:hAnsi="Times New Roman" w:cs="Times New Roman"/>
                <w:color w:val="000000"/>
                <w:sz w:val="20"/>
                <w:szCs w:val="20"/>
              </w:rPr>
            </w:pPr>
            <w:r w:rsidRPr="004147ED">
              <w:rPr>
                <w:rFonts w:ascii="Times New Roman" w:hAnsi="Times New Roman" w:cs="Times New Roman"/>
                <w:color w:val="000000"/>
                <w:sz w:val="20"/>
                <w:szCs w:val="20"/>
              </w:rPr>
              <w:t>57 070 750</w:t>
            </w:r>
          </w:p>
        </w:tc>
        <w:tc>
          <w:tcPr>
            <w:tcW w:w="1985" w:type="dxa"/>
            <w:tcBorders>
              <w:top w:val="nil"/>
              <w:left w:val="nil"/>
              <w:bottom w:val="single" w:sz="4" w:space="0" w:color="auto"/>
              <w:right w:val="single" w:sz="4" w:space="0" w:color="auto"/>
            </w:tcBorders>
            <w:shd w:val="clear" w:color="000000" w:fill="FFFFFF"/>
            <w:vAlign w:val="center"/>
          </w:tcPr>
          <w:p w14:paraId="61D02F1A" w14:textId="72E15CE1" w:rsidR="00B42130" w:rsidRPr="004147ED" w:rsidRDefault="00B42130" w:rsidP="00B42130">
            <w:pPr>
              <w:spacing w:before="40" w:after="4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 xml:space="preserve">15,5% </w:t>
            </w:r>
          </w:p>
        </w:tc>
      </w:tr>
      <w:tr w:rsidR="00B42130" w:rsidRPr="004147ED" w14:paraId="05940F0B" w14:textId="77777777" w:rsidTr="00F90E4B">
        <w:trPr>
          <w:trHeight w:val="293"/>
          <w:jc w:val="center"/>
        </w:trPr>
        <w:tc>
          <w:tcPr>
            <w:tcW w:w="5103" w:type="dxa"/>
            <w:tcBorders>
              <w:top w:val="nil"/>
              <w:left w:val="single" w:sz="4" w:space="0" w:color="auto"/>
              <w:bottom w:val="single" w:sz="4" w:space="0" w:color="auto"/>
              <w:right w:val="single" w:sz="4" w:space="0" w:color="auto"/>
            </w:tcBorders>
            <w:shd w:val="clear" w:color="000000" w:fill="FFFFFF"/>
            <w:noWrap/>
            <w:vAlign w:val="center"/>
          </w:tcPr>
          <w:p w14:paraId="7E52B94E" w14:textId="77777777" w:rsidR="00B42130" w:rsidRPr="004147ED" w:rsidRDefault="00B42130" w:rsidP="00B42130">
            <w:pPr>
              <w:spacing w:before="40" w:after="4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Studiju un studējošo kreditēšana (dažādas kredītiestādes)</w:t>
            </w:r>
          </w:p>
        </w:tc>
        <w:tc>
          <w:tcPr>
            <w:tcW w:w="1701" w:type="dxa"/>
            <w:tcBorders>
              <w:top w:val="nil"/>
              <w:left w:val="nil"/>
              <w:bottom w:val="single" w:sz="4" w:space="0" w:color="auto"/>
              <w:right w:val="single" w:sz="4" w:space="0" w:color="auto"/>
            </w:tcBorders>
            <w:shd w:val="clear" w:color="000000" w:fill="FFFFFF"/>
            <w:noWrap/>
            <w:vAlign w:val="center"/>
          </w:tcPr>
          <w:p w14:paraId="469BF13A" w14:textId="374BEF33" w:rsidR="00B42130" w:rsidRPr="004147ED" w:rsidRDefault="00B42130" w:rsidP="00B42130">
            <w:pPr>
              <w:spacing w:before="40" w:after="40" w:line="240" w:lineRule="auto"/>
              <w:jc w:val="center"/>
              <w:rPr>
                <w:rFonts w:ascii="Times New Roman" w:hAnsi="Times New Roman" w:cs="Times New Roman"/>
                <w:color w:val="000000"/>
                <w:sz w:val="20"/>
                <w:szCs w:val="20"/>
              </w:rPr>
            </w:pPr>
            <w:r w:rsidRPr="004147ED">
              <w:rPr>
                <w:rFonts w:ascii="Times New Roman" w:eastAsia="Times New Roman" w:hAnsi="Times New Roman" w:cs="Times New Roman"/>
                <w:color w:val="000000" w:themeColor="text1"/>
                <w:sz w:val="20"/>
                <w:szCs w:val="20"/>
              </w:rPr>
              <w:t>27 447 981</w:t>
            </w:r>
          </w:p>
        </w:tc>
        <w:tc>
          <w:tcPr>
            <w:tcW w:w="1985" w:type="dxa"/>
            <w:tcBorders>
              <w:top w:val="nil"/>
              <w:left w:val="nil"/>
              <w:bottom w:val="single" w:sz="4" w:space="0" w:color="auto"/>
              <w:right w:val="single" w:sz="4" w:space="0" w:color="auto"/>
            </w:tcBorders>
            <w:shd w:val="clear" w:color="000000" w:fill="FFFFFF"/>
            <w:vAlign w:val="center"/>
          </w:tcPr>
          <w:p w14:paraId="67821CB4" w14:textId="2598C8F7" w:rsidR="00B42130" w:rsidRPr="004147ED" w:rsidRDefault="00B42130" w:rsidP="00B42130">
            <w:pPr>
              <w:spacing w:before="40" w:after="4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 xml:space="preserve">7,4% </w:t>
            </w:r>
          </w:p>
        </w:tc>
      </w:tr>
      <w:tr w:rsidR="00B42130" w:rsidRPr="004147ED" w14:paraId="583497D4" w14:textId="77777777" w:rsidTr="00F90E4B">
        <w:trPr>
          <w:trHeight w:val="293"/>
          <w:jc w:val="center"/>
        </w:trPr>
        <w:tc>
          <w:tcPr>
            <w:tcW w:w="5103" w:type="dxa"/>
            <w:tcBorders>
              <w:top w:val="nil"/>
              <w:left w:val="single" w:sz="4" w:space="0" w:color="auto"/>
              <w:bottom w:val="single" w:sz="4" w:space="0" w:color="auto"/>
              <w:right w:val="single" w:sz="4" w:space="0" w:color="auto"/>
            </w:tcBorders>
            <w:shd w:val="clear" w:color="000000" w:fill="FFFFFF"/>
            <w:noWrap/>
            <w:vAlign w:val="center"/>
          </w:tcPr>
          <w:p w14:paraId="1C11D0D2" w14:textId="77777777" w:rsidR="00B42130" w:rsidRPr="004147ED" w:rsidRDefault="00B42130" w:rsidP="00B42130">
            <w:pPr>
              <w:spacing w:before="40" w:after="4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Publisko izdevumu administratīvās kapacitātes stabilitātei Ukrainai (Pasaules Banka (SRAB))</w:t>
            </w:r>
          </w:p>
        </w:tc>
        <w:tc>
          <w:tcPr>
            <w:tcW w:w="1701" w:type="dxa"/>
            <w:tcBorders>
              <w:top w:val="nil"/>
              <w:left w:val="nil"/>
              <w:bottom w:val="single" w:sz="4" w:space="0" w:color="auto"/>
              <w:right w:val="single" w:sz="4" w:space="0" w:color="auto"/>
            </w:tcBorders>
            <w:shd w:val="clear" w:color="000000" w:fill="FFFFFF"/>
            <w:noWrap/>
            <w:vAlign w:val="center"/>
          </w:tcPr>
          <w:p w14:paraId="6AFE6A89" w14:textId="4946EF09" w:rsidR="00B42130" w:rsidRPr="004147ED" w:rsidRDefault="00B42130" w:rsidP="00B42130">
            <w:pPr>
              <w:spacing w:before="40" w:after="40" w:line="240" w:lineRule="auto"/>
              <w:jc w:val="center"/>
              <w:rPr>
                <w:rFonts w:ascii="Times New Roman" w:hAnsi="Times New Roman" w:cs="Times New Roman"/>
                <w:color w:val="000000"/>
                <w:sz w:val="20"/>
                <w:szCs w:val="20"/>
              </w:rPr>
            </w:pPr>
            <w:r w:rsidRPr="004147ED">
              <w:rPr>
                <w:rFonts w:ascii="Times New Roman" w:hAnsi="Times New Roman" w:cs="Times New Roman"/>
                <w:color w:val="000000"/>
                <w:sz w:val="20"/>
                <w:szCs w:val="20"/>
              </w:rPr>
              <w:t>10 000 000</w:t>
            </w:r>
          </w:p>
        </w:tc>
        <w:tc>
          <w:tcPr>
            <w:tcW w:w="1985" w:type="dxa"/>
            <w:tcBorders>
              <w:top w:val="nil"/>
              <w:left w:val="nil"/>
              <w:bottom w:val="single" w:sz="4" w:space="0" w:color="auto"/>
              <w:right w:val="single" w:sz="4" w:space="0" w:color="auto"/>
            </w:tcBorders>
            <w:shd w:val="clear" w:color="000000" w:fill="FFFFFF"/>
            <w:vAlign w:val="center"/>
          </w:tcPr>
          <w:p w14:paraId="3D49EDCD" w14:textId="6B38EEA7" w:rsidR="00B42130" w:rsidRPr="004147ED" w:rsidRDefault="00B42130" w:rsidP="00B42130">
            <w:pPr>
              <w:spacing w:before="40" w:after="4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 xml:space="preserve">2,7% </w:t>
            </w:r>
          </w:p>
        </w:tc>
      </w:tr>
      <w:tr w:rsidR="00B42130" w:rsidRPr="004147ED" w14:paraId="2AE97EF2" w14:textId="77777777" w:rsidTr="00F90E4B">
        <w:trPr>
          <w:trHeight w:val="293"/>
          <w:jc w:val="center"/>
        </w:trPr>
        <w:tc>
          <w:tcPr>
            <w:tcW w:w="5103" w:type="dxa"/>
            <w:tcBorders>
              <w:top w:val="nil"/>
              <w:left w:val="single" w:sz="4" w:space="0" w:color="auto"/>
              <w:bottom w:val="single" w:sz="4" w:space="0" w:color="auto"/>
              <w:right w:val="single" w:sz="4" w:space="0" w:color="auto"/>
            </w:tcBorders>
            <w:shd w:val="clear" w:color="000000" w:fill="FFFFFF"/>
            <w:noWrap/>
            <w:vAlign w:val="center"/>
          </w:tcPr>
          <w:p w14:paraId="74B18F5B" w14:textId="551F8565" w:rsidR="00B42130" w:rsidRPr="004147ED" w:rsidRDefault="00B42130" w:rsidP="00B42130">
            <w:pPr>
              <w:spacing w:before="40" w:after="4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 xml:space="preserve">VAS </w:t>
            </w:r>
            <w:r w:rsidR="00E31135">
              <w:rPr>
                <w:rFonts w:ascii="Times New Roman" w:eastAsia="Times New Roman" w:hAnsi="Times New Roman" w:cs="Times New Roman"/>
                <w:color w:val="000000"/>
                <w:sz w:val="20"/>
                <w:szCs w:val="20"/>
                <w:lang w:eastAsia="lv-LV"/>
              </w:rPr>
              <w:t>“</w:t>
            </w:r>
            <w:r w:rsidRPr="004147ED">
              <w:rPr>
                <w:rFonts w:ascii="Times New Roman" w:eastAsia="Times New Roman" w:hAnsi="Times New Roman" w:cs="Times New Roman"/>
                <w:color w:val="000000"/>
                <w:sz w:val="20"/>
                <w:szCs w:val="20"/>
                <w:lang w:eastAsia="lv-LV"/>
              </w:rPr>
              <w:t>Valsts nekustamie īpašumi</w:t>
            </w:r>
            <w:r w:rsidR="00E31135">
              <w:rPr>
                <w:rFonts w:ascii="Times New Roman" w:eastAsia="Times New Roman" w:hAnsi="Times New Roman" w:cs="Times New Roman"/>
                <w:color w:val="000000"/>
                <w:sz w:val="20"/>
                <w:szCs w:val="20"/>
                <w:lang w:eastAsia="lv-LV"/>
              </w:rPr>
              <w:t>”</w:t>
            </w:r>
            <w:r w:rsidRPr="004147ED">
              <w:rPr>
                <w:rFonts w:ascii="Times New Roman" w:eastAsia="Times New Roman" w:hAnsi="Times New Roman" w:cs="Times New Roman"/>
                <w:color w:val="000000"/>
                <w:sz w:val="20"/>
                <w:szCs w:val="20"/>
                <w:lang w:eastAsia="lv-LV"/>
              </w:rPr>
              <w:t xml:space="preserve"> (AS </w:t>
            </w:r>
            <w:r w:rsidR="00E31135">
              <w:rPr>
                <w:rFonts w:ascii="Times New Roman" w:eastAsia="Times New Roman" w:hAnsi="Times New Roman" w:cs="Times New Roman"/>
                <w:color w:val="000000"/>
                <w:sz w:val="20"/>
                <w:szCs w:val="20"/>
                <w:lang w:eastAsia="lv-LV"/>
              </w:rPr>
              <w:t>“</w:t>
            </w:r>
            <w:r w:rsidRPr="004147ED">
              <w:rPr>
                <w:rFonts w:ascii="Times New Roman" w:eastAsia="Times New Roman" w:hAnsi="Times New Roman" w:cs="Times New Roman"/>
                <w:color w:val="000000"/>
                <w:sz w:val="20"/>
                <w:szCs w:val="20"/>
                <w:lang w:eastAsia="lv-LV"/>
              </w:rPr>
              <w:t>Swedbank</w:t>
            </w:r>
            <w:r w:rsidR="00E31135">
              <w:rPr>
                <w:rFonts w:ascii="Times New Roman" w:eastAsia="Times New Roman" w:hAnsi="Times New Roman" w:cs="Times New Roman"/>
                <w:color w:val="000000"/>
                <w:sz w:val="20"/>
                <w:szCs w:val="20"/>
                <w:lang w:eastAsia="lv-LV"/>
              </w:rPr>
              <w:t>”</w:t>
            </w:r>
            <w:r w:rsidRPr="004147ED">
              <w:rPr>
                <w:rFonts w:ascii="Times New Roman" w:eastAsia="Times New Roman" w:hAnsi="Times New Roman" w:cs="Times New Roman"/>
                <w:color w:val="000000"/>
                <w:sz w:val="20"/>
                <w:szCs w:val="20"/>
                <w:lang w:eastAsia="lv-LV"/>
              </w:rPr>
              <w:t>)</w:t>
            </w:r>
          </w:p>
        </w:tc>
        <w:tc>
          <w:tcPr>
            <w:tcW w:w="1701" w:type="dxa"/>
            <w:tcBorders>
              <w:top w:val="nil"/>
              <w:left w:val="nil"/>
              <w:bottom w:val="single" w:sz="4" w:space="0" w:color="auto"/>
              <w:right w:val="single" w:sz="4" w:space="0" w:color="auto"/>
            </w:tcBorders>
            <w:shd w:val="clear" w:color="000000" w:fill="FFFFFF"/>
            <w:noWrap/>
            <w:vAlign w:val="center"/>
          </w:tcPr>
          <w:p w14:paraId="5AD5931D" w14:textId="6385F885" w:rsidR="00B42130" w:rsidRPr="004147ED" w:rsidRDefault="00B42130" w:rsidP="00B42130">
            <w:pPr>
              <w:spacing w:before="40" w:after="40" w:line="240" w:lineRule="auto"/>
              <w:jc w:val="center"/>
              <w:rPr>
                <w:rFonts w:ascii="Times New Roman" w:hAnsi="Times New Roman" w:cs="Times New Roman"/>
                <w:color w:val="000000"/>
                <w:sz w:val="20"/>
                <w:szCs w:val="20"/>
              </w:rPr>
            </w:pPr>
            <w:r w:rsidRPr="004147ED">
              <w:rPr>
                <w:rFonts w:ascii="Times New Roman" w:eastAsia="Times New Roman" w:hAnsi="Times New Roman" w:cs="Times New Roman"/>
                <w:color w:val="000000" w:themeColor="text1"/>
                <w:sz w:val="20"/>
                <w:szCs w:val="20"/>
              </w:rPr>
              <w:t>7 969 103</w:t>
            </w:r>
          </w:p>
        </w:tc>
        <w:tc>
          <w:tcPr>
            <w:tcW w:w="1985" w:type="dxa"/>
            <w:tcBorders>
              <w:top w:val="nil"/>
              <w:left w:val="nil"/>
              <w:bottom w:val="single" w:sz="4" w:space="0" w:color="auto"/>
              <w:right w:val="single" w:sz="4" w:space="0" w:color="auto"/>
            </w:tcBorders>
            <w:shd w:val="clear" w:color="000000" w:fill="FFFFFF"/>
            <w:vAlign w:val="center"/>
          </w:tcPr>
          <w:p w14:paraId="4E799F85" w14:textId="2A3DBAEB" w:rsidR="00B42130" w:rsidRPr="004147ED" w:rsidRDefault="00B42130" w:rsidP="00B42130">
            <w:pPr>
              <w:spacing w:before="40" w:after="4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 xml:space="preserve">2,2% </w:t>
            </w:r>
          </w:p>
        </w:tc>
      </w:tr>
      <w:tr w:rsidR="00B42130" w:rsidRPr="004147ED" w14:paraId="2092E136" w14:textId="77777777" w:rsidTr="00F90E4B">
        <w:trPr>
          <w:trHeight w:val="293"/>
          <w:jc w:val="center"/>
        </w:trPr>
        <w:tc>
          <w:tcPr>
            <w:tcW w:w="5103" w:type="dxa"/>
            <w:tcBorders>
              <w:top w:val="nil"/>
              <w:left w:val="single" w:sz="4" w:space="0" w:color="auto"/>
              <w:bottom w:val="single" w:sz="4" w:space="0" w:color="auto"/>
              <w:right w:val="single" w:sz="4" w:space="0" w:color="auto"/>
            </w:tcBorders>
            <w:shd w:val="clear" w:color="000000" w:fill="FFFFFF"/>
            <w:noWrap/>
            <w:vAlign w:val="center"/>
          </w:tcPr>
          <w:p w14:paraId="5AB7C448" w14:textId="022F6768" w:rsidR="00B42130" w:rsidRPr="004147ED" w:rsidRDefault="00B42130" w:rsidP="00B42130">
            <w:pPr>
              <w:spacing w:before="40" w:after="4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Ārkārtas makro finansiālajai palīdzībai Ukrainai (EK)</w:t>
            </w:r>
          </w:p>
        </w:tc>
        <w:tc>
          <w:tcPr>
            <w:tcW w:w="1701" w:type="dxa"/>
            <w:tcBorders>
              <w:top w:val="nil"/>
              <w:left w:val="nil"/>
              <w:bottom w:val="single" w:sz="4" w:space="0" w:color="auto"/>
              <w:right w:val="single" w:sz="4" w:space="0" w:color="auto"/>
            </w:tcBorders>
            <w:shd w:val="clear" w:color="000000" w:fill="FFFFFF"/>
            <w:noWrap/>
            <w:vAlign w:val="center"/>
          </w:tcPr>
          <w:p w14:paraId="56F1EB1A" w14:textId="5815C675" w:rsidR="00B42130" w:rsidRPr="004147ED" w:rsidRDefault="00B42130" w:rsidP="00B42130">
            <w:pPr>
              <w:spacing w:before="40" w:after="40" w:line="240" w:lineRule="auto"/>
              <w:jc w:val="center"/>
              <w:rPr>
                <w:rFonts w:ascii="Times New Roman" w:hAnsi="Times New Roman" w:cs="Times New Roman"/>
                <w:color w:val="000000"/>
                <w:sz w:val="20"/>
                <w:szCs w:val="20"/>
              </w:rPr>
            </w:pPr>
            <w:r w:rsidRPr="004147ED">
              <w:rPr>
                <w:rFonts w:ascii="Times New Roman" w:eastAsia="Times New Roman" w:hAnsi="Times New Roman" w:cs="Times New Roman"/>
                <w:color w:val="000000" w:themeColor="text1"/>
                <w:sz w:val="20"/>
                <w:szCs w:val="20"/>
              </w:rPr>
              <w:t xml:space="preserve">8 095 766 </w:t>
            </w:r>
          </w:p>
        </w:tc>
        <w:tc>
          <w:tcPr>
            <w:tcW w:w="1985" w:type="dxa"/>
            <w:tcBorders>
              <w:top w:val="nil"/>
              <w:left w:val="nil"/>
              <w:bottom w:val="single" w:sz="4" w:space="0" w:color="auto"/>
              <w:right w:val="single" w:sz="4" w:space="0" w:color="auto"/>
            </w:tcBorders>
            <w:shd w:val="clear" w:color="000000" w:fill="FFFFFF"/>
            <w:vAlign w:val="center"/>
          </w:tcPr>
          <w:p w14:paraId="19D52255" w14:textId="3B70C96A" w:rsidR="00B42130" w:rsidRPr="004147ED" w:rsidRDefault="00B42130" w:rsidP="00B42130">
            <w:pPr>
              <w:spacing w:before="40" w:after="4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 xml:space="preserve">2,2% </w:t>
            </w:r>
          </w:p>
        </w:tc>
      </w:tr>
      <w:tr w:rsidR="00B42130" w:rsidRPr="004147ED" w14:paraId="2E16B79C" w14:textId="77777777" w:rsidTr="00F90E4B">
        <w:trPr>
          <w:trHeight w:val="293"/>
          <w:jc w:val="center"/>
        </w:trPr>
        <w:tc>
          <w:tcPr>
            <w:tcW w:w="5103" w:type="dxa"/>
            <w:tcBorders>
              <w:top w:val="nil"/>
              <w:left w:val="single" w:sz="4" w:space="0" w:color="auto"/>
              <w:bottom w:val="single" w:sz="4" w:space="0" w:color="auto"/>
              <w:right w:val="single" w:sz="4" w:space="0" w:color="auto"/>
            </w:tcBorders>
            <w:shd w:val="clear" w:color="000000" w:fill="FFFFFF"/>
            <w:noWrap/>
            <w:vAlign w:val="center"/>
          </w:tcPr>
          <w:p w14:paraId="3DD68F49" w14:textId="71D2BBA6" w:rsidR="00B42130" w:rsidRPr="004147ED" w:rsidRDefault="00B42130" w:rsidP="00B42130">
            <w:pPr>
              <w:spacing w:before="40" w:after="4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 xml:space="preserve">VAS </w:t>
            </w:r>
            <w:r w:rsidR="00E31135">
              <w:rPr>
                <w:rFonts w:ascii="Times New Roman" w:eastAsia="Times New Roman" w:hAnsi="Times New Roman" w:cs="Times New Roman"/>
                <w:color w:val="000000"/>
                <w:sz w:val="20"/>
                <w:szCs w:val="20"/>
                <w:lang w:eastAsia="lv-LV"/>
              </w:rPr>
              <w:t>“</w:t>
            </w:r>
            <w:r w:rsidRPr="004147ED">
              <w:rPr>
                <w:rFonts w:ascii="Times New Roman" w:eastAsia="Times New Roman" w:hAnsi="Times New Roman" w:cs="Times New Roman"/>
                <w:color w:val="000000"/>
                <w:sz w:val="20"/>
                <w:szCs w:val="20"/>
                <w:lang w:eastAsia="lv-LV"/>
              </w:rPr>
              <w:t>Attīstības finanšu institūcija Altum</w:t>
            </w:r>
            <w:r w:rsidR="00E31135">
              <w:rPr>
                <w:rFonts w:ascii="Times New Roman" w:eastAsia="Times New Roman" w:hAnsi="Times New Roman" w:cs="Times New Roman"/>
                <w:color w:val="000000"/>
                <w:sz w:val="20"/>
                <w:szCs w:val="20"/>
                <w:lang w:eastAsia="lv-LV"/>
              </w:rPr>
              <w:t>”</w:t>
            </w:r>
            <w:r w:rsidRPr="004147ED">
              <w:rPr>
                <w:rFonts w:ascii="Times New Roman" w:eastAsia="Times New Roman" w:hAnsi="Times New Roman" w:cs="Times New Roman"/>
                <w:color w:val="000000"/>
                <w:sz w:val="20"/>
                <w:szCs w:val="20"/>
                <w:lang w:eastAsia="lv-LV"/>
              </w:rPr>
              <w:t xml:space="preserve"> (EIB)</w:t>
            </w:r>
          </w:p>
        </w:tc>
        <w:tc>
          <w:tcPr>
            <w:tcW w:w="1701" w:type="dxa"/>
            <w:tcBorders>
              <w:top w:val="nil"/>
              <w:left w:val="nil"/>
              <w:bottom w:val="single" w:sz="4" w:space="0" w:color="auto"/>
              <w:right w:val="single" w:sz="4" w:space="0" w:color="auto"/>
            </w:tcBorders>
            <w:shd w:val="clear" w:color="000000" w:fill="FFFFFF"/>
            <w:noWrap/>
            <w:vAlign w:val="center"/>
          </w:tcPr>
          <w:p w14:paraId="6B43C5F9" w14:textId="087E3BC3" w:rsidR="00B42130" w:rsidRPr="004147ED" w:rsidRDefault="00B42130" w:rsidP="00B42130">
            <w:pPr>
              <w:spacing w:before="40" w:after="40" w:line="240" w:lineRule="auto"/>
              <w:jc w:val="center"/>
              <w:rPr>
                <w:rFonts w:ascii="Times New Roman" w:hAnsi="Times New Roman" w:cs="Times New Roman"/>
                <w:color w:val="000000"/>
                <w:sz w:val="20"/>
                <w:szCs w:val="20"/>
              </w:rPr>
            </w:pPr>
            <w:r w:rsidRPr="004147ED">
              <w:rPr>
                <w:rFonts w:ascii="Times New Roman" w:eastAsia="Times New Roman" w:hAnsi="Times New Roman" w:cs="Times New Roman"/>
                <w:color w:val="000000" w:themeColor="text1"/>
                <w:sz w:val="20"/>
                <w:szCs w:val="20"/>
              </w:rPr>
              <w:t>1 540 859</w:t>
            </w:r>
          </w:p>
        </w:tc>
        <w:tc>
          <w:tcPr>
            <w:tcW w:w="1985" w:type="dxa"/>
            <w:tcBorders>
              <w:top w:val="nil"/>
              <w:left w:val="nil"/>
              <w:bottom w:val="single" w:sz="4" w:space="0" w:color="auto"/>
              <w:right w:val="single" w:sz="4" w:space="0" w:color="auto"/>
            </w:tcBorders>
            <w:shd w:val="clear" w:color="000000" w:fill="FFFFFF"/>
            <w:vAlign w:val="center"/>
          </w:tcPr>
          <w:p w14:paraId="220ED539" w14:textId="5213AD5F" w:rsidR="00B42130" w:rsidRPr="004147ED" w:rsidRDefault="00B42130" w:rsidP="00B42130">
            <w:pPr>
              <w:spacing w:before="40" w:after="4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 xml:space="preserve">0,4% </w:t>
            </w:r>
          </w:p>
        </w:tc>
      </w:tr>
      <w:tr w:rsidR="00B42130" w:rsidRPr="004147ED" w14:paraId="310A6F5D" w14:textId="77777777" w:rsidTr="00F90E4B">
        <w:trPr>
          <w:trHeight w:val="293"/>
          <w:jc w:val="center"/>
        </w:trPr>
        <w:tc>
          <w:tcPr>
            <w:tcW w:w="5103" w:type="dxa"/>
            <w:tcBorders>
              <w:top w:val="nil"/>
              <w:left w:val="single" w:sz="4" w:space="0" w:color="auto"/>
              <w:bottom w:val="single" w:sz="4" w:space="0" w:color="auto"/>
              <w:right w:val="single" w:sz="4" w:space="0" w:color="auto"/>
            </w:tcBorders>
            <w:shd w:val="clear" w:color="000000" w:fill="FFFFFF"/>
            <w:noWrap/>
            <w:vAlign w:val="center"/>
          </w:tcPr>
          <w:p w14:paraId="388EB596" w14:textId="09886E26" w:rsidR="00B42130" w:rsidRPr="004147ED" w:rsidRDefault="00B42130" w:rsidP="00B42130">
            <w:pPr>
              <w:spacing w:before="40" w:after="40" w:line="240" w:lineRule="auto"/>
              <w:jc w:val="center"/>
              <w:rPr>
                <w:rFonts w:ascii="Times New Roman" w:hAnsi="Times New Roman" w:cs="Times New Roman"/>
                <w:sz w:val="20"/>
                <w:szCs w:val="20"/>
              </w:rPr>
            </w:pPr>
            <w:r w:rsidRPr="004147ED">
              <w:rPr>
                <w:rFonts w:ascii="Times New Roman" w:hAnsi="Times New Roman" w:cs="Times New Roman"/>
                <w:sz w:val="20"/>
                <w:szCs w:val="20"/>
              </w:rPr>
              <w:t xml:space="preserve">Latvijas Olimpiskā komiteja (AS </w:t>
            </w:r>
            <w:r w:rsidR="00E31135">
              <w:rPr>
                <w:rFonts w:ascii="Times New Roman" w:hAnsi="Times New Roman" w:cs="Times New Roman"/>
                <w:sz w:val="20"/>
                <w:szCs w:val="20"/>
              </w:rPr>
              <w:t>“</w:t>
            </w:r>
            <w:r w:rsidRPr="004147ED">
              <w:rPr>
                <w:rFonts w:ascii="Times New Roman" w:hAnsi="Times New Roman" w:cs="Times New Roman"/>
                <w:sz w:val="20"/>
                <w:szCs w:val="20"/>
              </w:rPr>
              <w:t>Swedbank</w:t>
            </w:r>
            <w:r w:rsidR="00E31135">
              <w:rPr>
                <w:rFonts w:ascii="Times New Roman" w:hAnsi="Times New Roman" w:cs="Times New Roman"/>
                <w:sz w:val="20"/>
                <w:szCs w:val="20"/>
              </w:rPr>
              <w:t>”</w:t>
            </w:r>
            <w:r w:rsidRPr="004147ED">
              <w:rPr>
                <w:rFonts w:ascii="Times New Roman" w:hAnsi="Times New Roman" w:cs="Times New Roman"/>
                <w:sz w:val="20"/>
                <w:szCs w:val="20"/>
              </w:rPr>
              <w:t>)</w:t>
            </w:r>
          </w:p>
        </w:tc>
        <w:tc>
          <w:tcPr>
            <w:tcW w:w="1701" w:type="dxa"/>
            <w:tcBorders>
              <w:top w:val="nil"/>
              <w:left w:val="nil"/>
              <w:bottom w:val="single" w:sz="4" w:space="0" w:color="auto"/>
              <w:right w:val="single" w:sz="4" w:space="0" w:color="auto"/>
            </w:tcBorders>
            <w:shd w:val="clear" w:color="000000" w:fill="FFFFFF"/>
            <w:noWrap/>
            <w:vAlign w:val="center"/>
          </w:tcPr>
          <w:p w14:paraId="55D91422" w14:textId="29F6F59A" w:rsidR="00B42130" w:rsidRPr="004147ED" w:rsidRDefault="00B42130" w:rsidP="00B42130">
            <w:pPr>
              <w:spacing w:before="40" w:after="40" w:line="240" w:lineRule="auto"/>
              <w:jc w:val="center"/>
              <w:rPr>
                <w:rFonts w:ascii="Times New Roman" w:hAnsi="Times New Roman" w:cs="Times New Roman"/>
                <w:color w:val="000000"/>
                <w:sz w:val="20"/>
                <w:szCs w:val="20"/>
              </w:rPr>
            </w:pPr>
            <w:r w:rsidRPr="004147ED">
              <w:rPr>
                <w:rFonts w:ascii="Times New Roman" w:eastAsia="Times New Roman" w:hAnsi="Times New Roman" w:cs="Times New Roman"/>
                <w:color w:val="000000" w:themeColor="text1"/>
                <w:sz w:val="20"/>
                <w:szCs w:val="20"/>
              </w:rPr>
              <w:t>1 062 411</w:t>
            </w:r>
          </w:p>
        </w:tc>
        <w:tc>
          <w:tcPr>
            <w:tcW w:w="1985" w:type="dxa"/>
            <w:tcBorders>
              <w:top w:val="nil"/>
              <w:left w:val="nil"/>
              <w:bottom w:val="single" w:sz="4" w:space="0" w:color="auto"/>
              <w:right w:val="single" w:sz="4" w:space="0" w:color="auto"/>
            </w:tcBorders>
            <w:shd w:val="clear" w:color="000000" w:fill="FFFFFF"/>
            <w:vAlign w:val="center"/>
          </w:tcPr>
          <w:p w14:paraId="03E631A0" w14:textId="296F24DB" w:rsidR="00B42130" w:rsidRPr="004147ED" w:rsidRDefault="00B42130" w:rsidP="00B42130">
            <w:pPr>
              <w:spacing w:before="40" w:after="4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0,3%</w:t>
            </w:r>
          </w:p>
        </w:tc>
      </w:tr>
      <w:tr w:rsidR="00434FF3" w:rsidRPr="004147ED" w14:paraId="4689DCF2" w14:textId="77777777" w:rsidTr="00F90E4B">
        <w:trPr>
          <w:trHeight w:val="293"/>
          <w:jc w:val="center"/>
        </w:trPr>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EBC5C9" w14:textId="2128CDA5" w:rsidR="00434FF3" w:rsidRPr="004147ED" w:rsidRDefault="00434FF3" w:rsidP="00B42130">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Kopā</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010F9CD2" w14:textId="191C1547" w:rsidR="00434FF3" w:rsidRPr="004147ED" w:rsidRDefault="00434FF3" w:rsidP="00B42130">
            <w:pPr>
              <w:spacing w:before="40" w:after="4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368 941 062</w:t>
            </w:r>
          </w:p>
        </w:tc>
        <w:tc>
          <w:tcPr>
            <w:tcW w:w="1985" w:type="dxa"/>
            <w:tcBorders>
              <w:top w:val="single" w:sz="4" w:space="0" w:color="auto"/>
              <w:left w:val="nil"/>
              <w:bottom w:val="single" w:sz="4" w:space="0" w:color="auto"/>
              <w:right w:val="single" w:sz="4" w:space="0" w:color="auto"/>
            </w:tcBorders>
            <w:shd w:val="clear" w:color="000000" w:fill="FFFFFF"/>
            <w:vAlign w:val="center"/>
          </w:tcPr>
          <w:p w14:paraId="4EFFCDE0" w14:textId="69010A8E" w:rsidR="00434FF3" w:rsidRPr="004147ED" w:rsidRDefault="00434FF3" w:rsidP="00B42130">
            <w:pPr>
              <w:spacing w:before="40" w:after="4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100%</w:t>
            </w:r>
          </w:p>
        </w:tc>
      </w:tr>
    </w:tbl>
    <w:p w14:paraId="3A60851E" w14:textId="77777777" w:rsidR="00466DA6" w:rsidRDefault="00466DA6" w:rsidP="469479B5">
      <w:pPr>
        <w:pStyle w:val="NormalWeb"/>
        <w:spacing w:before="0" w:beforeAutospacing="0" w:after="0" w:afterAutospacing="0"/>
        <w:ind w:firstLine="709"/>
        <w:jc w:val="both"/>
        <w:textAlignment w:val="baseline"/>
        <w:rPr>
          <w:rFonts w:eastAsia="Calibri"/>
        </w:rPr>
      </w:pPr>
    </w:p>
    <w:p w14:paraId="19FB346A" w14:textId="4C8F8EA7" w:rsidR="00D84C00" w:rsidRPr="00F81AF8" w:rsidRDefault="05732BEB" w:rsidP="469479B5">
      <w:pPr>
        <w:pStyle w:val="NormalWeb"/>
        <w:spacing w:before="0" w:beforeAutospacing="0" w:after="0" w:afterAutospacing="0"/>
        <w:ind w:firstLine="709"/>
        <w:jc w:val="both"/>
        <w:textAlignment w:val="baseline"/>
        <w:rPr>
          <w:rFonts w:eastAsia="Calibri"/>
        </w:rPr>
      </w:pPr>
      <w:r w:rsidRPr="469479B5">
        <w:rPr>
          <w:rFonts w:eastAsia="Calibri"/>
        </w:rPr>
        <w:t>G</w:t>
      </w:r>
      <w:r w:rsidR="523268B8" w:rsidRPr="469479B5">
        <w:rPr>
          <w:rFonts w:eastAsia="Calibri"/>
        </w:rPr>
        <w:t>alvojumus Starptautiskās rekonstrukcijas un attīstības bankai (Pasaules Bankas grupas ietvaros) un EK atbalstam Ukrainai</w:t>
      </w:r>
      <w:r w:rsidRPr="469479B5">
        <w:rPr>
          <w:rFonts w:eastAsia="Calibri"/>
        </w:rPr>
        <w:t xml:space="preserve"> L</w:t>
      </w:r>
      <w:r w:rsidR="007B0D80">
        <w:rPr>
          <w:rFonts w:eastAsia="Calibri"/>
        </w:rPr>
        <w:t xml:space="preserve">R </w:t>
      </w:r>
      <w:r w:rsidRPr="469479B5">
        <w:rPr>
          <w:rFonts w:eastAsia="Calibri"/>
        </w:rPr>
        <w:t>izsniedza 2022.</w:t>
      </w:r>
      <w:r w:rsidR="6B0AA161" w:rsidRPr="469479B5">
        <w:rPr>
          <w:rFonts w:eastAsia="Calibri"/>
        </w:rPr>
        <w:t xml:space="preserve"> </w:t>
      </w:r>
      <w:r w:rsidRPr="469479B5">
        <w:rPr>
          <w:rFonts w:eastAsia="Calibri"/>
        </w:rPr>
        <w:t>gadā</w:t>
      </w:r>
      <w:r w:rsidR="523268B8" w:rsidRPr="469479B5">
        <w:rPr>
          <w:rFonts w:eastAsia="Calibri"/>
        </w:rPr>
        <w:t xml:space="preserve">. </w:t>
      </w:r>
    </w:p>
    <w:p w14:paraId="24F9C524" w14:textId="792FB0AD" w:rsidR="00546447" w:rsidRPr="005963DE" w:rsidRDefault="05732BEB" w:rsidP="469479B5">
      <w:pPr>
        <w:pStyle w:val="NormalWeb"/>
        <w:spacing w:before="0" w:beforeAutospacing="0" w:after="0" w:afterAutospacing="0"/>
        <w:ind w:firstLine="709"/>
        <w:jc w:val="both"/>
        <w:textAlignment w:val="baseline"/>
        <w:rPr>
          <w:rFonts w:eastAsia="Calibri"/>
        </w:rPr>
      </w:pPr>
      <w:r w:rsidRPr="469479B5">
        <w:rPr>
          <w:rFonts w:eastAsia="Calibri"/>
        </w:rPr>
        <w:t>V</w:t>
      </w:r>
      <w:r w:rsidR="395A4771" w:rsidRPr="469479B5">
        <w:rPr>
          <w:rFonts w:eastAsia="Calibri"/>
        </w:rPr>
        <w:t xml:space="preserve">alsts galvojuma līgumu ar Starptautiskās rekonstrukcijas un attīstības banku (Pasaules Bankas grupas ietvaros) par aizdevumu Ukrainai 10,0 milj. </w:t>
      </w:r>
      <w:r w:rsidR="395A4771" w:rsidRPr="469479B5">
        <w:rPr>
          <w:rFonts w:eastAsia="Calibri"/>
          <w:i/>
          <w:iCs/>
        </w:rPr>
        <w:t>euro</w:t>
      </w:r>
      <w:r w:rsidR="395A4771" w:rsidRPr="469479B5">
        <w:rPr>
          <w:rFonts w:eastAsia="Calibri"/>
        </w:rPr>
        <w:t xml:space="preserve"> un aizdevuma procentiem “Publisko izdevumu administratīvās kapacitātes stiprināšanai Ukrainā” projekta ietvaros</w:t>
      </w:r>
      <w:r w:rsidRPr="469479B5">
        <w:rPr>
          <w:rFonts w:eastAsia="Calibri"/>
        </w:rPr>
        <w:t xml:space="preserve"> L</w:t>
      </w:r>
      <w:r w:rsidR="007B0D80">
        <w:rPr>
          <w:rFonts w:eastAsia="Calibri"/>
        </w:rPr>
        <w:t xml:space="preserve">R </w:t>
      </w:r>
      <w:r w:rsidRPr="469479B5">
        <w:rPr>
          <w:rFonts w:eastAsia="Calibri"/>
        </w:rPr>
        <w:t>parakstīja 2022.</w:t>
      </w:r>
      <w:r w:rsidR="7551CF64" w:rsidRPr="469479B5">
        <w:rPr>
          <w:rFonts w:eastAsia="Calibri"/>
        </w:rPr>
        <w:t xml:space="preserve"> </w:t>
      </w:r>
      <w:r w:rsidRPr="469479B5">
        <w:rPr>
          <w:rFonts w:eastAsia="Calibri"/>
        </w:rPr>
        <w:t>gada 11.</w:t>
      </w:r>
      <w:r w:rsidR="5E854580" w:rsidRPr="469479B5">
        <w:rPr>
          <w:rFonts w:eastAsia="Calibri"/>
        </w:rPr>
        <w:t xml:space="preserve"> </w:t>
      </w:r>
      <w:r w:rsidRPr="469479B5">
        <w:rPr>
          <w:rFonts w:eastAsia="Calibri"/>
        </w:rPr>
        <w:t xml:space="preserve">jūlijā saskaņā ar </w:t>
      </w:r>
      <w:r w:rsidRPr="469479B5">
        <w:rPr>
          <w:rFonts w:eastAsia="Calibri"/>
          <w:i/>
          <w:iCs/>
        </w:rPr>
        <w:t>Ukrainas civiliedzīvotāju atbalsta likuma</w:t>
      </w:r>
      <w:r w:rsidRPr="469479B5">
        <w:rPr>
          <w:rFonts w:eastAsia="Calibri"/>
        </w:rPr>
        <w:t xml:space="preserve"> 8.</w:t>
      </w:r>
      <w:r w:rsidRPr="469479B5">
        <w:rPr>
          <w:rFonts w:eastAsia="Calibri"/>
          <w:vertAlign w:val="superscript"/>
        </w:rPr>
        <w:t>2</w:t>
      </w:r>
      <w:r w:rsidRPr="469479B5">
        <w:rPr>
          <w:rFonts w:eastAsia="Calibri"/>
        </w:rPr>
        <w:t xml:space="preserve"> pantā noteikto</w:t>
      </w:r>
      <w:r w:rsidR="395A4771" w:rsidRPr="469479B5">
        <w:rPr>
          <w:rFonts w:eastAsia="Calibri"/>
        </w:rPr>
        <w:t>. Aizdevuma atmaksas galējais termiņš plānots 2040.</w:t>
      </w:r>
      <w:r w:rsidR="37253732" w:rsidRPr="469479B5">
        <w:rPr>
          <w:rFonts w:eastAsia="Calibri"/>
        </w:rPr>
        <w:t xml:space="preserve"> </w:t>
      </w:r>
      <w:r w:rsidR="395A4771" w:rsidRPr="469479B5">
        <w:rPr>
          <w:rFonts w:eastAsia="Calibri"/>
        </w:rPr>
        <w:t>gada 15.</w:t>
      </w:r>
      <w:r w:rsidR="4697825F" w:rsidRPr="469479B5">
        <w:rPr>
          <w:rFonts w:eastAsia="Calibri"/>
        </w:rPr>
        <w:t xml:space="preserve"> </w:t>
      </w:r>
      <w:r w:rsidR="395A4771" w:rsidRPr="469479B5">
        <w:rPr>
          <w:rFonts w:eastAsia="Calibri"/>
        </w:rPr>
        <w:t>augustā.</w:t>
      </w:r>
    </w:p>
    <w:p w14:paraId="2ECD1E25" w14:textId="36FCD160" w:rsidR="002B720A" w:rsidRDefault="395A4771" w:rsidP="000070BD">
      <w:pPr>
        <w:pStyle w:val="NormalWeb"/>
        <w:spacing w:before="0" w:beforeAutospacing="0" w:after="0" w:afterAutospacing="0"/>
        <w:ind w:firstLine="709"/>
        <w:jc w:val="both"/>
        <w:textAlignment w:val="baseline"/>
      </w:pPr>
      <w:r w:rsidRPr="469479B5">
        <w:rPr>
          <w:rFonts w:eastAsia="Calibri"/>
        </w:rPr>
        <w:t>Savukārt garantijas nolīgumu ar EK, pamatojoties uz</w:t>
      </w:r>
      <w:r>
        <w:t xml:space="preserve"> lēmumu par ārkārtas makrofinansiālo palīdzību Ukrainai</w:t>
      </w:r>
      <w:r w:rsidR="00EC0F9B">
        <w:t>,</w:t>
      </w:r>
      <w:r w:rsidR="05732BEB" w:rsidRPr="469479B5">
        <w:rPr>
          <w:rFonts w:eastAsia="Calibri"/>
        </w:rPr>
        <w:t xml:space="preserve"> L</w:t>
      </w:r>
      <w:r w:rsidR="007B0D80">
        <w:rPr>
          <w:rFonts w:eastAsia="Calibri"/>
        </w:rPr>
        <w:t>R</w:t>
      </w:r>
      <w:r w:rsidR="05732BEB" w:rsidRPr="469479B5">
        <w:rPr>
          <w:rFonts w:eastAsia="Calibri"/>
        </w:rPr>
        <w:t xml:space="preserve"> parakstīja 2022.</w:t>
      </w:r>
      <w:r w:rsidR="06CC5CBB" w:rsidRPr="469479B5">
        <w:rPr>
          <w:rFonts w:eastAsia="Calibri"/>
        </w:rPr>
        <w:t xml:space="preserve"> </w:t>
      </w:r>
      <w:r w:rsidR="05732BEB" w:rsidRPr="469479B5">
        <w:rPr>
          <w:rFonts w:eastAsia="Calibri"/>
        </w:rPr>
        <w:t>gada 1.</w:t>
      </w:r>
      <w:r w:rsidR="5FAA5955" w:rsidRPr="469479B5">
        <w:rPr>
          <w:rFonts w:eastAsia="Calibri"/>
        </w:rPr>
        <w:t xml:space="preserve"> </w:t>
      </w:r>
      <w:r w:rsidR="05732BEB" w:rsidRPr="469479B5">
        <w:rPr>
          <w:rFonts w:eastAsia="Calibri"/>
        </w:rPr>
        <w:t>decembrī</w:t>
      </w:r>
      <w:r>
        <w:t xml:space="preserve">. </w:t>
      </w:r>
      <w:r w:rsidR="00A33F26">
        <w:t>Šis n</w:t>
      </w:r>
      <w:r>
        <w:t>olīgums paredz līdz 2058.</w:t>
      </w:r>
      <w:r w:rsidR="5396C038">
        <w:t xml:space="preserve"> </w:t>
      </w:r>
      <w:r>
        <w:t>gada 31.</w:t>
      </w:r>
      <w:r w:rsidR="4B7127D0">
        <w:t xml:space="preserve"> </w:t>
      </w:r>
      <w:r>
        <w:t>decembrim L</w:t>
      </w:r>
      <w:r w:rsidR="007B0D80">
        <w:t>R</w:t>
      </w:r>
      <w:r>
        <w:t xml:space="preserve"> garantēt aizdevuma pamatsummu </w:t>
      </w:r>
      <w:r w:rsidR="43D50BA0">
        <w:t>kopsummā 8,1 milj. </w:t>
      </w:r>
      <w:r w:rsidR="43D50BA0" w:rsidRPr="469479B5">
        <w:rPr>
          <w:i/>
          <w:iCs/>
        </w:rPr>
        <w:t xml:space="preserve">euro </w:t>
      </w:r>
      <w:r w:rsidR="43D50BA0">
        <w:t>apmērā.</w:t>
      </w:r>
    </w:p>
    <w:p w14:paraId="0575A6F0" w14:textId="71917E17" w:rsidR="006F6A37" w:rsidRDefault="00372A67" w:rsidP="000070BD">
      <w:pPr>
        <w:pStyle w:val="NormalWeb"/>
        <w:spacing w:before="0" w:beforeAutospacing="0" w:after="0" w:afterAutospacing="0"/>
        <w:ind w:firstLine="709"/>
        <w:jc w:val="both"/>
        <w:textAlignment w:val="baseline"/>
      </w:pPr>
      <w:r w:rsidRPr="00372A67">
        <w:rPr>
          <w:i/>
          <w:iCs/>
        </w:rPr>
        <w:t>Eurostat</w:t>
      </w:r>
      <w:r w:rsidRPr="00372A67">
        <w:t xml:space="preserve"> darba grup</w:t>
      </w:r>
      <w:r>
        <w:t>ā</w:t>
      </w:r>
      <w:r w:rsidRPr="00372A67">
        <w:t xml:space="preserve"> “Pārmērīga budžeta deficīta procedūras statistika”</w:t>
      </w:r>
      <w:r w:rsidR="006F6A37" w:rsidRPr="006F6A37">
        <w:t xml:space="preserve"> tiek vērtēta aizdevumu un makrofinansiālās palīdzības Ukrainai statistiskā uzskaite, tai skaitā noskaidrojot </w:t>
      </w:r>
      <w:r w:rsidR="00A95D71">
        <w:t>šīs</w:t>
      </w:r>
      <w:r w:rsidR="006F6A37" w:rsidRPr="006F6A37">
        <w:t xml:space="preserve"> darba grupas viedokli un veicot dalībvalstu aptauju par to, kā ārkārtas makrofinansiālo palīdzību Ukrainai būtu jāuzskaita nacionālajos kontos.</w:t>
      </w:r>
      <w:r w:rsidR="006F6A37">
        <w:t xml:space="preserve"> Pagaidām</w:t>
      </w:r>
      <w:r w:rsidR="007066D1">
        <w:t xml:space="preserve"> </w:t>
      </w:r>
      <w:r w:rsidR="006F6A37" w:rsidRPr="006F6A37">
        <w:t xml:space="preserve">Latvijas galvojums par aizdevumiem Ukrainai netiek uzskaitīts </w:t>
      </w:r>
      <w:r w:rsidR="00A95D71">
        <w:t xml:space="preserve">vispārējās valdības budžeta </w:t>
      </w:r>
      <w:r w:rsidR="006F6A37" w:rsidRPr="006F6A37">
        <w:t>bilancē izdevumu posteņos.</w:t>
      </w:r>
    </w:p>
    <w:p w14:paraId="416EA047" w14:textId="38BE471C" w:rsidR="00E851FE" w:rsidRDefault="523268B8" w:rsidP="469479B5">
      <w:pPr>
        <w:pStyle w:val="NormalWeb"/>
        <w:spacing w:before="0" w:beforeAutospacing="0" w:after="0"/>
        <w:ind w:firstLine="709"/>
        <w:jc w:val="both"/>
        <w:textAlignment w:val="baseline"/>
      </w:pPr>
      <w:r w:rsidRPr="469479B5">
        <w:rPr>
          <w:rFonts w:eastAsia="Calibri"/>
        </w:rPr>
        <w:t>S</w:t>
      </w:r>
      <w:r>
        <w:t xml:space="preserve">tarptautiskās reitingu aģentūras “Fitch”, “R&amp;I”, “Moody’s Investors Service” ir noteikušas Ukrainas kredītreitingu līmenī, kas norāda uz būtiskiem riskiem turpmākai saistību izpildei. Vienlaicīgi jāatzīmē, ka starptautiskā reitingu aģentūra “S&amp;P Global Ratings” </w:t>
      </w:r>
      <w:r w:rsidR="00F7208C" w:rsidRPr="00F7208C">
        <w:t xml:space="preserve">2024. gada 31. augustā noteica Ukrainas kredītreitingu CCC+/C ar </w:t>
      </w:r>
      <w:r w:rsidR="00F7208C" w:rsidRPr="00BA721E">
        <w:rPr>
          <w:i/>
          <w:iCs/>
        </w:rPr>
        <w:t>selected default</w:t>
      </w:r>
      <w:r w:rsidR="00F7208C" w:rsidRPr="00F7208C">
        <w:t xml:space="preserve"> un starptautiskā reitingu aģentūra “Fitch Ratings” 2024. gada 6. decembrī noteica Ukrainas kredītreitingu CC/CCC- ar </w:t>
      </w:r>
      <w:r w:rsidR="00F7208C" w:rsidRPr="00BA721E">
        <w:rPr>
          <w:i/>
          <w:iCs/>
        </w:rPr>
        <w:t>restricted default</w:t>
      </w:r>
      <w:r w:rsidR="00F7208C" w:rsidRPr="00F7208C">
        <w:t xml:space="preserve"> aizņemšanās prognozi ilgtermiņā, kas liecina par gandrīz </w:t>
      </w:r>
      <w:r w:rsidR="00F7208C" w:rsidRPr="00BA721E">
        <w:rPr>
          <w:i/>
          <w:iCs/>
        </w:rPr>
        <w:t>defolta</w:t>
      </w:r>
      <w:r w:rsidR="00F7208C" w:rsidRPr="00F7208C">
        <w:t xml:space="preserve"> stāvokli joprojām notiekošā kara dēļ, tādējādi šis risks ik gadu tiek pārvērtēts, strikti skatoties uz nākamo gadu notikumiem. </w:t>
      </w:r>
      <w:r w:rsidR="00F7208C" w:rsidRPr="00BA721E">
        <w:rPr>
          <w:b/>
          <w:bCs/>
        </w:rPr>
        <w:t>Valsts galvojumiem Ukrainas atbalstam ir izveidoti uzkrājumi</w:t>
      </w:r>
      <w:r w:rsidR="00F7208C" w:rsidRPr="00F7208C">
        <w:t>.</w:t>
      </w:r>
    </w:p>
    <w:p w14:paraId="7AA5E5FE" w14:textId="4E533A74" w:rsidR="00821D16" w:rsidRPr="005963DE" w:rsidRDefault="00D84C00" w:rsidP="00EC597C">
      <w:pPr>
        <w:pStyle w:val="NormalWeb"/>
        <w:spacing w:before="0" w:beforeAutospacing="0" w:after="0" w:afterAutospacing="0"/>
        <w:ind w:firstLine="709"/>
        <w:jc w:val="both"/>
        <w:textAlignment w:val="baseline"/>
        <w:rPr>
          <w:rFonts w:eastAsia="Calibri"/>
        </w:rPr>
      </w:pPr>
      <w:r>
        <w:rPr>
          <w:rFonts w:eastAsia="Calibri"/>
        </w:rPr>
        <w:t xml:space="preserve">Vispārējā kārtībā sniegto </w:t>
      </w:r>
      <w:r w:rsidRPr="0093266C">
        <w:rPr>
          <w:rFonts w:eastAsia="Calibri"/>
        </w:rPr>
        <w:t>g</w:t>
      </w:r>
      <w:r w:rsidR="00821D16" w:rsidRPr="005963DE">
        <w:rPr>
          <w:rFonts w:eastAsia="Calibri"/>
        </w:rPr>
        <w:t>alvojumu risks tiek vadīts, regulāri uzraugot galvojumu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galvojumu saņēmēju pelnītspēja, apgrozāmo līdzekļu pietiekamība īstermiņa saistību segšanai un kapitāla struktūra), kredītvēstur</w:t>
      </w:r>
      <w:r w:rsidR="00E8020C" w:rsidRPr="005963DE">
        <w:rPr>
          <w:rFonts w:eastAsia="Calibri"/>
        </w:rPr>
        <w:t>i</w:t>
      </w:r>
      <w:r w:rsidR="006A25FF" w:rsidRPr="005963DE">
        <w:rPr>
          <w:rFonts w:eastAsia="Calibri"/>
        </w:rPr>
        <w:t xml:space="preserve"> </w:t>
      </w:r>
      <w:r w:rsidR="00821D16" w:rsidRPr="005963DE">
        <w:rPr>
          <w:rFonts w:eastAsia="Calibri"/>
        </w:rPr>
        <w:t>un nodrošinājuma likviditāt</w:t>
      </w:r>
      <w:r w:rsidR="00E8020C" w:rsidRPr="005963DE">
        <w:rPr>
          <w:rFonts w:eastAsia="Calibri"/>
        </w:rPr>
        <w:t>i</w:t>
      </w:r>
      <w:r w:rsidR="00CC30DA" w:rsidRPr="005963DE">
        <w:rPr>
          <w:rFonts w:eastAsia="Calibri"/>
        </w:rPr>
        <w:t xml:space="preserve"> </w:t>
      </w:r>
      <w:r w:rsidR="00821D16" w:rsidRPr="005963DE">
        <w:rPr>
          <w:rFonts w:eastAsia="Calibri"/>
        </w:rPr>
        <w:t>un pietiekamīb</w:t>
      </w:r>
      <w:r w:rsidR="00E8020C" w:rsidRPr="005963DE">
        <w:rPr>
          <w:rFonts w:eastAsia="Calibri"/>
        </w:rPr>
        <w:t>u</w:t>
      </w:r>
      <w:r w:rsidR="00821D16" w:rsidRPr="005963DE">
        <w:rPr>
          <w:rFonts w:eastAsia="Calibri"/>
        </w:rPr>
        <w:t xml:space="preserve">. Situācijās, kad galvojumu risks ir paaugstināts, tiek veikti papildu uzraudzības pasākumi, tai skaitā ikmēneša finanšu pārskatu un atjaunotu biznesa plānu pieprasīšana, tikšanās ar galvojuma saņēmēja vadību. </w:t>
      </w:r>
    </w:p>
    <w:p w14:paraId="1FDA35B6" w14:textId="1CB1C454" w:rsidR="00546447" w:rsidRPr="005963DE" w:rsidRDefault="00D45E73" w:rsidP="00821D1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LBFV</w:t>
      </w:r>
      <w:r w:rsidR="597F8F48" w:rsidRPr="469479B5">
        <w:rPr>
          <w:rFonts w:ascii="Times New Roman" w:eastAsia="Calibri" w:hAnsi="Times New Roman"/>
          <w:sz w:val="24"/>
          <w:szCs w:val="24"/>
        </w:rPr>
        <w:t xml:space="preserve"> ir noteikts potenciālo valsts galvojuma saņēmēju loks un mērķi, kā arī nosacījumi, kuriem īstenojoties valsts galvojumu nesniedz. Valsts galvojumu sniegšanas un uzraudzības kārtību nosaka </w:t>
      </w:r>
      <w:r w:rsidR="453F3EAE" w:rsidRPr="469479B5">
        <w:rPr>
          <w:rFonts w:ascii="Times New Roman" w:eastAsia="Calibri" w:hAnsi="Times New Roman"/>
          <w:sz w:val="24"/>
          <w:szCs w:val="24"/>
        </w:rPr>
        <w:t>MK</w:t>
      </w:r>
      <w:r w:rsidR="597F8F48" w:rsidRPr="469479B5">
        <w:rPr>
          <w:rFonts w:ascii="Times New Roman" w:eastAsia="Calibri" w:hAnsi="Times New Roman"/>
          <w:sz w:val="24"/>
          <w:szCs w:val="24"/>
        </w:rPr>
        <w:t xml:space="preserve"> </w:t>
      </w:r>
      <w:r w:rsidR="591ADA27" w:rsidRPr="469479B5">
        <w:rPr>
          <w:rFonts w:ascii="Times New Roman" w:eastAsia="Calibri" w:hAnsi="Times New Roman"/>
          <w:sz w:val="24"/>
          <w:szCs w:val="24"/>
        </w:rPr>
        <w:t>2014.</w:t>
      </w:r>
      <w:r w:rsidR="35293BFF" w:rsidRPr="469479B5">
        <w:rPr>
          <w:rFonts w:ascii="Times New Roman" w:eastAsia="Calibri" w:hAnsi="Times New Roman"/>
          <w:sz w:val="24"/>
          <w:szCs w:val="24"/>
        </w:rPr>
        <w:t xml:space="preserve"> </w:t>
      </w:r>
      <w:r w:rsidR="591ADA27" w:rsidRPr="469479B5">
        <w:rPr>
          <w:rFonts w:ascii="Times New Roman" w:eastAsia="Calibri" w:hAnsi="Times New Roman"/>
          <w:sz w:val="24"/>
          <w:szCs w:val="24"/>
        </w:rPr>
        <w:t>gada 8.</w:t>
      </w:r>
      <w:r w:rsidR="16854930" w:rsidRPr="469479B5">
        <w:rPr>
          <w:rFonts w:ascii="Times New Roman" w:eastAsia="Calibri" w:hAnsi="Times New Roman"/>
          <w:sz w:val="24"/>
          <w:szCs w:val="24"/>
        </w:rPr>
        <w:t xml:space="preserve"> </w:t>
      </w:r>
      <w:r w:rsidR="591ADA27" w:rsidRPr="469479B5">
        <w:rPr>
          <w:rFonts w:ascii="Times New Roman" w:eastAsia="Calibri" w:hAnsi="Times New Roman"/>
          <w:sz w:val="24"/>
          <w:szCs w:val="24"/>
        </w:rPr>
        <w:t xml:space="preserve">jūlija </w:t>
      </w:r>
      <w:r w:rsidR="597F8F48" w:rsidRPr="469479B5">
        <w:rPr>
          <w:rFonts w:ascii="Times New Roman" w:eastAsia="Calibri" w:hAnsi="Times New Roman"/>
          <w:sz w:val="24"/>
          <w:szCs w:val="24"/>
        </w:rPr>
        <w:t xml:space="preserve">noteikumi Nr.391 </w:t>
      </w:r>
      <w:r w:rsidR="00FD0ED2">
        <w:rPr>
          <w:rFonts w:ascii="Times New Roman" w:eastAsia="Calibri" w:hAnsi="Times New Roman"/>
          <w:sz w:val="24"/>
          <w:szCs w:val="24"/>
        </w:rPr>
        <w:t>“</w:t>
      </w:r>
      <w:r w:rsidR="597F8F48" w:rsidRPr="469479B5">
        <w:rPr>
          <w:rFonts w:ascii="Times New Roman" w:eastAsia="Calibri" w:hAnsi="Times New Roman"/>
          <w:i/>
          <w:iCs/>
          <w:sz w:val="24"/>
          <w:szCs w:val="24"/>
        </w:rPr>
        <w:t>Kārtība, kādā gadskārtējā valsts budžeta likumprojektā iekļauj pieprasījumus valsts vārdā sniedzamajiem galvojumiem, un galvojumu sniegšanas un uzraudzības kārtība</w:t>
      </w:r>
      <w:r w:rsidR="597F8F48" w:rsidRPr="469479B5">
        <w:rPr>
          <w:rFonts w:ascii="Times New Roman" w:eastAsia="Calibri" w:hAnsi="Times New Roman"/>
          <w:sz w:val="24"/>
          <w:szCs w:val="24"/>
        </w:rPr>
        <w:t>”, kas paredz</w:t>
      </w:r>
      <w:r w:rsidR="395A4771" w:rsidRPr="469479B5">
        <w:rPr>
          <w:rFonts w:ascii="Times New Roman" w:eastAsia="Calibri" w:hAnsi="Times New Roman"/>
          <w:sz w:val="24"/>
          <w:szCs w:val="24"/>
        </w:rPr>
        <w:t>:</w:t>
      </w:r>
    </w:p>
    <w:p w14:paraId="44C05197" w14:textId="6C4AE072" w:rsidR="00546447" w:rsidRPr="005963DE" w:rsidRDefault="00546447" w:rsidP="00497710">
      <w:pPr>
        <w:tabs>
          <w:tab w:val="left" w:pos="993"/>
        </w:tabs>
        <w:spacing w:after="0" w:line="240" w:lineRule="auto"/>
        <w:ind w:firstLine="709"/>
        <w:jc w:val="both"/>
        <w:rPr>
          <w:rFonts w:ascii="Times New Roman" w:eastAsia="Calibri" w:hAnsi="Times New Roman"/>
          <w:sz w:val="24"/>
          <w:szCs w:val="24"/>
        </w:rPr>
      </w:pPr>
      <w:r w:rsidRPr="005963DE">
        <w:rPr>
          <w:rFonts w:ascii="Times New Roman" w:eastAsia="Calibri" w:hAnsi="Times New Roman"/>
          <w:sz w:val="24"/>
          <w:szCs w:val="24"/>
        </w:rPr>
        <w:t>-</w:t>
      </w:r>
      <w:r w:rsidR="0009202B" w:rsidRPr="005963DE">
        <w:rPr>
          <w:rFonts w:ascii="Times New Roman" w:eastAsia="Calibri" w:hAnsi="Times New Roman"/>
          <w:sz w:val="24"/>
          <w:szCs w:val="24"/>
        </w:rPr>
        <w:tab/>
      </w:r>
      <w:r w:rsidR="00821D16" w:rsidRPr="005963DE">
        <w:rPr>
          <w:rFonts w:ascii="Times New Roman" w:eastAsia="Calibri" w:hAnsi="Times New Roman"/>
          <w:sz w:val="24"/>
          <w:szCs w:val="24"/>
        </w:rPr>
        <w:t>paaugstināta aizdevuma atmaksas riska noteikšanas kritēriju</w:t>
      </w:r>
      <w:r w:rsidRPr="005963DE">
        <w:rPr>
          <w:rFonts w:ascii="Times New Roman" w:eastAsia="Calibri" w:hAnsi="Times New Roman"/>
          <w:sz w:val="24"/>
          <w:szCs w:val="24"/>
        </w:rPr>
        <w:t>s gadījumos</w:t>
      </w:r>
      <w:r w:rsidR="00821D16" w:rsidRPr="005963DE">
        <w:rPr>
          <w:rFonts w:ascii="Times New Roman" w:eastAsia="Calibri" w:hAnsi="Times New Roman"/>
          <w:sz w:val="24"/>
          <w:szCs w:val="24"/>
        </w:rPr>
        <w:t>,</w:t>
      </w:r>
      <w:r w:rsidRPr="005963DE">
        <w:rPr>
          <w:rFonts w:ascii="Times New Roman" w:eastAsia="Calibri" w:hAnsi="Times New Roman"/>
          <w:sz w:val="24"/>
          <w:szCs w:val="24"/>
        </w:rPr>
        <w:t xml:space="preserve"> kad</w:t>
      </w:r>
      <w:r w:rsidR="00821D16" w:rsidRPr="005963DE">
        <w:rPr>
          <w:rFonts w:ascii="Times New Roman" w:eastAsia="Calibri" w:hAnsi="Times New Roman"/>
          <w:sz w:val="24"/>
          <w:szCs w:val="24"/>
        </w:rPr>
        <w:t xml:space="preserve"> valsts galvojumu nesniedz</w:t>
      </w:r>
      <w:r w:rsidRPr="005963DE">
        <w:rPr>
          <w:rFonts w:ascii="Times New Roman" w:eastAsia="Calibri" w:hAnsi="Times New Roman"/>
          <w:sz w:val="24"/>
          <w:szCs w:val="24"/>
        </w:rPr>
        <w:t>;</w:t>
      </w:r>
    </w:p>
    <w:p w14:paraId="2B64D806" w14:textId="2F6FDFBC" w:rsidR="00546447" w:rsidRPr="005963DE" w:rsidRDefault="00546447" w:rsidP="0009202B">
      <w:pPr>
        <w:tabs>
          <w:tab w:val="left" w:pos="993"/>
        </w:tabs>
        <w:spacing w:after="0" w:line="240" w:lineRule="auto"/>
        <w:ind w:firstLine="709"/>
        <w:jc w:val="both"/>
        <w:rPr>
          <w:rFonts w:ascii="Times New Roman" w:eastAsia="Calibri" w:hAnsi="Times New Roman"/>
          <w:sz w:val="24"/>
          <w:szCs w:val="24"/>
        </w:rPr>
      </w:pPr>
      <w:r w:rsidRPr="005963DE">
        <w:rPr>
          <w:rFonts w:ascii="Times New Roman" w:eastAsia="Calibri" w:hAnsi="Times New Roman"/>
          <w:sz w:val="24"/>
          <w:szCs w:val="24"/>
        </w:rPr>
        <w:t>-</w:t>
      </w:r>
      <w:r w:rsidR="0009202B" w:rsidRPr="005963DE">
        <w:rPr>
          <w:rFonts w:ascii="Times New Roman" w:eastAsia="Calibri" w:hAnsi="Times New Roman"/>
          <w:sz w:val="24"/>
          <w:szCs w:val="24"/>
        </w:rPr>
        <w:tab/>
      </w:r>
      <w:r w:rsidR="00821D16" w:rsidRPr="005963DE">
        <w:rPr>
          <w:rFonts w:ascii="Times New Roman" w:eastAsia="Calibri" w:hAnsi="Times New Roman"/>
          <w:sz w:val="24"/>
          <w:szCs w:val="24"/>
        </w:rPr>
        <w:t>pienākumus</w:t>
      </w:r>
      <w:r w:rsidRPr="005963DE">
        <w:rPr>
          <w:rFonts w:ascii="Times New Roman" w:eastAsia="Calibri" w:hAnsi="Times New Roman"/>
          <w:sz w:val="24"/>
          <w:szCs w:val="24"/>
        </w:rPr>
        <w:t xml:space="preserve"> VK,</w:t>
      </w:r>
      <w:r w:rsidR="00821D16" w:rsidRPr="005963DE">
        <w:rPr>
          <w:rFonts w:ascii="Times New Roman" w:eastAsia="Calibri" w:hAnsi="Times New Roman"/>
          <w:sz w:val="24"/>
          <w:szCs w:val="24"/>
        </w:rPr>
        <w:t xml:space="preserve"> nozares ministrijai</w:t>
      </w:r>
      <w:r w:rsidR="00AE4F9C" w:rsidRPr="005963DE">
        <w:rPr>
          <w:rFonts w:ascii="Times New Roman" w:eastAsia="Calibri" w:hAnsi="Times New Roman"/>
          <w:sz w:val="24"/>
          <w:szCs w:val="24"/>
        </w:rPr>
        <w:t xml:space="preserve"> </w:t>
      </w:r>
      <w:r w:rsidR="00821D16" w:rsidRPr="005963DE">
        <w:rPr>
          <w:rFonts w:ascii="Times New Roman" w:eastAsia="Calibri" w:hAnsi="Times New Roman"/>
          <w:sz w:val="24"/>
          <w:szCs w:val="24"/>
        </w:rPr>
        <w:t>un galvojuma saņēmējam valsts galvoto saistību uzraudzības procesā</w:t>
      </w:r>
      <w:r w:rsidRPr="005963DE">
        <w:rPr>
          <w:rFonts w:ascii="Times New Roman" w:eastAsia="Calibri" w:hAnsi="Times New Roman"/>
          <w:sz w:val="24"/>
          <w:szCs w:val="24"/>
        </w:rPr>
        <w:t>;</w:t>
      </w:r>
    </w:p>
    <w:p w14:paraId="497528E6" w14:textId="475C883A" w:rsidR="00821D16" w:rsidRPr="005963DE" w:rsidRDefault="00546447" w:rsidP="00497710">
      <w:pPr>
        <w:tabs>
          <w:tab w:val="left" w:pos="993"/>
        </w:tabs>
        <w:spacing w:after="0" w:line="240" w:lineRule="auto"/>
        <w:ind w:firstLine="709"/>
        <w:jc w:val="both"/>
        <w:rPr>
          <w:rFonts w:ascii="Times New Roman" w:eastAsia="Calibri" w:hAnsi="Times New Roman"/>
          <w:sz w:val="24"/>
          <w:szCs w:val="24"/>
        </w:rPr>
      </w:pPr>
      <w:r w:rsidRPr="005963DE">
        <w:rPr>
          <w:rFonts w:ascii="Times New Roman" w:eastAsia="Calibri" w:hAnsi="Times New Roman"/>
          <w:sz w:val="24"/>
          <w:szCs w:val="24"/>
        </w:rPr>
        <w:t>-</w:t>
      </w:r>
      <w:r w:rsidR="0009202B" w:rsidRPr="005963DE">
        <w:rPr>
          <w:rFonts w:ascii="Times New Roman" w:eastAsia="Calibri" w:hAnsi="Times New Roman"/>
          <w:sz w:val="24"/>
          <w:szCs w:val="24"/>
        </w:rPr>
        <w:tab/>
      </w:r>
      <w:r w:rsidR="00821D16" w:rsidRPr="005963DE">
        <w:rPr>
          <w:rFonts w:ascii="Times New Roman" w:eastAsia="Calibri" w:hAnsi="Times New Roman"/>
          <w:sz w:val="24"/>
          <w:szCs w:val="24"/>
        </w:rPr>
        <w:t>rīcību galvojuma saņēmēja finanšu rādītāju vai nodrošinājuma vērtības samazināšanās gadījumā (</w:t>
      </w:r>
      <w:r w:rsidR="00375AB7" w:rsidRPr="005963DE">
        <w:rPr>
          <w:rFonts w:ascii="Times New Roman" w:eastAsia="Calibri" w:hAnsi="Times New Roman"/>
          <w:sz w:val="24"/>
          <w:szCs w:val="24"/>
        </w:rPr>
        <w:t>t.i.</w:t>
      </w:r>
      <w:r w:rsidR="00D84C00" w:rsidRPr="005963DE">
        <w:rPr>
          <w:rFonts w:ascii="Times New Roman" w:eastAsia="Calibri" w:hAnsi="Times New Roman"/>
          <w:sz w:val="24"/>
          <w:szCs w:val="24"/>
        </w:rPr>
        <w:t>,</w:t>
      </w:r>
      <w:r w:rsidR="00375AB7" w:rsidRPr="005963DE">
        <w:rPr>
          <w:rFonts w:ascii="Times New Roman" w:eastAsia="Calibri" w:hAnsi="Times New Roman"/>
          <w:sz w:val="24"/>
          <w:szCs w:val="24"/>
        </w:rPr>
        <w:t xml:space="preserve"> </w:t>
      </w:r>
      <w:r w:rsidR="00821D16" w:rsidRPr="005963DE">
        <w:rPr>
          <w:rFonts w:ascii="Times New Roman" w:eastAsia="Calibri" w:hAnsi="Times New Roman"/>
          <w:sz w:val="24"/>
          <w:szCs w:val="24"/>
        </w:rPr>
        <w:t xml:space="preserve">iespēja pārskatīt riska procentu likmi, pieprasīt zvērināta revidenta atzinumu par finansiālo stāvokli, kā arī tiesības piekļūt galvojuma saņēmēja informācijai, kas attiecas uz tā saimniecisko darbību un valsts galvotā aizdevuma izlietošanu), lai tiktu nodrošināta valsts interešu aizsardzība. </w:t>
      </w:r>
    </w:p>
    <w:p w14:paraId="44CD3A1B" w14:textId="32D13EB6" w:rsidR="006A7302" w:rsidRPr="005963DE" w:rsidRDefault="00821D16" w:rsidP="00495160">
      <w:pPr>
        <w:spacing w:after="0" w:line="240" w:lineRule="auto"/>
        <w:ind w:firstLine="709"/>
        <w:jc w:val="both"/>
        <w:rPr>
          <w:rFonts w:ascii="Times New Roman" w:eastAsia="Calibri" w:hAnsi="Times New Roman"/>
          <w:sz w:val="24"/>
          <w:szCs w:val="24"/>
        </w:rPr>
      </w:pPr>
      <w:r w:rsidRPr="005963DE">
        <w:rPr>
          <w:rFonts w:ascii="Times New Roman" w:eastAsia="Calibri" w:hAnsi="Times New Roman"/>
          <w:sz w:val="24"/>
          <w:szCs w:val="24"/>
        </w:rPr>
        <w:t xml:space="preserve">Valsts galvoto aizdevumu portfeļa uzraudzības procesa ietvaros </w:t>
      </w:r>
      <w:r w:rsidR="00F7208C" w:rsidRPr="609F3A9C">
        <w:rPr>
          <w:rFonts w:ascii="Times New Roman" w:eastAsia="Calibri" w:hAnsi="Times New Roman"/>
          <w:sz w:val="24"/>
          <w:szCs w:val="24"/>
        </w:rPr>
        <w:t xml:space="preserve">vienu reizi gadā finanšu ministrs iesniedz MK informatīvo ziņojumu par valsts galvoto aizdevumu portfeļa kvalitāti. Ja </w:t>
      </w:r>
      <w:r w:rsidRPr="005963DE">
        <w:rPr>
          <w:rFonts w:ascii="Times New Roman" w:eastAsia="Calibri" w:hAnsi="Times New Roman"/>
          <w:sz w:val="24"/>
          <w:szCs w:val="24"/>
        </w:rPr>
        <w:t>galvojumu saņēmēj</w:t>
      </w:r>
      <w:r w:rsidR="00F7208C">
        <w:rPr>
          <w:rFonts w:ascii="Times New Roman" w:eastAsia="Calibri" w:hAnsi="Times New Roman"/>
          <w:sz w:val="24"/>
          <w:szCs w:val="24"/>
        </w:rPr>
        <w:t>u</w:t>
      </w:r>
      <w:r w:rsidRPr="005963DE">
        <w:rPr>
          <w:rFonts w:ascii="Times New Roman" w:eastAsia="Calibri" w:hAnsi="Times New Roman"/>
          <w:sz w:val="24"/>
          <w:szCs w:val="24"/>
        </w:rPr>
        <w:t xml:space="preserve"> kredītspēja atbilstoši V</w:t>
      </w:r>
      <w:r w:rsidR="00D11383" w:rsidRPr="005963DE">
        <w:rPr>
          <w:rFonts w:ascii="Times New Roman" w:eastAsia="Calibri" w:hAnsi="Times New Roman"/>
          <w:sz w:val="24"/>
          <w:szCs w:val="24"/>
        </w:rPr>
        <w:t xml:space="preserve">K </w:t>
      </w:r>
      <w:r w:rsidRPr="005963DE">
        <w:rPr>
          <w:rFonts w:ascii="Times New Roman" w:eastAsia="Calibri" w:hAnsi="Times New Roman"/>
          <w:sz w:val="24"/>
          <w:szCs w:val="24"/>
        </w:rPr>
        <w:t xml:space="preserve">iekšējiem noteikumiem tiek </w:t>
      </w:r>
      <w:r w:rsidR="00F7208C">
        <w:rPr>
          <w:rFonts w:ascii="Times New Roman" w:eastAsia="Calibri" w:hAnsi="Times New Roman"/>
          <w:sz w:val="24"/>
          <w:szCs w:val="24"/>
        </w:rPr>
        <w:t>no</w:t>
      </w:r>
      <w:r w:rsidRPr="005963DE">
        <w:rPr>
          <w:rFonts w:ascii="Times New Roman" w:eastAsia="Calibri" w:hAnsi="Times New Roman"/>
          <w:sz w:val="24"/>
          <w:szCs w:val="24"/>
        </w:rPr>
        <w:t xml:space="preserve">vērtēta kā </w:t>
      </w:r>
      <w:r w:rsidR="00E73AA9" w:rsidRPr="005963DE">
        <w:rPr>
          <w:rFonts w:ascii="Times New Roman" w:eastAsia="Calibri" w:hAnsi="Times New Roman"/>
          <w:sz w:val="24"/>
          <w:szCs w:val="24"/>
        </w:rPr>
        <w:t>“</w:t>
      </w:r>
      <w:r w:rsidRPr="005963DE">
        <w:rPr>
          <w:rFonts w:ascii="Times New Roman" w:eastAsia="Calibri" w:hAnsi="Times New Roman"/>
          <w:sz w:val="24"/>
          <w:szCs w:val="24"/>
        </w:rPr>
        <w:t xml:space="preserve">vāja” vai </w:t>
      </w:r>
      <w:r w:rsidR="00E73AA9" w:rsidRPr="005963DE">
        <w:rPr>
          <w:rFonts w:ascii="Times New Roman" w:eastAsia="Calibri" w:hAnsi="Times New Roman"/>
          <w:sz w:val="24"/>
          <w:szCs w:val="24"/>
        </w:rPr>
        <w:t>“</w:t>
      </w:r>
      <w:r w:rsidRPr="005963DE">
        <w:rPr>
          <w:rFonts w:ascii="Times New Roman" w:eastAsia="Calibri" w:hAnsi="Times New Roman"/>
          <w:sz w:val="24"/>
          <w:szCs w:val="24"/>
        </w:rPr>
        <w:t>slikta”,</w:t>
      </w:r>
      <w:r w:rsidR="00F7208C">
        <w:rPr>
          <w:rFonts w:ascii="Times New Roman" w:eastAsia="Calibri" w:hAnsi="Times New Roman"/>
          <w:sz w:val="24"/>
          <w:szCs w:val="24"/>
        </w:rPr>
        <w:t xml:space="preserve"> tad</w:t>
      </w:r>
      <w:r w:rsidRPr="005963DE">
        <w:rPr>
          <w:rFonts w:ascii="Times New Roman" w:eastAsia="Calibri" w:hAnsi="Times New Roman"/>
          <w:sz w:val="24"/>
          <w:szCs w:val="24"/>
        </w:rPr>
        <w:t xml:space="preserve"> finanšu ministram tiek sagatavots ziņojums ar priekšlikumiem </w:t>
      </w:r>
      <w:r w:rsidR="00375AB7" w:rsidRPr="005963DE">
        <w:rPr>
          <w:rFonts w:ascii="Times New Roman" w:eastAsia="Calibri" w:hAnsi="Times New Roman"/>
          <w:sz w:val="24"/>
          <w:szCs w:val="24"/>
        </w:rPr>
        <w:t xml:space="preserve">attiecībā uz </w:t>
      </w:r>
      <w:r w:rsidRPr="005963DE">
        <w:rPr>
          <w:rFonts w:ascii="Times New Roman" w:eastAsia="Calibri" w:hAnsi="Times New Roman"/>
          <w:sz w:val="24"/>
          <w:szCs w:val="24"/>
        </w:rPr>
        <w:t xml:space="preserve">nepieciešamo rīcību valsts interešu ievērošanai. </w:t>
      </w:r>
    </w:p>
    <w:p w14:paraId="10AC0996" w14:textId="504EE2C6" w:rsidR="00D84C00" w:rsidRDefault="523268B8" w:rsidP="00DD5A8A">
      <w:pPr>
        <w:spacing w:after="0" w:line="240" w:lineRule="auto"/>
        <w:ind w:firstLine="709"/>
        <w:jc w:val="both"/>
        <w:rPr>
          <w:rFonts w:ascii="Times New Roman" w:eastAsia="Calibri" w:hAnsi="Times New Roman" w:cs="Times New Roman"/>
          <w:sz w:val="24"/>
          <w:szCs w:val="24"/>
        </w:rPr>
      </w:pPr>
      <w:r w:rsidRPr="0093266C">
        <w:rPr>
          <w:rFonts w:ascii="Times New Roman" w:eastAsia="Calibri" w:hAnsi="Times New Roman"/>
          <w:sz w:val="24"/>
          <w:szCs w:val="24"/>
        </w:rPr>
        <w:t xml:space="preserve">Atbilstoši VK novērtējumam </w:t>
      </w:r>
      <w:r w:rsidRPr="0093266C">
        <w:rPr>
          <w:rFonts w:ascii="Times New Roman" w:eastAsia="Calibri" w:hAnsi="Times New Roman" w:cs="Times New Roman"/>
          <w:sz w:val="24"/>
          <w:szCs w:val="24"/>
        </w:rPr>
        <w:t>aprēķinātā galvojumu riska fiskālā ietekme</w:t>
      </w:r>
      <w:r w:rsidR="00D84C00" w:rsidRPr="0093266C">
        <w:rPr>
          <w:rStyle w:val="FootnoteReference"/>
          <w:rFonts w:ascii="Times New Roman" w:eastAsia="Calibri" w:hAnsi="Times New Roman"/>
          <w:sz w:val="24"/>
          <w:szCs w:val="24"/>
        </w:rPr>
        <w:footnoteReference w:id="4"/>
      </w:r>
      <w:r w:rsidRPr="0093266C">
        <w:rPr>
          <w:rFonts w:ascii="Times New Roman" w:eastAsia="Calibri" w:hAnsi="Times New Roman" w:cs="Times New Roman"/>
          <w:sz w:val="24"/>
          <w:szCs w:val="24"/>
        </w:rPr>
        <w:t xml:space="preserve"> </w:t>
      </w:r>
      <w:r w:rsidRPr="0093266C">
        <w:rPr>
          <w:rFonts w:ascii="Times New Roman" w:eastAsia="Calibri" w:hAnsi="Times New Roman"/>
          <w:sz w:val="24"/>
          <w:szCs w:val="24"/>
        </w:rPr>
        <w:t>2025.</w:t>
      </w:r>
      <w:r w:rsidR="2CC431F1" w:rsidRPr="0093266C">
        <w:rPr>
          <w:rFonts w:ascii="Times New Roman" w:eastAsia="Calibri" w:hAnsi="Times New Roman"/>
          <w:sz w:val="24"/>
          <w:szCs w:val="24"/>
        </w:rPr>
        <w:t xml:space="preserve"> </w:t>
      </w:r>
      <w:r w:rsidRPr="0093266C">
        <w:rPr>
          <w:rFonts w:ascii="Times New Roman" w:eastAsia="Calibri" w:hAnsi="Times New Roman"/>
          <w:sz w:val="24"/>
          <w:szCs w:val="24"/>
        </w:rPr>
        <w:t xml:space="preserve">gadā veido </w:t>
      </w:r>
      <w:r w:rsidRPr="0093266C">
        <w:rPr>
          <w:rFonts w:ascii="Times New Roman" w:eastAsia="Calibri" w:hAnsi="Times New Roman" w:cs="Times New Roman"/>
          <w:sz w:val="24"/>
          <w:szCs w:val="24"/>
        </w:rPr>
        <w:t>0,</w:t>
      </w:r>
      <w:r w:rsidR="00F7208C">
        <w:rPr>
          <w:rFonts w:ascii="Times New Roman" w:eastAsia="Calibri" w:hAnsi="Times New Roman" w:cs="Times New Roman"/>
          <w:sz w:val="24"/>
          <w:szCs w:val="24"/>
        </w:rPr>
        <w:t>60</w:t>
      </w:r>
      <w:r w:rsidRPr="0093266C">
        <w:rPr>
          <w:rFonts w:ascii="Times New Roman" w:eastAsia="Calibri" w:hAnsi="Times New Roman" w:cs="Times New Roman"/>
          <w:sz w:val="24"/>
          <w:szCs w:val="24"/>
        </w:rPr>
        <w:t> milj. </w:t>
      </w:r>
      <w:r w:rsidRPr="469479B5">
        <w:rPr>
          <w:rFonts w:ascii="Times New Roman" w:hAnsi="Times New Roman" w:cs="Times New Roman"/>
          <w:i/>
          <w:iCs/>
          <w:sz w:val="24"/>
          <w:szCs w:val="24"/>
        </w:rPr>
        <w:t>euro</w:t>
      </w:r>
      <w:r w:rsidRPr="0093266C">
        <w:rPr>
          <w:rFonts w:ascii="Times New Roman" w:eastAsia="Calibri" w:hAnsi="Times New Roman" w:cs="Times New Roman"/>
          <w:sz w:val="24"/>
          <w:szCs w:val="24"/>
        </w:rPr>
        <w:t xml:space="preserve"> apmērā, 2026.</w:t>
      </w:r>
      <w:r w:rsidR="49640694" w:rsidRPr="0093266C">
        <w:rPr>
          <w:rFonts w:ascii="Times New Roman" w:eastAsia="Calibri" w:hAnsi="Times New Roman" w:cs="Times New Roman"/>
          <w:sz w:val="24"/>
          <w:szCs w:val="24"/>
        </w:rPr>
        <w:t xml:space="preserve"> </w:t>
      </w:r>
      <w:r w:rsidRPr="0093266C">
        <w:rPr>
          <w:rFonts w:ascii="Times New Roman" w:eastAsia="Calibri" w:hAnsi="Times New Roman" w:cs="Times New Roman"/>
          <w:sz w:val="24"/>
          <w:szCs w:val="24"/>
        </w:rPr>
        <w:t>gadā – 0,</w:t>
      </w:r>
      <w:r w:rsidR="00F7208C">
        <w:rPr>
          <w:rFonts w:ascii="Times New Roman" w:eastAsia="Calibri" w:hAnsi="Times New Roman" w:cs="Times New Roman"/>
          <w:sz w:val="24"/>
          <w:szCs w:val="24"/>
        </w:rPr>
        <w:t>57</w:t>
      </w:r>
      <w:r w:rsidRPr="0093266C">
        <w:rPr>
          <w:rFonts w:ascii="Times New Roman" w:eastAsia="Calibri" w:hAnsi="Times New Roman" w:cs="Times New Roman"/>
          <w:sz w:val="24"/>
          <w:szCs w:val="24"/>
        </w:rPr>
        <w:t> milj. </w:t>
      </w:r>
      <w:r w:rsidRPr="469479B5">
        <w:rPr>
          <w:rFonts w:ascii="Times New Roman" w:hAnsi="Times New Roman" w:cs="Times New Roman"/>
          <w:i/>
          <w:iCs/>
          <w:sz w:val="24"/>
          <w:szCs w:val="24"/>
        </w:rPr>
        <w:t>euro</w:t>
      </w:r>
      <w:r w:rsidRPr="0093266C">
        <w:rPr>
          <w:rFonts w:ascii="Times New Roman" w:eastAsia="Calibri" w:hAnsi="Times New Roman" w:cs="Times New Roman"/>
          <w:sz w:val="24"/>
          <w:szCs w:val="24"/>
        </w:rPr>
        <w:t xml:space="preserve"> apmērā, 2027.</w:t>
      </w:r>
      <w:r w:rsidR="12323DB5" w:rsidRPr="0093266C">
        <w:rPr>
          <w:rFonts w:ascii="Times New Roman" w:eastAsia="Calibri" w:hAnsi="Times New Roman" w:cs="Times New Roman"/>
          <w:sz w:val="24"/>
          <w:szCs w:val="24"/>
        </w:rPr>
        <w:t xml:space="preserve"> </w:t>
      </w:r>
      <w:r w:rsidRPr="0093266C">
        <w:rPr>
          <w:rFonts w:ascii="Times New Roman" w:eastAsia="Calibri" w:hAnsi="Times New Roman" w:cs="Times New Roman"/>
          <w:sz w:val="24"/>
          <w:szCs w:val="24"/>
        </w:rPr>
        <w:t>gadā – 0,</w:t>
      </w:r>
      <w:r w:rsidR="00F7208C">
        <w:rPr>
          <w:rFonts w:ascii="Times New Roman" w:eastAsia="Calibri" w:hAnsi="Times New Roman" w:cs="Times New Roman"/>
          <w:sz w:val="24"/>
          <w:szCs w:val="24"/>
        </w:rPr>
        <w:t>82</w:t>
      </w:r>
      <w:r w:rsidRPr="0093266C">
        <w:rPr>
          <w:rFonts w:ascii="Times New Roman" w:eastAsia="Calibri" w:hAnsi="Times New Roman" w:cs="Times New Roman"/>
          <w:sz w:val="24"/>
          <w:szCs w:val="24"/>
        </w:rPr>
        <w:t> milj. </w:t>
      </w:r>
      <w:r w:rsidRPr="469479B5">
        <w:rPr>
          <w:rFonts w:ascii="Times New Roman" w:hAnsi="Times New Roman" w:cs="Times New Roman"/>
          <w:i/>
          <w:iCs/>
          <w:sz w:val="24"/>
          <w:szCs w:val="24"/>
        </w:rPr>
        <w:t>euro</w:t>
      </w:r>
      <w:r w:rsidRPr="0093266C">
        <w:rPr>
          <w:rFonts w:ascii="Times New Roman" w:eastAsia="Calibri" w:hAnsi="Times New Roman" w:cs="Times New Roman"/>
          <w:sz w:val="24"/>
          <w:szCs w:val="24"/>
        </w:rPr>
        <w:t xml:space="preserve"> apmērā</w:t>
      </w:r>
      <w:r w:rsidR="00A9291F">
        <w:rPr>
          <w:rFonts w:ascii="Times New Roman" w:eastAsia="Calibri" w:hAnsi="Times New Roman" w:cs="Times New Roman"/>
          <w:sz w:val="24"/>
          <w:szCs w:val="24"/>
        </w:rPr>
        <w:t xml:space="preserve">, </w:t>
      </w:r>
      <w:r w:rsidR="00A9291F" w:rsidRPr="45FF71F9">
        <w:rPr>
          <w:rFonts w:ascii="Times New Roman" w:hAnsi="Times New Roman" w:cs="Times New Roman"/>
          <w:sz w:val="24"/>
          <w:szCs w:val="24"/>
        </w:rPr>
        <w:t xml:space="preserve">2028. gadā </w:t>
      </w:r>
      <w:r w:rsidR="00D45E73" w:rsidRPr="0093266C">
        <w:rPr>
          <w:rFonts w:ascii="Times New Roman" w:eastAsia="Calibri" w:hAnsi="Times New Roman" w:cs="Times New Roman"/>
          <w:sz w:val="24"/>
          <w:szCs w:val="24"/>
        </w:rPr>
        <w:t>–</w:t>
      </w:r>
      <w:r w:rsidR="00A9291F" w:rsidRPr="45FF71F9">
        <w:rPr>
          <w:rFonts w:ascii="Times New Roman" w:hAnsi="Times New Roman" w:cs="Times New Roman"/>
          <w:sz w:val="24"/>
          <w:szCs w:val="24"/>
        </w:rPr>
        <w:t xml:space="preserve"> 0,80 milj.</w:t>
      </w:r>
      <w:r w:rsidR="00A9291F" w:rsidRPr="609F3A9C">
        <w:rPr>
          <w:rFonts w:ascii="Times New Roman" w:hAnsi="Times New Roman" w:cs="Times New Roman"/>
          <w:i/>
          <w:iCs/>
          <w:sz w:val="24"/>
          <w:szCs w:val="24"/>
        </w:rPr>
        <w:t xml:space="preserve"> euro </w:t>
      </w:r>
      <w:r w:rsidR="00A9291F" w:rsidRPr="0093266C">
        <w:rPr>
          <w:rFonts w:ascii="Times New Roman" w:eastAsia="Calibri" w:hAnsi="Times New Roman" w:cs="Times New Roman"/>
          <w:sz w:val="24"/>
          <w:szCs w:val="24"/>
        </w:rPr>
        <w:t>apmērā</w:t>
      </w:r>
      <w:r w:rsidR="00D84C00" w:rsidRPr="0093266C">
        <w:rPr>
          <w:rStyle w:val="FootnoteReference"/>
          <w:rFonts w:ascii="Times New Roman" w:eastAsia="Calibri" w:hAnsi="Times New Roman"/>
          <w:sz w:val="24"/>
          <w:szCs w:val="24"/>
        </w:rPr>
        <w:footnoteReference w:id="5"/>
      </w:r>
      <w:r w:rsidRPr="0093266C">
        <w:rPr>
          <w:rFonts w:ascii="Times New Roman" w:eastAsia="Calibri" w:hAnsi="Times New Roman" w:cs="Times New Roman"/>
          <w:sz w:val="24"/>
          <w:szCs w:val="24"/>
        </w:rPr>
        <w:t xml:space="preserve">. </w:t>
      </w:r>
      <w:r w:rsidR="00F7208C" w:rsidRPr="0093266C">
        <w:rPr>
          <w:rFonts w:ascii="Times New Roman" w:eastAsia="Calibri" w:hAnsi="Times New Roman" w:cs="Times New Roman"/>
          <w:sz w:val="24"/>
          <w:szCs w:val="24"/>
        </w:rPr>
        <w:t xml:space="preserve">Vienlaikus </w:t>
      </w:r>
      <w:r w:rsidR="009F6BB8">
        <w:rPr>
          <w:rFonts w:ascii="Times New Roman" w:eastAsia="Calibri" w:hAnsi="Times New Roman" w:cs="Times New Roman"/>
          <w:sz w:val="24"/>
          <w:szCs w:val="24"/>
        </w:rPr>
        <w:t>atzīmējams</w:t>
      </w:r>
      <w:r w:rsidR="00F7208C" w:rsidRPr="0093266C">
        <w:rPr>
          <w:rFonts w:ascii="Times New Roman" w:eastAsia="Calibri" w:hAnsi="Times New Roman" w:cs="Times New Roman"/>
          <w:sz w:val="24"/>
          <w:szCs w:val="24"/>
        </w:rPr>
        <w:t xml:space="preserve">, ka iepriekšminētajā aprēķinā iekļauto galvojumu izpilde pārskata periodā nav iestājusies. </w:t>
      </w:r>
      <w:r w:rsidRPr="0093266C">
        <w:rPr>
          <w:rFonts w:ascii="Times New Roman" w:eastAsia="Calibri" w:hAnsi="Times New Roman" w:cs="Times New Roman"/>
          <w:sz w:val="24"/>
          <w:szCs w:val="24"/>
        </w:rPr>
        <w:t>Ņemot vērā MK noteikumos Nr.229 noteikto fiskālā nodrošinājuma rezerves aprēķina metodoloģiju, 2025.</w:t>
      </w:r>
      <w:r w:rsidR="1AC2C56D" w:rsidRPr="0093266C">
        <w:rPr>
          <w:rFonts w:ascii="Times New Roman" w:eastAsia="Calibri" w:hAnsi="Times New Roman" w:cs="Times New Roman"/>
          <w:sz w:val="24"/>
          <w:szCs w:val="24"/>
        </w:rPr>
        <w:t xml:space="preserve"> </w:t>
      </w:r>
      <w:r w:rsidRPr="0093266C">
        <w:rPr>
          <w:rFonts w:ascii="Times New Roman" w:eastAsia="Calibri" w:hAnsi="Times New Roman" w:cs="Times New Roman"/>
          <w:sz w:val="24"/>
          <w:szCs w:val="24"/>
        </w:rPr>
        <w:t xml:space="preserve">gadā </w:t>
      </w:r>
      <w:r w:rsidRPr="0093266C">
        <w:rPr>
          <w:rFonts w:ascii="Times New Roman" w:eastAsia="Calibri" w:hAnsi="Times New Roman" w:cs="Times New Roman"/>
          <w:b/>
          <w:bCs/>
          <w:sz w:val="24"/>
          <w:szCs w:val="24"/>
        </w:rPr>
        <w:t>valsts galvojumu fiskālā nodrošinājuma rezerve</w:t>
      </w:r>
      <w:r w:rsidRPr="0093266C">
        <w:rPr>
          <w:rFonts w:ascii="Times New Roman" w:eastAsia="Calibri" w:hAnsi="Times New Roman" w:cs="Times New Roman"/>
          <w:sz w:val="24"/>
          <w:szCs w:val="24"/>
        </w:rPr>
        <w:t xml:space="preserve"> aprēķināta 0,001</w:t>
      </w:r>
      <w:r w:rsidR="00AE539B">
        <w:rPr>
          <w:rFonts w:ascii="Times New Roman" w:eastAsia="Calibri" w:hAnsi="Times New Roman" w:cs="Times New Roman"/>
          <w:sz w:val="24"/>
          <w:szCs w:val="24"/>
        </w:rPr>
        <w:t>4</w:t>
      </w:r>
      <w:r w:rsidRPr="0093266C">
        <w:rPr>
          <w:rFonts w:ascii="Times New Roman" w:eastAsia="Calibri" w:hAnsi="Times New Roman" w:cs="Times New Roman"/>
          <w:sz w:val="24"/>
          <w:szCs w:val="24"/>
        </w:rPr>
        <w:t>% apmērā, 2026.</w:t>
      </w:r>
      <w:r w:rsidR="452D9884" w:rsidRPr="469479B5">
        <w:rPr>
          <w:rFonts w:ascii="Times New Roman" w:eastAsia="Calibri" w:hAnsi="Times New Roman" w:cs="Times New Roman"/>
          <w:sz w:val="24"/>
          <w:szCs w:val="24"/>
        </w:rPr>
        <w:t> </w:t>
      </w:r>
      <w:r w:rsidRPr="0093266C">
        <w:rPr>
          <w:rFonts w:ascii="Times New Roman" w:eastAsia="Calibri" w:hAnsi="Times New Roman" w:cs="Times New Roman"/>
          <w:sz w:val="24"/>
          <w:szCs w:val="24"/>
        </w:rPr>
        <w:t>gadā – 0,00</w:t>
      </w:r>
      <w:r w:rsidR="00AE539B">
        <w:rPr>
          <w:rFonts w:ascii="Times New Roman" w:eastAsia="Calibri" w:hAnsi="Times New Roman" w:cs="Times New Roman"/>
          <w:sz w:val="24"/>
          <w:szCs w:val="24"/>
        </w:rPr>
        <w:t>13</w:t>
      </w:r>
      <w:r w:rsidRPr="0093266C">
        <w:rPr>
          <w:rFonts w:ascii="Times New Roman" w:eastAsia="Calibri" w:hAnsi="Times New Roman" w:cs="Times New Roman"/>
          <w:sz w:val="24"/>
          <w:szCs w:val="24"/>
        </w:rPr>
        <w:t>%</w:t>
      </w:r>
      <w:r w:rsidR="00AE539B">
        <w:rPr>
          <w:rFonts w:ascii="Times New Roman" w:eastAsia="Calibri" w:hAnsi="Times New Roman" w:cs="Times New Roman"/>
          <w:sz w:val="24"/>
          <w:szCs w:val="24"/>
        </w:rPr>
        <w:t>,</w:t>
      </w:r>
      <w:r w:rsidRPr="0093266C">
        <w:rPr>
          <w:rFonts w:ascii="Times New Roman" w:eastAsia="Calibri" w:hAnsi="Times New Roman" w:cs="Times New Roman"/>
          <w:sz w:val="24"/>
          <w:szCs w:val="24"/>
        </w:rPr>
        <w:t xml:space="preserve"> 2027.</w:t>
      </w:r>
      <w:r w:rsidR="3D4401FF" w:rsidRPr="0093266C">
        <w:rPr>
          <w:rFonts w:ascii="Times New Roman" w:eastAsia="Calibri" w:hAnsi="Times New Roman" w:cs="Times New Roman"/>
          <w:sz w:val="24"/>
          <w:szCs w:val="24"/>
        </w:rPr>
        <w:t xml:space="preserve"> </w:t>
      </w:r>
      <w:r w:rsidRPr="005963DE">
        <w:rPr>
          <w:rFonts w:ascii="Times New Roman" w:eastAsia="Calibri" w:hAnsi="Times New Roman" w:cs="Times New Roman"/>
          <w:sz w:val="24"/>
          <w:szCs w:val="24"/>
        </w:rPr>
        <w:t>gadā – 0,00</w:t>
      </w:r>
      <w:r w:rsidR="00AE539B">
        <w:rPr>
          <w:rFonts w:ascii="Times New Roman" w:eastAsia="Calibri" w:hAnsi="Times New Roman" w:cs="Times New Roman"/>
          <w:sz w:val="24"/>
          <w:szCs w:val="24"/>
        </w:rPr>
        <w:t>18</w:t>
      </w:r>
      <w:r w:rsidRPr="005963DE">
        <w:rPr>
          <w:rFonts w:ascii="Times New Roman" w:eastAsia="Calibri" w:hAnsi="Times New Roman" w:cs="Times New Roman"/>
          <w:sz w:val="24"/>
          <w:szCs w:val="24"/>
        </w:rPr>
        <w:t>%</w:t>
      </w:r>
      <w:r w:rsidR="00AE539B">
        <w:rPr>
          <w:rFonts w:ascii="Times New Roman" w:eastAsia="Calibri" w:hAnsi="Times New Roman" w:cs="Times New Roman"/>
          <w:sz w:val="24"/>
          <w:szCs w:val="24"/>
        </w:rPr>
        <w:t xml:space="preserve"> un 2028. gadā – 0,0017%</w:t>
      </w:r>
      <w:r w:rsidRPr="005963DE">
        <w:rPr>
          <w:rFonts w:ascii="Times New Roman" w:eastAsia="Calibri" w:hAnsi="Times New Roman" w:cs="Times New Roman"/>
          <w:sz w:val="24"/>
          <w:szCs w:val="24"/>
        </w:rPr>
        <w:t xml:space="preserve"> apmērā no IKP.</w:t>
      </w:r>
      <w:r w:rsidRPr="469479B5">
        <w:rPr>
          <w:rFonts w:ascii="Times New Roman" w:eastAsia="Calibri" w:hAnsi="Times New Roman" w:cs="Times New Roman"/>
          <w:sz w:val="24"/>
          <w:szCs w:val="24"/>
        </w:rPr>
        <w:t xml:space="preserve"> </w:t>
      </w:r>
    </w:p>
    <w:p w14:paraId="5846FBB6" w14:textId="77777777" w:rsidR="004A0B84" w:rsidRPr="0093266C" w:rsidRDefault="004A0B84" w:rsidP="00D84C00">
      <w:pPr>
        <w:spacing w:after="0" w:line="240" w:lineRule="auto"/>
        <w:ind w:firstLine="709"/>
        <w:jc w:val="both"/>
        <w:rPr>
          <w:rFonts w:ascii="Times New Roman" w:eastAsia="Calibri" w:hAnsi="Times New Roman"/>
          <w:sz w:val="24"/>
          <w:szCs w:val="24"/>
        </w:rPr>
      </w:pPr>
    </w:p>
    <w:p w14:paraId="060D3B66" w14:textId="1603578D" w:rsidR="00821D16" w:rsidRPr="005963DE" w:rsidRDefault="523268B8" w:rsidP="001B6354">
      <w:pPr>
        <w:spacing w:after="0" w:line="240" w:lineRule="auto"/>
        <w:ind w:firstLine="709"/>
        <w:jc w:val="both"/>
        <w:rPr>
          <w:rFonts w:ascii="Times New Roman" w:eastAsia="Calibri" w:hAnsi="Times New Roman"/>
          <w:sz w:val="24"/>
          <w:szCs w:val="24"/>
        </w:rPr>
      </w:pPr>
      <w:r w:rsidRPr="469479B5">
        <w:rPr>
          <w:rFonts w:ascii="Times New Roman" w:eastAsia="Calibri" w:hAnsi="Times New Roman"/>
          <w:sz w:val="24"/>
          <w:szCs w:val="24"/>
        </w:rPr>
        <w:t xml:space="preserve">Attiecībā uz </w:t>
      </w:r>
      <w:r w:rsidRPr="469479B5">
        <w:rPr>
          <w:rFonts w:ascii="Times New Roman" w:eastAsia="Calibri" w:hAnsi="Times New Roman"/>
          <w:b/>
          <w:bCs/>
          <w:sz w:val="24"/>
          <w:szCs w:val="24"/>
        </w:rPr>
        <w:t>pašvaldību galvojumiem,</w:t>
      </w:r>
      <w:r w:rsidRPr="469479B5">
        <w:rPr>
          <w:rFonts w:ascii="Times New Roman" w:eastAsia="Calibri" w:hAnsi="Times New Roman"/>
          <w:sz w:val="24"/>
          <w:szCs w:val="24"/>
        </w:rPr>
        <w:t xml:space="preserve"> 202</w:t>
      </w:r>
      <w:r w:rsidR="002A6476">
        <w:rPr>
          <w:rFonts w:ascii="Times New Roman" w:eastAsia="Calibri" w:hAnsi="Times New Roman"/>
          <w:sz w:val="24"/>
          <w:szCs w:val="24"/>
        </w:rPr>
        <w:t>5</w:t>
      </w:r>
      <w:r w:rsidRPr="469479B5">
        <w:rPr>
          <w:rFonts w:ascii="Times New Roman" w:eastAsia="Calibri" w:hAnsi="Times New Roman"/>
          <w:sz w:val="24"/>
          <w:szCs w:val="24"/>
        </w:rPr>
        <w:t>.</w:t>
      </w:r>
      <w:r w:rsidR="420C2669" w:rsidRPr="469479B5">
        <w:rPr>
          <w:rFonts w:ascii="Times New Roman" w:eastAsia="Calibri" w:hAnsi="Times New Roman"/>
          <w:sz w:val="24"/>
          <w:szCs w:val="24"/>
        </w:rPr>
        <w:t xml:space="preserve"> </w:t>
      </w:r>
      <w:r w:rsidRPr="469479B5">
        <w:rPr>
          <w:rFonts w:ascii="Times New Roman" w:eastAsia="Calibri" w:hAnsi="Times New Roman"/>
          <w:sz w:val="24"/>
          <w:szCs w:val="24"/>
        </w:rPr>
        <w:t>gada kopējais pieļaujamais saistību palielinājums likumā “Par valsts budžetu 202</w:t>
      </w:r>
      <w:r w:rsidR="002A6476">
        <w:rPr>
          <w:rFonts w:ascii="Times New Roman" w:eastAsia="Calibri" w:hAnsi="Times New Roman"/>
          <w:sz w:val="24"/>
          <w:szCs w:val="24"/>
        </w:rPr>
        <w:t>5</w:t>
      </w:r>
      <w:r w:rsidRPr="469479B5">
        <w:rPr>
          <w:rFonts w:ascii="Times New Roman" w:eastAsia="Calibri" w:hAnsi="Times New Roman"/>
          <w:sz w:val="24"/>
          <w:szCs w:val="24"/>
        </w:rPr>
        <w:t>.</w:t>
      </w:r>
      <w:r w:rsidR="3EAA1F17" w:rsidRPr="469479B5">
        <w:rPr>
          <w:rFonts w:ascii="Times New Roman" w:eastAsia="Calibri" w:hAnsi="Times New Roman"/>
          <w:sz w:val="24"/>
          <w:szCs w:val="24"/>
        </w:rPr>
        <w:t xml:space="preserve"> </w:t>
      </w:r>
      <w:r w:rsidRPr="469479B5">
        <w:rPr>
          <w:rFonts w:ascii="Times New Roman" w:eastAsia="Calibri" w:hAnsi="Times New Roman"/>
          <w:sz w:val="24"/>
          <w:szCs w:val="24"/>
        </w:rPr>
        <w:t>gadam un budžeta ietvaru 202</w:t>
      </w:r>
      <w:r w:rsidR="002A6476">
        <w:rPr>
          <w:rFonts w:ascii="Times New Roman" w:eastAsia="Calibri" w:hAnsi="Times New Roman"/>
          <w:sz w:val="24"/>
          <w:szCs w:val="24"/>
        </w:rPr>
        <w:t>5</w:t>
      </w:r>
      <w:r w:rsidRPr="469479B5">
        <w:rPr>
          <w:rFonts w:ascii="Times New Roman" w:eastAsia="Calibri" w:hAnsi="Times New Roman"/>
          <w:sz w:val="24"/>
          <w:szCs w:val="24"/>
        </w:rPr>
        <w:t>., 202</w:t>
      </w:r>
      <w:r w:rsidR="002A6476">
        <w:rPr>
          <w:rFonts w:ascii="Times New Roman" w:eastAsia="Calibri" w:hAnsi="Times New Roman"/>
          <w:sz w:val="24"/>
          <w:szCs w:val="24"/>
        </w:rPr>
        <w:t>6</w:t>
      </w:r>
      <w:r w:rsidRPr="469479B5">
        <w:rPr>
          <w:rFonts w:ascii="Times New Roman" w:eastAsia="Calibri" w:hAnsi="Times New Roman"/>
          <w:sz w:val="24"/>
          <w:szCs w:val="24"/>
        </w:rPr>
        <w:t>. un 202</w:t>
      </w:r>
      <w:r w:rsidR="002A6476">
        <w:rPr>
          <w:rFonts w:ascii="Times New Roman" w:eastAsia="Calibri" w:hAnsi="Times New Roman"/>
          <w:sz w:val="24"/>
          <w:szCs w:val="24"/>
        </w:rPr>
        <w:t>7</w:t>
      </w:r>
      <w:r w:rsidRPr="469479B5">
        <w:rPr>
          <w:rFonts w:ascii="Times New Roman" w:eastAsia="Calibri" w:hAnsi="Times New Roman"/>
          <w:sz w:val="24"/>
          <w:szCs w:val="24"/>
        </w:rPr>
        <w:t xml:space="preserve">. gadam” tika noteikts 56,9 milj. </w:t>
      </w:r>
      <w:r w:rsidRPr="469479B5">
        <w:rPr>
          <w:rFonts w:ascii="Times New Roman" w:eastAsia="Calibri" w:hAnsi="Times New Roman"/>
          <w:i/>
          <w:iCs/>
          <w:sz w:val="24"/>
          <w:szCs w:val="24"/>
        </w:rPr>
        <w:t xml:space="preserve">euro </w:t>
      </w:r>
      <w:r w:rsidRPr="469479B5">
        <w:rPr>
          <w:rFonts w:ascii="Times New Roman" w:eastAsia="Calibri" w:hAnsi="Times New Roman"/>
          <w:sz w:val="24"/>
          <w:szCs w:val="24"/>
        </w:rPr>
        <w:t>apmērā</w:t>
      </w:r>
      <w:r w:rsidRPr="469479B5">
        <w:rPr>
          <w:rFonts w:ascii="Times New Roman" w:eastAsia="Calibri" w:hAnsi="Times New Roman"/>
          <w:i/>
          <w:iCs/>
          <w:sz w:val="24"/>
          <w:szCs w:val="24"/>
        </w:rPr>
        <w:t xml:space="preserve"> </w:t>
      </w:r>
      <w:r w:rsidRPr="469479B5">
        <w:rPr>
          <w:rFonts w:ascii="Times New Roman" w:eastAsia="Calibri" w:hAnsi="Times New Roman"/>
          <w:sz w:val="24"/>
          <w:szCs w:val="24"/>
        </w:rPr>
        <w:t>par tām parāda saistībām, kuras uzņemas pašvaldības kapitālsabiedrību investīciju projektu īstenošanai</w:t>
      </w:r>
      <w:r w:rsidR="002A6476">
        <w:rPr>
          <w:rFonts w:ascii="Times New Roman" w:eastAsia="Calibri" w:hAnsi="Times New Roman"/>
          <w:sz w:val="24"/>
          <w:szCs w:val="24"/>
        </w:rPr>
        <w:t xml:space="preserve"> un kurināmā iegādei</w:t>
      </w:r>
      <w:r w:rsidRPr="469479B5">
        <w:rPr>
          <w:rFonts w:ascii="Times New Roman" w:eastAsia="Calibri" w:hAnsi="Times New Roman"/>
          <w:sz w:val="24"/>
          <w:szCs w:val="24"/>
        </w:rPr>
        <w:t xml:space="preserve">. </w:t>
      </w:r>
      <w:r w:rsidR="597F8F48" w:rsidRPr="469479B5">
        <w:rPr>
          <w:rFonts w:ascii="Times New Roman" w:eastAsia="Calibri" w:hAnsi="Times New Roman"/>
          <w:sz w:val="24"/>
          <w:szCs w:val="24"/>
        </w:rPr>
        <w:t>Vērtējot pašvaldības galvojuma pieprasījumu, tiek vērtēta pašvaldības esošo saistību (aizņēmumu saistību izpilde noteiktajos termiņos un apmēros) un pašvaldības spēja uzņemties jaunas galvojumu saistības. Pašvaldībām saistību apmēru vērtē procentos, t.i., attiecīgajā gadā atmaksājamās summas pret pamatbudžeta plānotajiem ieņēmumiem bez valsts budžeta transfertiem noteiktam mērķim un iemaksām Pašvaldību finanšu izlīdzināšanas fondā. Minētais rādītājs tiek vērtēts, jo pašvaldību finanšu stabilizācijas riska iespēja var iestāties,</w:t>
      </w:r>
      <w:r w:rsidR="001B6354" w:rsidRPr="001B6354">
        <w:rPr>
          <w:rFonts w:ascii="Times New Roman" w:eastAsia="Calibri" w:hAnsi="Times New Roman" w:cs="Times New Roman"/>
          <w:sz w:val="24"/>
          <w:szCs w:val="24"/>
        </w:rPr>
        <w:t xml:space="preserve"> ja </w:t>
      </w:r>
      <w:r w:rsidR="001B6354" w:rsidRPr="001B6354">
        <w:rPr>
          <w:rFonts w:ascii="Times New Roman" w:hAnsi="Times New Roman" w:cs="Times New Roman"/>
          <w:sz w:val="24"/>
          <w:szCs w:val="24"/>
          <w:shd w:val="clear" w:color="auto" w:fill="FFFFFF"/>
        </w:rPr>
        <w:t xml:space="preserve">pašvaldības </w:t>
      </w:r>
      <w:r w:rsidR="001B6354" w:rsidRPr="001B6354">
        <w:rPr>
          <w:rFonts w:ascii="Times New Roman" w:hAnsi="Times New Roman" w:cs="Times New Roman"/>
          <w:sz w:val="24"/>
          <w:szCs w:val="24"/>
        </w:rPr>
        <w:t xml:space="preserve">saistību (aizņēmumu, galvojumu un citas ilgtermiņa saistības) </w:t>
      </w:r>
      <w:r w:rsidR="001B6354" w:rsidRPr="001B6354">
        <w:rPr>
          <w:rFonts w:ascii="Times New Roman" w:hAnsi="Times New Roman" w:cs="Times New Roman"/>
          <w:sz w:val="24"/>
          <w:szCs w:val="24"/>
          <w:shd w:val="clear" w:color="auto" w:fill="FFFFFF"/>
        </w:rPr>
        <w:t xml:space="preserve">ikgadējais apmērs kopā ar nokavētiem maksājumiem, kas ir ilgāki par 30 dienām, pret kreditoriem pārsniedz 20% no pašvaldības kārtējā gada plānotajiem pamatbudžeta ieņēmumiem </w:t>
      </w:r>
      <w:r w:rsidR="001B6354" w:rsidRPr="001B6354">
        <w:rPr>
          <w:rFonts w:ascii="Times New Roman" w:hAnsi="Times New Roman" w:cs="Times New Roman"/>
          <w:sz w:val="24"/>
          <w:szCs w:val="24"/>
        </w:rPr>
        <w:t>bez valsts budžeta transfertiem noteikta mērķa finansēšanai, tajā skaitā bez valsts budžeta transfertiem ES līdzfinansētu projektu un citas ārvalstu finanšu palīdzības līdzfinansētiem projektiem noteiktu mērķu finansēšanai, un iemaksām pašvaldību finanšu izlīdzināšanas fondā.</w:t>
      </w:r>
    </w:p>
    <w:p w14:paraId="5E091398" w14:textId="3FC5F286" w:rsidR="006F23BC" w:rsidRPr="00F81AF8" w:rsidRDefault="53BB34BF" w:rsidP="00940337">
      <w:pPr>
        <w:pStyle w:val="NormalWeb"/>
        <w:spacing w:before="0" w:beforeAutospacing="0" w:after="0" w:afterAutospacing="0"/>
        <w:ind w:firstLine="720"/>
        <w:jc w:val="both"/>
        <w:textAlignment w:val="baseline"/>
      </w:pPr>
      <w:r>
        <w:t>No kopējā pašvaldību</w:t>
      </w:r>
      <w:r w:rsidR="002A6476">
        <w:t xml:space="preserve"> aizņēmumu un galvojumu</w:t>
      </w:r>
      <w:r>
        <w:t xml:space="preserve"> saistību apjoma, kas 202</w:t>
      </w:r>
      <w:r w:rsidR="002A6476">
        <w:t>5</w:t>
      </w:r>
      <w:r>
        <w:t xml:space="preserve">. gada 30. aprīlī bija </w:t>
      </w:r>
      <w:r w:rsidR="002A6476">
        <w:t>2 121,3</w:t>
      </w:r>
      <w:r w:rsidR="00A9291F">
        <w:t xml:space="preserve"> </w:t>
      </w:r>
      <w:r>
        <w:t xml:space="preserve">milj. </w:t>
      </w:r>
      <w:r w:rsidRPr="469479B5">
        <w:rPr>
          <w:i/>
          <w:iCs/>
        </w:rPr>
        <w:t>euro</w:t>
      </w:r>
      <w:r w:rsidR="002A6476">
        <w:rPr>
          <w:i/>
          <w:iCs/>
        </w:rPr>
        <w:t xml:space="preserve"> </w:t>
      </w:r>
      <w:r w:rsidR="002A6476">
        <w:t>(neatmaksātā pamatsumma, kurai nav iestājies maksāšanas termiņš)</w:t>
      </w:r>
      <w:r>
        <w:t xml:space="preserve">, kopējais pašvaldību galvojumu portfelis bija </w:t>
      </w:r>
      <w:r w:rsidR="002A6476">
        <w:t>162,5</w:t>
      </w:r>
      <w:r>
        <w:t xml:space="preserve"> milj. </w:t>
      </w:r>
      <w:r w:rsidRPr="469479B5">
        <w:rPr>
          <w:i/>
          <w:iCs/>
        </w:rPr>
        <w:t>euro</w:t>
      </w:r>
      <w:r w:rsidR="002A6476">
        <w:rPr>
          <w:i/>
          <w:iCs/>
        </w:rPr>
        <w:t xml:space="preserve"> </w:t>
      </w:r>
      <w:r w:rsidR="002A6476">
        <w:t>jeb 7,6%</w:t>
      </w:r>
      <w:r>
        <w:t xml:space="preserve">, t.sk. </w:t>
      </w:r>
      <w:r w:rsidR="005B1E57">
        <w:t xml:space="preserve">galvojumi </w:t>
      </w:r>
      <w:r w:rsidR="002A6476">
        <w:t>155,4</w:t>
      </w:r>
      <w:r>
        <w:t xml:space="preserve"> milj. </w:t>
      </w:r>
      <w:r w:rsidRPr="469479B5">
        <w:rPr>
          <w:i/>
          <w:iCs/>
        </w:rPr>
        <w:t>euro</w:t>
      </w:r>
      <w:r w:rsidR="005B1E57">
        <w:rPr>
          <w:i/>
          <w:iCs/>
        </w:rPr>
        <w:t xml:space="preserve"> </w:t>
      </w:r>
      <w:r w:rsidR="005B1E57">
        <w:t>apmērā</w:t>
      </w:r>
      <w:r>
        <w:t>, kurus pašvaldības sniegušas par valsts aizdevumiem. 202</w:t>
      </w:r>
      <w:r w:rsidR="00A9291F">
        <w:t>5</w:t>
      </w:r>
      <w:r>
        <w:t>.</w:t>
      </w:r>
      <w:r w:rsidR="5E2A57D7">
        <w:t xml:space="preserve"> </w:t>
      </w:r>
      <w:r>
        <w:t>gadā, līdz 202</w:t>
      </w:r>
      <w:r w:rsidR="00A9291F">
        <w:t>5</w:t>
      </w:r>
      <w:r>
        <w:t>.</w:t>
      </w:r>
      <w:r w:rsidR="55B28A5C" w:rsidRPr="469479B5">
        <w:rPr>
          <w:rFonts w:eastAsia="Calibri"/>
        </w:rPr>
        <w:t xml:space="preserve"> </w:t>
      </w:r>
      <w:r>
        <w:t>gada 30.</w:t>
      </w:r>
      <w:r w:rsidR="5C0EA2E7">
        <w:t xml:space="preserve"> </w:t>
      </w:r>
      <w:r>
        <w:t xml:space="preserve">aprīlim, pašvaldības izsniegušas galvojumus tikai </w:t>
      </w:r>
      <w:r w:rsidR="00A9291F">
        <w:t>2,2</w:t>
      </w:r>
      <w:r>
        <w:t xml:space="preserve"> milj. </w:t>
      </w:r>
      <w:r w:rsidRPr="469479B5">
        <w:rPr>
          <w:i/>
          <w:iCs/>
        </w:rPr>
        <w:t>euro</w:t>
      </w:r>
      <w:r>
        <w:t xml:space="preserve"> apmērā, kas ir 3,</w:t>
      </w:r>
      <w:r w:rsidR="00A9291F">
        <w:t>4</w:t>
      </w:r>
      <w:r>
        <w:t> % no maksimāli pieļaujamā no jauna izsniedzamo galvojumu apmēra.</w:t>
      </w:r>
    </w:p>
    <w:p w14:paraId="1D419147" w14:textId="45A2B2B2" w:rsidR="006F23BC" w:rsidRPr="00F81AF8" w:rsidRDefault="53BB34BF" w:rsidP="469479B5">
      <w:pPr>
        <w:spacing w:before="240" w:line="240" w:lineRule="auto"/>
        <w:jc w:val="right"/>
        <w:rPr>
          <w:rFonts w:ascii="Times New Roman" w:hAnsi="Times New Roman" w:cs="Times New Roman"/>
          <w:b/>
          <w:bCs/>
          <w:i/>
          <w:iCs/>
          <w:sz w:val="24"/>
          <w:szCs w:val="24"/>
        </w:rPr>
      </w:pPr>
      <w:r w:rsidRPr="469479B5">
        <w:rPr>
          <w:rFonts w:ascii="Times New Roman" w:hAnsi="Times New Roman" w:cs="Times New Roman"/>
          <w:b/>
          <w:bCs/>
          <w:sz w:val="24"/>
          <w:szCs w:val="24"/>
        </w:rPr>
        <w:t>Tabula Nr.2.1.</w:t>
      </w:r>
      <w:r w:rsidR="1BD6AC2C" w:rsidRPr="469479B5">
        <w:rPr>
          <w:rFonts w:ascii="Times New Roman" w:hAnsi="Times New Roman" w:cs="Times New Roman"/>
          <w:b/>
          <w:bCs/>
          <w:sz w:val="24"/>
          <w:szCs w:val="24"/>
        </w:rPr>
        <w:t>3</w:t>
      </w:r>
      <w:r w:rsidRPr="469479B5">
        <w:rPr>
          <w:rFonts w:ascii="Times New Roman" w:hAnsi="Times New Roman" w:cs="Times New Roman"/>
          <w:b/>
          <w:bCs/>
          <w:sz w:val="24"/>
          <w:szCs w:val="24"/>
        </w:rPr>
        <w:t xml:space="preserve"> Lielākie 10 pašvaldību galvojumu apjomi 202</w:t>
      </w:r>
      <w:r w:rsidR="00A9291F">
        <w:rPr>
          <w:rFonts w:ascii="Times New Roman" w:hAnsi="Times New Roman" w:cs="Times New Roman"/>
          <w:b/>
          <w:bCs/>
          <w:sz w:val="24"/>
          <w:szCs w:val="24"/>
        </w:rPr>
        <w:t>5</w:t>
      </w:r>
      <w:r w:rsidRPr="469479B5">
        <w:rPr>
          <w:rFonts w:ascii="Times New Roman" w:hAnsi="Times New Roman" w:cs="Times New Roman"/>
          <w:b/>
          <w:bCs/>
          <w:sz w:val="24"/>
          <w:szCs w:val="24"/>
        </w:rPr>
        <w:t>.</w:t>
      </w:r>
      <w:r w:rsidR="41E7093E"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gada 30. aprīlī</w:t>
      </w:r>
    </w:p>
    <w:tbl>
      <w:tblPr>
        <w:tblW w:w="9782" w:type="dxa"/>
        <w:tblInd w:w="-5" w:type="dxa"/>
        <w:tblLook w:val="04A0" w:firstRow="1" w:lastRow="0" w:firstColumn="1" w:lastColumn="0" w:noHBand="0" w:noVBand="1"/>
      </w:tblPr>
      <w:tblGrid>
        <w:gridCol w:w="3828"/>
        <w:gridCol w:w="2977"/>
        <w:gridCol w:w="2977"/>
      </w:tblGrid>
      <w:tr w:rsidR="004F4F3A" w:rsidRPr="004147ED" w14:paraId="4C625978" w14:textId="77777777" w:rsidTr="00E252EB">
        <w:trPr>
          <w:trHeight w:val="600"/>
          <w:tblHeader/>
        </w:trPr>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4573F30" w14:textId="77777777" w:rsidR="004F4F3A" w:rsidRPr="004147ED" w:rsidRDefault="004F4F3A" w:rsidP="00601D53">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sz w:val="20"/>
                <w:szCs w:val="20"/>
                <w:lang w:eastAsia="lv-LV"/>
              </w:rPr>
              <w:t>Pašvaldība</w:t>
            </w:r>
          </w:p>
        </w:tc>
        <w:tc>
          <w:tcPr>
            <w:tcW w:w="297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721FC3F0" w14:textId="066636AF" w:rsidR="004F4F3A" w:rsidRPr="004147ED" w:rsidRDefault="51A13B56" w:rsidP="00601D53">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themeColor="text1"/>
                <w:sz w:val="20"/>
                <w:szCs w:val="20"/>
                <w:lang w:eastAsia="lv-LV"/>
              </w:rPr>
              <w:t>Pašvaldības kopējais galvojumu apmērs, kuram nav iestājies maksāšanas termiņš</w:t>
            </w:r>
            <w:r w:rsidR="0A487D03" w:rsidRPr="004147ED">
              <w:rPr>
                <w:rFonts w:ascii="Times New Roman" w:eastAsia="Times New Roman" w:hAnsi="Times New Roman" w:cs="Times New Roman"/>
                <w:b/>
                <w:bCs/>
                <w:color w:val="000000" w:themeColor="text1"/>
                <w:sz w:val="20"/>
                <w:szCs w:val="20"/>
                <w:lang w:eastAsia="lv-LV"/>
              </w:rPr>
              <w:t>,</w:t>
            </w:r>
            <w:r w:rsidRPr="004147ED">
              <w:rPr>
                <w:rFonts w:ascii="Times New Roman" w:eastAsia="Times New Roman" w:hAnsi="Times New Roman" w:cs="Times New Roman"/>
                <w:b/>
                <w:bCs/>
                <w:color w:val="000000" w:themeColor="text1"/>
                <w:sz w:val="20"/>
                <w:szCs w:val="20"/>
                <w:lang w:eastAsia="lv-LV"/>
              </w:rPr>
              <w:t xml:space="preserve"> </w:t>
            </w:r>
            <w:r w:rsidRPr="004147ED">
              <w:rPr>
                <w:rFonts w:ascii="Times New Roman" w:eastAsia="Times New Roman" w:hAnsi="Times New Roman" w:cs="Times New Roman"/>
                <w:b/>
                <w:bCs/>
                <w:i/>
                <w:iCs/>
                <w:color w:val="000000" w:themeColor="text1"/>
                <w:sz w:val="20"/>
                <w:szCs w:val="20"/>
                <w:lang w:eastAsia="lv-LV"/>
              </w:rPr>
              <w:t>euro</w:t>
            </w:r>
            <w:r w:rsidRPr="004147ED">
              <w:rPr>
                <w:rFonts w:ascii="Times New Roman" w:eastAsia="Times New Roman" w:hAnsi="Times New Roman" w:cs="Times New Roman"/>
                <w:b/>
                <w:bCs/>
                <w:color w:val="000000" w:themeColor="text1"/>
                <w:sz w:val="20"/>
                <w:szCs w:val="20"/>
                <w:lang w:eastAsia="lv-LV"/>
              </w:rPr>
              <w:t xml:space="preserve"> </w:t>
            </w:r>
          </w:p>
        </w:tc>
        <w:tc>
          <w:tcPr>
            <w:tcW w:w="2977" w:type="dxa"/>
            <w:tcBorders>
              <w:top w:val="single" w:sz="4" w:space="0" w:color="auto"/>
              <w:left w:val="nil"/>
              <w:bottom w:val="single" w:sz="4" w:space="0" w:color="auto"/>
              <w:right w:val="single" w:sz="4" w:space="0" w:color="auto"/>
            </w:tcBorders>
            <w:shd w:val="clear" w:color="auto" w:fill="BDD6EE" w:themeFill="accent1" w:themeFillTint="66"/>
          </w:tcPr>
          <w:p w14:paraId="47ACD489" w14:textId="77777777" w:rsidR="004F4F3A" w:rsidRPr="004147ED" w:rsidRDefault="004F4F3A" w:rsidP="00601D53">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sz w:val="20"/>
                <w:szCs w:val="20"/>
                <w:lang w:eastAsia="lv-LV"/>
              </w:rPr>
              <w:t>Pašvaldības kopējais galvojumu apmērs attiecībā pret visu pašvaldību kopējo galvojumu portfeli, %</w:t>
            </w:r>
          </w:p>
        </w:tc>
      </w:tr>
      <w:tr w:rsidR="00A9291F" w:rsidRPr="004147ED" w14:paraId="03459D28"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0F384B" w14:textId="77777777"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Jūrmalas valstspilsētas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06EF7E13" w14:textId="5C20CD1D"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40 927 119 </w:t>
            </w:r>
          </w:p>
        </w:tc>
        <w:tc>
          <w:tcPr>
            <w:tcW w:w="2977" w:type="dxa"/>
            <w:tcBorders>
              <w:top w:val="nil"/>
              <w:left w:val="nil"/>
              <w:bottom w:val="single" w:sz="4" w:space="0" w:color="auto"/>
              <w:right w:val="single" w:sz="4" w:space="0" w:color="auto"/>
            </w:tcBorders>
            <w:shd w:val="clear" w:color="auto" w:fill="FFFFFF" w:themeFill="background1"/>
            <w:vAlign w:val="center"/>
          </w:tcPr>
          <w:p w14:paraId="2CC456E0" w14:textId="708BA52F"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25%</w:t>
            </w:r>
          </w:p>
        </w:tc>
      </w:tr>
      <w:tr w:rsidR="00A9291F" w:rsidRPr="004147ED" w14:paraId="15F39B7E"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0AAA97A" w14:textId="77777777"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Daugavpils valstspilsētas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4E346BAA" w14:textId="3095A3FC"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32 232 222 </w:t>
            </w:r>
          </w:p>
        </w:tc>
        <w:tc>
          <w:tcPr>
            <w:tcW w:w="2977" w:type="dxa"/>
            <w:tcBorders>
              <w:top w:val="nil"/>
              <w:left w:val="nil"/>
              <w:bottom w:val="single" w:sz="4" w:space="0" w:color="auto"/>
              <w:right w:val="single" w:sz="4" w:space="0" w:color="auto"/>
            </w:tcBorders>
            <w:shd w:val="clear" w:color="auto" w:fill="FFFFFF" w:themeFill="background1"/>
            <w:vAlign w:val="center"/>
          </w:tcPr>
          <w:p w14:paraId="4C132808" w14:textId="6D4A68EE"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20%</w:t>
            </w:r>
          </w:p>
        </w:tc>
      </w:tr>
      <w:tr w:rsidR="00A9291F" w:rsidRPr="004147ED" w14:paraId="40F54ED7"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A0E96B" w14:textId="25DF82EC"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themeColor="text1"/>
                <w:sz w:val="20"/>
                <w:szCs w:val="20"/>
              </w:rPr>
              <w:t>Ropažu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612793FF" w14:textId="169D5156"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8 396 023</w:t>
            </w:r>
          </w:p>
        </w:tc>
        <w:tc>
          <w:tcPr>
            <w:tcW w:w="2977" w:type="dxa"/>
            <w:tcBorders>
              <w:top w:val="nil"/>
              <w:left w:val="nil"/>
              <w:bottom w:val="single" w:sz="4" w:space="0" w:color="auto"/>
              <w:right w:val="single" w:sz="4" w:space="0" w:color="auto"/>
            </w:tcBorders>
            <w:shd w:val="clear" w:color="auto" w:fill="FFFFFF" w:themeFill="background1"/>
            <w:vAlign w:val="center"/>
          </w:tcPr>
          <w:p w14:paraId="46658D94" w14:textId="0B80ED14"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5%</w:t>
            </w:r>
          </w:p>
        </w:tc>
      </w:tr>
      <w:tr w:rsidR="00A9291F" w:rsidRPr="004147ED" w14:paraId="29CC4280"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tcPr>
          <w:p w14:paraId="1DDE7369" w14:textId="77777777"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Jēkabpils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79FE4CCC" w14:textId="1BA370D4"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7 089 818</w:t>
            </w:r>
          </w:p>
        </w:tc>
        <w:tc>
          <w:tcPr>
            <w:tcW w:w="2977" w:type="dxa"/>
            <w:tcBorders>
              <w:top w:val="nil"/>
              <w:left w:val="nil"/>
              <w:bottom w:val="single" w:sz="4" w:space="0" w:color="auto"/>
              <w:right w:val="single" w:sz="4" w:space="0" w:color="auto"/>
            </w:tcBorders>
            <w:shd w:val="clear" w:color="auto" w:fill="FFFFFF" w:themeFill="background1"/>
            <w:vAlign w:val="center"/>
          </w:tcPr>
          <w:p w14:paraId="2BD51D28" w14:textId="7317C75C"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4%</w:t>
            </w:r>
          </w:p>
        </w:tc>
      </w:tr>
      <w:tr w:rsidR="00A9291F" w:rsidRPr="004147ED" w14:paraId="13E26A3C"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tcPr>
          <w:p w14:paraId="1C200078" w14:textId="5AFA970C"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themeColor="text1"/>
                <w:sz w:val="20"/>
                <w:szCs w:val="20"/>
              </w:rPr>
              <w:t>Tukuma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12BEB883" w14:textId="797B91EA"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6 042 330 </w:t>
            </w:r>
          </w:p>
        </w:tc>
        <w:tc>
          <w:tcPr>
            <w:tcW w:w="2977" w:type="dxa"/>
            <w:tcBorders>
              <w:top w:val="nil"/>
              <w:left w:val="nil"/>
              <w:bottom w:val="single" w:sz="4" w:space="0" w:color="auto"/>
              <w:right w:val="single" w:sz="4" w:space="0" w:color="auto"/>
            </w:tcBorders>
            <w:shd w:val="clear" w:color="auto" w:fill="FFFFFF" w:themeFill="background1"/>
            <w:vAlign w:val="center"/>
          </w:tcPr>
          <w:p w14:paraId="39B946EB" w14:textId="620485B0"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4%</w:t>
            </w:r>
          </w:p>
        </w:tc>
      </w:tr>
      <w:tr w:rsidR="00A9291F" w:rsidRPr="004147ED" w14:paraId="4F443456"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012307F" w14:textId="27BA8282"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themeColor="text1"/>
                <w:sz w:val="20"/>
                <w:szCs w:val="20"/>
              </w:rPr>
              <w:t>Jelgavas valstspilsētas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04DB7AE4" w14:textId="7BDEC967"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5 887 522 </w:t>
            </w:r>
          </w:p>
        </w:tc>
        <w:tc>
          <w:tcPr>
            <w:tcW w:w="2977" w:type="dxa"/>
            <w:tcBorders>
              <w:top w:val="nil"/>
              <w:left w:val="nil"/>
              <w:bottom w:val="single" w:sz="4" w:space="0" w:color="auto"/>
              <w:right w:val="single" w:sz="4" w:space="0" w:color="auto"/>
            </w:tcBorders>
            <w:shd w:val="clear" w:color="auto" w:fill="FFFFFF" w:themeFill="background1"/>
            <w:vAlign w:val="center"/>
          </w:tcPr>
          <w:p w14:paraId="73062EF4" w14:textId="63315B22"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4%</w:t>
            </w:r>
          </w:p>
        </w:tc>
      </w:tr>
      <w:tr w:rsidR="007557A1" w:rsidRPr="004147ED" w14:paraId="6D8BF1D8" w14:textId="77777777" w:rsidTr="00DB2FBA">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tcPr>
          <w:p w14:paraId="462530A3" w14:textId="349AF459" w:rsidR="007557A1" w:rsidRPr="004147ED" w:rsidRDefault="007557A1" w:rsidP="00BA721E">
            <w:pPr>
              <w:spacing w:after="0" w:line="240" w:lineRule="auto"/>
              <w:jc w:val="center"/>
              <w:rPr>
                <w:rFonts w:ascii="Times New Roman" w:eastAsia="Times New Roman" w:hAnsi="Times New Roman" w:cs="Times New Roman"/>
                <w:color w:val="000000" w:themeColor="text1"/>
                <w:sz w:val="20"/>
                <w:szCs w:val="20"/>
              </w:rPr>
            </w:pPr>
            <w:r w:rsidRPr="004147ED">
              <w:rPr>
                <w:rFonts w:ascii="Times New Roman" w:eastAsia="Times New Roman" w:hAnsi="Times New Roman" w:cs="Times New Roman"/>
                <w:color w:val="000000" w:themeColor="text1"/>
                <w:sz w:val="20"/>
                <w:szCs w:val="20"/>
              </w:rPr>
              <w:t>Mārupes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1BC7ACCB" w14:textId="27354D3C" w:rsidR="007557A1" w:rsidRPr="004147ED" w:rsidRDefault="007557A1" w:rsidP="006B2E53">
            <w:pPr>
              <w:spacing w:after="0" w:line="240" w:lineRule="auto"/>
              <w:jc w:val="center"/>
              <w:rPr>
                <w:rFonts w:ascii="Times New Roman" w:eastAsia="Times New Roman" w:hAnsi="Times New Roman" w:cs="Times New Roman"/>
                <w:color w:val="000000" w:themeColor="text1"/>
                <w:sz w:val="20"/>
                <w:szCs w:val="20"/>
              </w:rPr>
            </w:pPr>
            <w:r w:rsidRPr="004147ED">
              <w:rPr>
                <w:rFonts w:ascii="Times New Roman" w:eastAsia="Times New Roman" w:hAnsi="Times New Roman" w:cs="Times New Roman"/>
                <w:color w:val="000000" w:themeColor="text1"/>
                <w:sz w:val="20"/>
                <w:szCs w:val="20"/>
              </w:rPr>
              <w:t>5 395 280</w:t>
            </w:r>
          </w:p>
        </w:tc>
        <w:tc>
          <w:tcPr>
            <w:tcW w:w="2977" w:type="dxa"/>
            <w:tcBorders>
              <w:top w:val="nil"/>
              <w:left w:val="nil"/>
              <w:bottom w:val="single" w:sz="4" w:space="0" w:color="auto"/>
              <w:right w:val="single" w:sz="4" w:space="0" w:color="auto"/>
            </w:tcBorders>
            <w:shd w:val="clear" w:color="auto" w:fill="FFFFFF" w:themeFill="background1"/>
            <w:vAlign w:val="center"/>
          </w:tcPr>
          <w:p w14:paraId="563C9779" w14:textId="495A8B4C" w:rsidR="007557A1" w:rsidRPr="004147ED" w:rsidRDefault="007557A1" w:rsidP="00A9291F">
            <w:pPr>
              <w:spacing w:after="0" w:line="240" w:lineRule="auto"/>
              <w:jc w:val="center"/>
              <w:rPr>
                <w:rFonts w:ascii="Times New Roman" w:eastAsia="Times New Roman" w:hAnsi="Times New Roman" w:cs="Times New Roman"/>
                <w:i/>
                <w:iCs/>
                <w:color w:val="000000" w:themeColor="text1"/>
                <w:sz w:val="20"/>
                <w:szCs w:val="20"/>
              </w:rPr>
            </w:pPr>
            <w:r w:rsidRPr="004147ED">
              <w:rPr>
                <w:rFonts w:ascii="Times New Roman" w:eastAsia="Times New Roman" w:hAnsi="Times New Roman" w:cs="Times New Roman"/>
                <w:i/>
                <w:iCs/>
                <w:color w:val="000000" w:themeColor="text1"/>
                <w:sz w:val="20"/>
                <w:szCs w:val="20"/>
              </w:rPr>
              <w:t>3%</w:t>
            </w:r>
          </w:p>
        </w:tc>
      </w:tr>
      <w:tr w:rsidR="00A9291F" w:rsidRPr="004147ED" w14:paraId="716340E6"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tcPr>
          <w:p w14:paraId="06989E17" w14:textId="408206A4"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themeColor="text1"/>
                <w:sz w:val="20"/>
                <w:szCs w:val="20"/>
              </w:rPr>
              <w:t>Madonas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27F5797A" w14:textId="667E20D2"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4 941 741 </w:t>
            </w:r>
          </w:p>
        </w:tc>
        <w:tc>
          <w:tcPr>
            <w:tcW w:w="2977" w:type="dxa"/>
            <w:tcBorders>
              <w:top w:val="nil"/>
              <w:left w:val="nil"/>
              <w:bottom w:val="single" w:sz="4" w:space="0" w:color="auto"/>
              <w:right w:val="single" w:sz="4" w:space="0" w:color="auto"/>
            </w:tcBorders>
            <w:shd w:val="clear" w:color="auto" w:fill="FFFFFF" w:themeFill="background1"/>
            <w:vAlign w:val="center"/>
          </w:tcPr>
          <w:p w14:paraId="0F41FBBD" w14:textId="4C4F0257"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3%</w:t>
            </w:r>
          </w:p>
        </w:tc>
      </w:tr>
      <w:tr w:rsidR="00A9291F" w:rsidRPr="004147ED" w14:paraId="197E4419"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BD9D16" w14:textId="1F56BB35"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themeColor="text1"/>
                <w:sz w:val="20"/>
                <w:szCs w:val="20"/>
              </w:rPr>
              <w:t>Jelgavas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10400D44" w14:textId="42340FE9"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4 559 370 </w:t>
            </w:r>
          </w:p>
        </w:tc>
        <w:tc>
          <w:tcPr>
            <w:tcW w:w="2977" w:type="dxa"/>
            <w:tcBorders>
              <w:top w:val="nil"/>
              <w:left w:val="nil"/>
              <w:bottom w:val="single" w:sz="4" w:space="0" w:color="auto"/>
              <w:right w:val="single" w:sz="4" w:space="0" w:color="auto"/>
            </w:tcBorders>
            <w:shd w:val="clear" w:color="auto" w:fill="FFFFFF" w:themeFill="background1"/>
            <w:vAlign w:val="center"/>
          </w:tcPr>
          <w:p w14:paraId="0449ACFE" w14:textId="24884675"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3%</w:t>
            </w:r>
          </w:p>
        </w:tc>
      </w:tr>
      <w:tr w:rsidR="00A9291F" w:rsidRPr="004147ED" w14:paraId="147D65DA" w14:textId="77777777" w:rsidTr="00BA721E">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0732EC" w14:textId="77777777" w:rsidR="00A9291F" w:rsidRPr="004147ED" w:rsidRDefault="00A9291F"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Rēzeknes valstspilsētas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5B395848" w14:textId="7982D093" w:rsidR="00A9291F" w:rsidRPr="004147ED" w:rsidRDefault="00A9291F"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4 331 723 </w:t>
            </w:r>
          </w:p>
        </w:tc>
        <w:tc>
          <w:tcPr>
            <w:tcW w:w="2977" w:type="dxa"/>
            <w:tcBorders>
              <w:top w:val="nil"/>
              <w:left w:val="nil"/>
              <w:bottom w:val="single" w:sz="4" w:space="0" w:color="auto"/>
              <w:right w:val="single" w:sz="4" w:space="0" w:color="auto"/>
            </w:tcBorders>
            <w:shd w:val="clear" w:color="auto" w:fill="FFFFFF" w:themeFill="background1"/>
            <w:vAlign w:val="center"/>
          </w:tcPr>
          <w:p w14:paraId="41FCA61C" w14:textId="5DDCF262" w:rsidR="00A9291F" w:rsidRPr="004147ED" w:rsidRDefault="00A9291F" w:rsidP="00A9291F">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color w:val="000000" w:themeColor="text1"/>
                <w:sz w:val="20"/>
                <w:szCs w:val="20"/>
              </w:rPr>
              <w:t>3%</w:t>
            </w:r>
          </w:p>
        </w:tc>
      </w:tr>
    </w:tbl>
    <w:p w14:paraId="61BF6A6E" w14:textId="77777777" w:rsidR="006F23BC" w:rsidRDefault="006F23BC" w:rsidP="006F23BC">
      <w:pPr>
        <w:pStyle w:val="NormalWeb"/>
        <w:spacing w:before="0" w:beforeAutospacing="0" w:after="0" w:afterAutospacing="0"/>
        <w:ind w:firstLine="709"/>
        <w:jc w:val="both"/>
        <w:textAlignment w:val="baseline"/>
        <w:rPr>
          <w:rFonts w:eastAsia="Calibri"/>
        </w:rPr>
      </w:pPr>
    </w:p>
    <w:p w14:paraId="06F70064" w14:textId="5FC881D9" w:rsidR="00DD5A8A" w:rsidRPr="005963DE" w:rsidRDefault="3F9AC807" w:rsidP="469479B5">
      <w:pPr>
        <w:pStyle w:val="NormalWeb"/>
        <w:spacing w:before="0" w:beforeAutospacing="0" w:after="0" w:afterAutospacing="0"/>
        <w:ind w:firstLine="709"/>
        <w:jc w:val="both"/>
        <w:textAlignment w:val="baseline"/>
      </w:pPr>
      <w:bookmarkStart w:id="28" w:name="_Toc405371081"/>
      <w:bookmarkStart w:id="29" w:name="_Toc536779061"/>
      <w:bookmarkStart w:id="30" w:name="_Toc405371077"/>
      <w:r>
        <w:t xml:space="preserve">Galvoto valsts aizdevumu atmaksa tiek veikta atbilstoši to atmaksu grafikiem un nav bijusi nepieciešamība pieprasīt pašvaldību galvojumu izpildi. Tādējādi </w:t>
      </w:r>
      <w:r w:rsidR="0139020E">
        <w:t>202</w:t>
      </w:r>
      <w:r w:rsidR="00A9291F">
        <w:t>5</w:t>
      </w:r>
      <w:r>
        <w:t>.</w:t>
      </w:r>
      <w:r w:rsidR="1D084393">
        <w:t xml:space="preserve"> </w:t>
      </w:r>
      <w:r>
        <w:t xml:space="preserve">gadā ir nodrošināts stingrs un fiskāli atbildīgs aizņēmumu un galvojumu saistību uzņemšanās un izpildes process. </w:t>
      </w:r>
    </w:p>
    <w:p w14:paraId="45B35F2C" w14:textId="77777777" w:rsidR="00D41016" w:rsidRPr="005963DE" w:rsidRDefault="00D41016" w:rsidP="00DD5A8A">
      <w:pPr>
        <w:pStyle w:val="NormalWeb"/>
        <w:spacing w:before="0" w:beforeAutospacing="0"/>
        <w:ind w:firstLine="709"/>
        <w:jc w:val="both"/>
        <w:textAlignment w:val="baseline"/>
        <w:rPr>
          <w:rFonts w:eastAsia="Calibri"/>
          <w:b/>
          <w:bCs/>
        </w:rPr>
      </w:pPr>
      <w:r w:rsidRPr="005963DE">
        <w:rPr>
          <w:rFonts w:eastAsia="Calibri"/>
        </w:rPr>
        <w:t xml:space="preserve">Ņemot vērā, ka līdz šim </w:t>
      </w:r>
      <w:r w:rsidRPr="005963DE">
        <w:rPr>
          <w:rFonts w:eastAsia="Calibri"/>
          <w:b/>
          <w:bCs/>
        </w:rPr>
        <w:t>pašvaldību galvojumu izpildes risks</w:t>
      </w:r>
      <w:r w:rsidRPr="005963DE">
        <w:rPr>
          <w:rFonts w:eastAsia="Calibri"/>
        </w:rPr>
        <w:t xml:space="preserve"> nav iestājies, kā arī nav indikāciju, ka tas varētu iestāties vidēja termiņa perspektīvā, tas tiek vērtēts kā tuvs nullei un </w:t>
      </w:r>
      <w:r w:rsidRPr="005963DE">
        <w:rPr>
          <w:rFonts w:eastAsia="Calibri"/>
          <w:b/>
          <w:bCs/>
        </w:rPr>
        <w:t>netiek ietverts fiskālā nodrošinājuma rezerves aprēķinā.</w:t>
      </w:r>
    </w:p>
    <w:p w14:paraId="770AFD1D" w14:textId="616EBFB6" w:rsidR="006B5E3D" w:rsidRPr="00F442A0" w:rsidRDefault="006B5E3D" w:rsidP="006B5E3D">
      <w:pPr>
        <w:pStyle w:val="Heading2"/>
        <w:numPr>
          <w:ilvl w:val="1"/>
          <w:numId w:val="4"/>
        </w:numPr>
        <w:tabs>
          <w:tab w:val="left" w:pos="3261"/>
          <w:tab w:val="left" w:pos="5103"/>
          <w:tab w:val="left" w:pos="5245"/>
        </w:tabs>
        <w:spacing w:before="120" w:after="120" w:line="240" w:lineRule="auto"/>
        <w:ind w:left="567" w:hanging="555"/>
        <w:rPr>
          <w:rFonts w:cs="Times New Roman"/>
          <w:color w:val="auto"/>
          <w:szCs w:val="24"/>
        </w:rPr>
      </w:pPr>
      <w:bookmarkStart w:id="31" w:name="_Toc125316291"/>
      <w:bookmarkStart w:id="32" w:name="_Toc125316652"/>
      <w:bookmarkStart w:id="33" w:name="_Toc125362713"/>
      <w:bookmarkStart w:id="34" w:name="_Toc125382133"/>
      <w:bookmarkStart w:id="35" w:name="_Toc125399725"/>
      <w:bookmarkStart w:id="36" w:name="_Toc125316292"/>
      <w:bookmarkStart w:id="37" w:name="_Toc125316653"/>
      <w:bookmarkStart w:id="38" w:name="_Toc125362714"/>
      <w:bookmarkStart w:id="39" w:name="_Toc125382134"/>
      <w:bookmarkStart w:id="40" w:name="_Toc125399726"/>
      <w:bookmarkStart w:id="41" w:name="_Toc125316293"/>
      <w:bookmarkStart w:id="42" w:name="_Toc125316654"/>
      <w:bookmarkStart w:id="43" w:name="_Toc125362715"/>
      <w:bookmarkStart w:id="44" w:name="_Toc125382135"/>
      <w:bookmarkStart w:id="45" w:name="_Toc125399727"/>
      <w:bookmarkStart w:id="46" w:name="_Toc125316294"/>
      <w:bookmarkStart w:id="47" w:name="_Toc125316655"/>
      <w:bookmarkStart w:id="48" w:name="_Toc125362716"/>
      <w:bookmarkStart w:id="49" w:name="_Toc125382136"/>
      <w:bookmarkStart w:id="50" w:name="_Toc125399728"/>
      <w:bookmarkStart w:id="51" w:name="_Toc125316295"/>
      <w:bookmarkStart w:id="52" w:name="_Toc125316656"/>
      <w:bookmarkStart w:id="53" w:name="_Toc125362717"/>
      <w:bookmarkStart w:id="54" w:name="_Toc125382137"/>
      <w:bookmarkStart w:id="55" w:name="_Toc125399729"/>
      <w:bookmarkStart w:id="56" w:name="_Toc125316296"/>
      <w:bookmarkStart w:id="57" w:name="_Toc125316657"/>
      <w:bookmarkStart w:id="58" w:name="_Toc125362718"/>
      <w:bookmarkStart w:id="59" w:name="_Toc125382138"/>
      <w:bookmarkStart w:id="60" w:name="_Toc125399730"/>
      <w:bookmarkStart w:id="61" w:name="_Toc20555440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442A0">
        <w:rPr>
          <w:rFonts w:cs="Times New Roman"/>
          <w:color w:val="auto"/>
          <w:szCs w:val="24"/>
        </w:rPr>
        <w:t>Valsts galvojums studiju un studējošo kreditēšanai</w:t>
      </w:r>
      <w:bookmarkEnd w:id="28"/>
      <w:bookmarkEnd w:id="29"/>
      <w:bookmarkEnd w:id="61"/>
    </w:p>
    <w:p w14:paraId="3CFF00BD" w14:textId="5404400E" w:rsidR="00247DE9" w:rsidRPr="005963DE" w:rsidRDefault="00247DE9" w:rsidP="00247DE9">
      <w:pPr>
        <w:spacing w:after="0" w:line="240" w:lineRule="auto"/>
        <w:ind w:firstLine="720"/>
        <w:jc w:val="both"/>
        <w:rPr>
          <w:rFonts w:ascii="Times New Roman" w:eastAsiaTheme="minorHAnsi" w:hAnsi="Times New Roman" w:cs="Times New Roman"/>
          <w:sz w:val="24"/>
        </w:rPr>
      </w:pPr>
      <w:bookmarkStart w:id="62" w:name="_Toc536779062"/>
      <w:r w:rsidRPr="005963DE">
        <w:rPr>
          <w:rFonts w:ascii="Times New Roman" w:eastAsiaTheme="minorHAnsi" w:hAnsi="Times New Roman" w:cs="Times New Roman"/>
          <w:sz w:val="24"/>
        </w:rPr>
        <w:t xml:space="preserve">Fiskālais risks var iestāties, ja valstij vienlaicīgi ir jāveic liels skaits maksājumu attiecībā pret sniegtajiem galvojumiem, kas var palielināt vispārējās valdības budžeta deficītu. Jāatzīmē, ka valsts galvojumu sistēma paredz, ka papildus valsts galvojumam </w:t>
      </w:r>
      <w:r w:rsidR="00D9382C" w:rsidRPr="005963DE">
        <w:rPr>
          <w:rFonts w:ascii="Times New Roman" w:eastAsiaTheme="minorHAnsi" w:hAnsi="Times New Roman" w:cs="Times New Roman"/>
          <w:sz w:val="24"/>
        </w:rPr>
        <w:t xml:space="preserve">tika sniegti </w:t>
      </w:r>
      <w:r w:rsidRPr="005963DE">
        <w:rPr>
          <w:rFonts w:ascii="Times New Roman" w:eastAsiaTheme="minorHAnsi" w:hAnsi="Times New Roman" w:cs="Times New Roman"/>
          <w:sz w:val="24"/>
        </w:rPr>
        <w:t>arī trešo personu galvojumi, kas iestājas pirms valsts galvojuma.</w:t>
      </w:r>
    </w:p>
    <w:p w14:paraId="3252CF4A" w14:textId="012121D2" w:rsidR="00EA0994" w:rsidRPr="0093266C" w:rsidRDefault="183A4F54"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Uz 202</w:t>
      </w:r>
      <w:r w:rsidR="00A9291F">
        <w:rPr>
          <w:rFonts w:ascii="Times New Roman" w:hAnsi="Times New Roman" w:cs="Times New Roman"/>
          <w:sz w:val="24"/>
          <w:szCs w:val="24"/>
        </w:rPr>
        <w:t>5</w:t>
      </w:r>
      <w:r w:rsidRPr="469479B5">
        <w:rPr>
          <w:rFonts w:ascii="Times New Roman" w:hAnsi="Times New Roman" w:cs="Times New Roman"/>
          <w:sz w:val="24"/>
          <w:szCs w:val="24"/>
        </w:rPr>
        <w:t>.</w:t>
      </w:r>
      <w:r w:rsidR="5CD7BB86"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30.</w:t>
      </w:r>
      <w:r w:rsidR="60792E0D"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aprīli valsts ir veikusi galvojumu saistību izpildi </w:t>
      </w:r>
      <w:r w:rsidR="00A9291F">
        <w:rPr>
          <w:rFonts w:ascii="Times New Roman" w:hAnsi="Times New Roman" w:cs="Times New Roman"/>
          <w:sz w:val="24"/>
          <w:szCs w:val="24"/>
        </w:rPr>
        <w:t>444</w:t>
      </w:r>
      <w:r w:rsidRPr="469479B5">
        <w:rPr>
          <w:rFonts w:ascii="Times New Roman" w:hAnsi="Times New Roman" w:cs="Times New Roman"/>
          <w:sz w:val="24"/>
          <w:szCs w:val="24"/>
        </w:rPr>
        <w:t xml:space="preserve"> tūkst. </w:t>
      </w:r>
      <w:r w:rsidRPr="469479B5">
        <w:rPr>
          <w:rFonts w:ascii="Times New Roman" w:hAnsi="Times New Roman" w:cs="Times New Roman"/>
          <w:i/>
          <w:iCs/>
          <w:sz w:val="24"/>
          <w:szCs w:val="24"/>
        </w:rPr>
        <w:t>euro</w:t>
      </w:r>
      <w:r w:rsidRPr="469479B5">
        <w:rPr>
          <w:rFonts w:ascii="Times New Roman" w:hAnsi="Times New Roman" w:cs="Times New Roman"/>
          <w:sz w:val="24"/>
          <w:szCs w:val="24"/>
        </w:rPr>
        <w:t xml:space="preserve"> apmērā</w:t>
      </w:r>
      <w:r w:rsidR="00A9291F">
        <w:rPr>
          <w:rFonts w:ascii="Times New Roman" w:hAnsi="Times New Roman" w:cs="Times New Roman"/>
          <w:sz w:val="24"/>
          <w:szCs w:val="24"/>
        </w:rPr>
        <w:t xml:space="preserve"> </w:t>
      </w:r>
      <w:r w:rsidR="00A9291F" w:rsidRPr="609F3A9C">
        <w:rPr>
          <w:rFonts w:ascii="Times New Roman" w:hAnsi="Times New Roman" w:cs="Times New Roman"/>
          <w:sz w:val="24"/>
          <w:szCs w:val="24"/>
        </w:rPr>
        <w:t xml:space="preserve">(t.sk. periodā no 2024. gada 1. maija līdz 2025. gada 30. aprīlim valsts ir veikusi galvojumu saistību izpildi 25 tūkst. </w:t>
      </w:r>
      <w:r w:rsidR="00A9291F" w:rsidRPr="00677906">
        <w:rPr>
          <w:rFonts w:ascii="Times New Roman" w:hAnsi="Times New Roman" w:cs="Times New Roman"/>
          <w:i/>
          <w:iCs/>
          <w:sz w:val="24"/>
          <w:szCs w:val="24"/>
        </w:rPr>
        <w:t>euro</w:t>
      </w:r>
      <w:r w:rsidR="00A9291F" w:rsidRPr="609F3A9C">
        <w:rPr>
          <w:rFonts w:ascii="Times New Roman" w:hAnsi="Times New Roman" w:cs="Times New Roman"/>
          <w:sz w:val="24"/>
          <w:szCs w:val="24"/>
        </w:rPr>
        <w:t xml:space="preserve"> apmērā)</w:t>
      </w:r>
      <w:r w:rsidRPr="469479B5">
        <w:rPr>
          <w:rFonts w:ascii="Times New Roman" w:hAnsi="Times New Roman" w:cs="Times New Roman"/>
          <w:sz w:val="24"/>
          <w:szCs w:val="24"/>
        </w:rPr>
        <w:t xml:space="preserve">, kuru veido veiktie pārskaitījumi: </w:t>
      </w:r>
    </w:p>
    <w:p w14:paraId="0761AF80" w14:textId="77777777" w:rsidR="00EC0F9B" w:rsidRDefault="00A9291F" w:rsidP="00D45E73">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316</w:t>
      </w:r>
      <w:r w:rsidR="00EA0994" w:rsidRPr="0093266C">
        <w:rPr>
          <w:rFonts w:ascii="Times New Roman" w:eastAsiaTheme="minorHAnsi" w:hAnsi="Times New Roman"/>
          <w:sz w:val="24"/>
        </w:rPr>
        <w:t xml:space="preserve"> </w:t>
      </w:r>
      <w:r w:rsidR="00543109" w:rsidRPr="005963DE">
        <w:rPr>
          <w:rFonts w:ascii="Times New Roman" w:eastAsiaTheme="minorHAnsi" w:hAnsi="Times New Roman"/>
          <w:sz w:val="24"/>
        </w:rPr>
        <w:t>tūkst.</w:t>
      </w:r>
      <w:r w:rsidR="00D9382C" w:rsidRPr="005963DE">
        <w:rPr>
          <w:rFonts w:ascii="Times New Roman" w:eastAsiaTheme="minorHAnsi" w:hAnsi="Times New Roman"/>
          <w:sz w:val="24"/>
        </w:rPr>
        <w:t> </w:t>
      </w:r>
      <w:r w:rsidR="00247DE9" w:rsidRPr="005963DE">
        <w:rPr>
          <w:rFonts w:ascii="Times New Roman" w:eastAsiaTheme="minorHAnsi" w:hAnsi="Times New Roman"/>
          <w:i/>
          <w:sz w:val="24"/>
        </w:rPr>
        <w:t xml:space="preserve">euro </w:t>
      </w:r>
      <w:r w:rsidR="00247DE9" w:rsidRPr="005963DE">
        <w:rPr>
          <w:rFonts w:ascii="Times New Roman" w:eastAsiaTheme="minorHAnsi" w:hAnsi="Times New Roman"/>
          <w:sz w:val="24"/>
        </w:rPr>
        <w:t xml:space="preserve">noslēgtajiem kredīta līgumiem un kuros atbilstoši MK noteikumu tiesību normām kredītiestāde pēc valsts galvojuma saistību izpildes turpina veikt neatmaksātā kredīta piedziņu, </w:t>
      </w:r>
    </w:p>
    <w:p w14:paraId="608AF70A" w14:textId="5B487FF5" w:rsidR="00DD5A8A" w:rsidRPr="00EC0F9B" w:rsidRDefault="00A9291F" w:rsidP="00D45E73">
      <w:pPr>
        <w:pStyle w:val="ListParagraph"/>
        <w:numPr>
          <w:ilvl w:val="0"/>
          <w:numId w:val="16"/>
        </w:numPr>
        <w:ind w:left="709"/>
        <w:rPr>
          <w:rFonts w:ascii="Times New Roman" w:eastAsiaTheme="minorHAnsi" w:hAnsi="Times New Roman"/>
          <w:sz w:val="24"/>
        </w:rPr>
      </w:pPr>
      <w:r w:rsidRPr="00EC0F9B">
        <w:rPr>
          <w:rFonts w:ascii="Times New Roman" w:hAnsi="Times New Roman"/>
          <w:sz w:val="24"/>
          <w:szCs w:val="24"/>
        </w:rPr>
        <w:t>128</w:t>
      </w:r>
      <w:r w:rsidR="183A4F54" w:rsidRPr="00EC0F9B">
        <w:rPr>
          <w:rFonts w:ascii="Times New Roman" w:hAnsi="Times New Roman"/>
          <w:sz w:val="24"/>
          <w:szCs w:val="24"/>
        </w:rPr>
        <w:t xml:space="preserve"> </w:t>
      </w:r>
      <w:r w:rsidR="5904D6CC" w:rsidRPr="00EC0F9B">
        <w:rPr>
          <w:rFonts w:ascii="Times New Roman" w:hAnsi="Times New Roman"/>
          <w:sz w:val="24"/>
          <w:szCs w:val="24"/>
        </w:rPr>
        <w:t>tūkst.</w:t>
      </w:r>
      <w:r w:rsidR="001EDE40" w:rsidRPr="00EC0F9B">
        <w:rPr>
          <w:rFonts w:ascii="Times New Roman" w:hAnsi="Times New Roman"/>
          <w:sz w:val="24"/>
          <w:szCs w:val="24"/>
        </w:rPr>
        <w:t> </w:t>
      </w:r>
      <w:r w:rsidR="43AA7A35" w:rsidRPr="00EC0F9B">
        <w:rPr>
          <w:rFonts w:ascii="Times New Roman" w:hAnsi="Times New Roman"/>
          <w:i/>
          <w:iCs/>
          <w:sz w:val="24"/>
          <w:szCs w:val="24"/>
        </w:rPr>
        <w:t>euro</w:t>
      </w:r>
      <w:r w:rsidR="43AA7A35" w:rsidRPr="00EC0F9B">
        <w:rPr>
          <w:rFonts w:ascii="Times New Roman" w:hAnsi="Times New Roman"/>
          <w:sz w:val="24"/>
          <w:szCs w:val="24"/>
        </w:rPr>
        <w:t xml:space="preserve"> apmērā, kad maksātnespējas procesā ar tiesas lēmumu studējošo un to galvinieku (fizisku personu) saistības ir dzēstas un nav pret ko vērst savu regresa prasību. </w:t>
      </w:r>
    </w:p>
    <w:p w14:paraId="3C693C21" w14:textId="6BE59F06" w:rsidR="00247DE9" w:rsidRPr="005963DE" w:rsidRDefault="00247DE9" w:rsidP="00DD5A8A">
      <w:pPr>
        <w:spacing w:after="100" w:afterAutospacing="1" w:line="240" w:lineRule="auto"/>
        <w:ind w:firstLine="720"/>
        <w:jc w:val="both"/>
        <w:rPr>
          <w:rFonts w:ascii="Times New Roman" w:eastAsiaTheme="minorHAnsi" w:hAnsi="Times New Roman" w:cs="Times New Roman"/>
          <w:sz w:val="24"/>
        </w:rPr>
      </w:pPr>
      <w:r w:rsidRPr="005963DE">
        <w:rPr>
          <w:rFonts w:ascii="Times New Roman" w:eastAsiaTheme="minorHAnsi" w:hAnsi="Times New Roman" w:cs="Times New Roman"/>
          <w:sz w:val="24"/>
        </w:rPr>
        <w:t xml:space="preserve">Fiskālā ietekme un iestāšanās varbūtība šim specifiskajam fiskālajam riskam tiek novērtēta tuvu nullei, jo vēsturiskā pieredze neliecina par būtisku ietekmi uz valsts budžetu. Ņemot vērā minēto, </w:t>
      </w:r>
      <w:r w:rsidRPr="005963DE">
        <w:rPr>
          <w:rFonts w:ascii="Times New Roman" w:hAnsi="Times New Roman"/>
          <w:b/>
          <w:bCs/>
          <w:sz w:val="24"/>
        </w:rPr>
        <w:t>fiskālā nodrošinājuma rezerve šim riskam netiek veidota</w:t>
      </w:r>
      <w:r w:rsidRPr="005963DE">
        <w:rPr>
          <w:rFonts w:ascii="Times New Roman" w:eastAsiaTheme="minorHAnsi" w:hAnsi="Times New Roman" w:cs="Times New Roman"/>
          <w:b/>
          <w:bCs/>
          <w:sz w:val="24"/>
        </w:rPr>
        <w:t>.</w:t>
      </w:r>
    </w:p>
    <w:p w14:paraId="0EF08545" w14:textId="5B613A21" w:rsidR="00822D84" w:rsidRPr="00F442A0" w:rsidRDefault="00822D84" w:rsidP="009A521C">
      <w:pPr>
        <w:pStyle w:val="Heading2"/>
        <w:numPr>
          <w:ilvl w:val="1"/>
          <w:numId w:val="4"/>
        </w:numPr>
        <w:tabs>
          <w:tab w:val="left" w:pos="3261"/>
          <w:tab w:val="left" w:pos="5103"/>
          <w:tab w:val="left" w:pos="5245"/>
        </w:tabs>
        <w:spacing w:before="120" w:after="120" w:line="240" w:lineRule="auto"/>
        <w:ind w:left="567" w:hanging="555"/>
        <w:rPr>
          <w:rFonts w:cs="Times New Roman"/>
          <w:color w:val="auto"/>
          <w:szCs w:val="24"/>
        </w:rPr>
      </w:pPr>
      <w:bookmarkStart w:id="63" w:name="_Toc205554410"/>
      <w:r w:rsidRPr="00F442A0">
        <w:rPr>
          <w:rFonts w:cs="Times New Roman"/>
          <w:color w:val="auto"/>
          <w:szCs w:val="24"/>
        </w:rPr>
        <w:t>Valsts aizdevumi</w:t>
      </w:r>
      <w:bookmarkEnd w:id="30"/>
      <w:bookmarkEnd w:id="62"/>
      <w:bookmarkEnd w:id="63"/>
    </w:p>
    <w:p w14:paraId="1115C8F0" w14:textId="732590CC" w:rsidR="00822318" w:rsidRDefault="005C32F2" w:rsidP="005963DE">
      <w:pPr>
        <w:spacing w:before="240" w:line="240" w:lineRule="auto"/>
        <w:ind w:firstLine="720"/>
        <w:jc w:val="both"/>
        <w:rPr>
          <w:rFonts w:ascii="Times New Roman" w:eastAsia="Calibri" w:hAnsi="Times New Roman"/>
          <w:sz w:val="24"/>
          <w:szCs w:val="24"/>
        </w:rPr>
      </w:pPr>
      <w:r w:rsidRPr="005963DE">
        <w:rPr>
          <w:rFonts w:ascii="Times New Roman" w:eastAsia="Calibri" w:hAnsi="Times New Roman"/>
          <w:sz w:val="24"/>
        </w:rPr>
        <w:t xml:space="preserve">Valsts aizdevumu fiskālais risks </w:t>
      </w:r>
      <w:r w:rsidRPr="005963DE">
        <w:rPr>
          <w:rFonts w:ascii="Times New Roman" w:eastAsia="Calibri" w:hAnsi="Times New Roman"/>
          <w:sz w:val="24"/>
          <w:szCs w:val="24"/>
        </w:rPr>
        <w:t>saskaņā ar fiskālo risku avotu klasifikāciju ir iespējamās saistības (izdevumi), kas izriet no līgumiem.</w:t>
      </w:r>
      <w:r w:rsidRPr="005963DE">
        <w:rPr>
          <w:rFonts w:ascii="Times New Roman" w:eastAsia="Calibri" w:hAnsi="Times New Roman"/>
          <w:sz w:val="24"/>
        </w:rPr>
        <w:t xml:space="preserve"> </w:t>
      </w:r>
      <w:r w:rsidRPr="005963DE">
        <w:rPr>
          <w:rFonts w:ascii="Times New Roman" w:eastAsia="Calibri" w:hAnsi="Times New Roman"/>
          <w:sz w:val="24"/>
          <w:szCs w:val="24"/>
        </w:rPr>
        <w:t>Valsts aizdevumu fiskālais risks (</w:t>
      </w:r>
      <w:r w:rsidR="0099117B" w:rsidRPr="005963DE">
        <w:rPr>
          <w:rFonts w:ascii="Times New Roman" w:eastAsia="Calibri" w:hAnsi="Times New Roman"/>
          <w:sz w:val="24"/>
          <w:szCs w:val="24"/>
        </w:rPr>
        <w:t xml:space="preserve">šīs deklarācijas apakšsadaļas ietvaros </w:t>
      </w:r>
      <w:r w:rsidRPr="005963DE">
        <w:rPr>
          <w:rFonts w:ascii="Times New Roman" w:eastAsia="Calibri" w:hAnsi="Times New Roman"/>
          <w:sz w:val="24"/>
          <w:szCs w:val="24"/>
        </w:rPr>
        <w:t>turpmāk – aizdevumu risks) ir nenoteiktības ietekme uz valsts aizdevumu saņēmēju (</w:t>
      </w:r>
      <w:r w:rsidR="0099117B" w:rsidRPr="005963DE">
        <w:rPr>
          <w:rFonts w:ascii="Times New Roman" w:eastAsia="Calibri" w:hAnsi="Times New Roman"/>
          <w:sz w:val="24"/>
          <w:szCs w:val="24"/>
        </w:rPr>
        <w:t xml:space="preserve">šīs deklarācijas apakšsadaļas ietvaros </w:t>
      </w:r>
      <w:r w:rsidRPr="005963DE">
        <w:rPr>
          <w:rFonts w:ascii="Times New Roman" w:eastAsia="Calibri" w:hAnsi="Times New Roman"/>
          <w:sz w:val="24"/>
          <w:szCs w:val="24"/>
        </w:rPr>
        <w:t xml:space="preserve">turpmāk – aizdevumu saņēmēju) spēju segt savas saistības savlaicīgi un pilnā apmērā, kā rezultātā valsts var nesaņemt plānotos valsts aizdevumu pamatsummu un procentu maksājumus. </w:t>
      </w:r>
    </w:p>
    <w:p w14:paraId="66EC3F9B" w14:textId="77777777" w:rsidR="00C0189F" w:rsidRDefault="00C0189F" w:rsidP="005963DE">
      <w:pPr>
        <w:spacing w:before="240" w:line="240" w:lineRule="auto"/>
        <w:ind w:firstLine="720"/>
        <w:jc w:val="both"/>
        <w:rPr>
          <w:rFonts w:ascii="Times New Roman" w:eastAsia="Calibri" w:hAnsi="Times New Roman"/>
          <w:sz w:val="24"/>
          <w:szCs w:val="24"/>
        </w:rPr>
      </w:pPr>
    </w:p>
    <w:p w14:paraId="0FC9C017" w14:textId="77777777" w:rsidR="00C0189F" w:rsidRDefault="00C0189F" w:rsidP="005963DE">
      <w:pPr>
        <w:spacing w:before="240" w:line="240" w:lineRule="auto"/>
        <w:ind w:firstLine="720"/>
        <w:jc w:val="both"/>
        <w:rPr>
          <w:rFonts w:ascii="Times New Roman" w:eastAsia="Calibri" w:hAnsi="Times New Roman"/>
          <w:sz w:val="24"/>
          <w:szCs w:val="24"/>
        </w:rPr>
      </w:pPr>
    </w:p>
    <w:p w14:paraId="6C375EFD" w14:textId="77777777" w:rsidR="00C0189F" w:rsidRDefault="00C0189F" w:rsidP="005963DE">
      <w:pPr>
        <w:spacing w:before="240" w:line="240" w:lineRule="auto"/>
        <w:ind w:firstLine="720"/>
        <w:jc w:val="both"/>
        <w:rPr>
          <w:rFonts w:ascii="Times New Roman" w:eastAsia="Calibri" w:hAnsi="Times New Roman"/>
          <w:sz w:val="24"/>
        </w:rPr>
      </w:pPr>
    </w:p>
    <w:p w14:paraId="5F8E089D" w14:textId="66ED5CA7" w:rsidR="00D35122" w:rsidRDefault="539ADF46" w:rsidP="00D35122">
      <w:pPr>
        <w:spacing w:before="240" w:after="0" w:line="240" w:lineRule="auto"/>
        <w:ind w:firstLine="720"/>
        <w:jc w:val="right"/>
        <w:rPr>
          <w:rFonts w:ascii="Times New Roman" w:hAnsi="Times New Roman" w:cs="Times New Roman"/>
          <w:b/>
          <w:bCs/>
          <w:sz w:val="24"/>
          <w:szCs w:val="24"/>
        </w:rPr>
      </w:pPr>
      <w:r w:rsidRPr="469479B5">
        <w:rPr>
          <w:rFonts w:ascii="Times New Roman" w:hAnsi="Times New Roman" w:cs="Times New Roman"/>
          <w:b/>
          <w:bCs/>
          <w:sz w:val="24"/>
          <w:szCs w:val="24"/>
        </w:rPr>
        <w:t>Tabula Nr.2.3.1 Valsts aizdevuma atlikumi laika periodā no 2021. gada līdz</w:t>
      </w:r>
    </w:p>
    <w:p w14:paraId="6163DE9F" w14:textId="76BD7B46" w:rsidR="00822318" w:rsidRPr="00F81AF8" w:rsidRDefault="539ADF46" w:rsidP="00D35122">
      <w:pPr>
        <w:spacing w:line="240" w:lineRule="auto"/>
        <w:ind w:firstLine="720"/>
        <w:jc w:val="right"/>
        <w:rPr>
          <w:rFonts w:ascii="Times New Roman" w:hAnsi="Times New Roman" w:cs="Times New Roman"/>
          <w:b/>
          <w:bCs/>
          <w:sz w:val="24"/>
          <w:szCs w:val="24"/>
        </w:rPr>
      </w:pPr>
      <w:r w:rsidRPr="469479B5">
        <w:rPr>
          <w:rFonts w:ascii="Times New Roman" w:hAnsi="Times New Roman" w:cs="Times New Roman"/>
          <w:b/>
          <w:bCs/>
          <w:sz w:val="24"/>
          <w:szCs w:val="24"/>
        </w:rPr>
        <w:t>202</w:t>
      </w:r>
      <w:r w:rsidR="00A9291F">
        <w:rPr>
          <w:rFonts w:ascii="Times New Roman" w:hAnsi="Times New Roman" w:cs="Times New Roman"/>
          <w:b/>
          <w:bCs/>
          <w:sz w:val="24"/>
          <w:szCs w:val="24"/>
        </w:rPr>
        <w:t>5</w:t>
      </w:r>
      <w:r w:rsidRPr="469479B5">
        <w:rPr>
          <w:rFonts w:ascii="Times New Roman" w:hAnsi="Times New Roman" w:cs="Times New Roman"/>
          <w:b/>
          <w:bCs/>
          <w:sz w:val="24"/>
          <w:szCs w:val="24"/>
        </w:rPr>
        <w:t>. gada</w:t>
      </w:r>
      <w:r w:rsidR="1EE30111" w:rsidRPr="469479B5">
        <w:rPr>
          <w:rFonts w:ascii="Times New Roman" w:hAnsi="Times New Roman" w:cs="Times New Roman"/>
          <w:b/>
          <w:bCs/>
          <w:sz w:val="24"/>
          <w:szCs w:val="24"/>
        </w:rPr>
        <w:t xml:space="preserve"> 30.</w:t>
      </w:r>
      <w:r w:rsidR="401C179F" w:rsidRPr="469479B5">
        <w:rPr>
          <w:rFonts w:ascii="Times New Roman" w:hAnsi="Times New Roman" w:cs="Times New Roman"/>
          <w:b/>
          <w:bCs/>
          <w:sz w:val="24"/>
          <w:szCs w:val="24"/>
        </w:rPr>
        <w:t xml:space="preserve"> </w:t>
      </w:r>
      <w:r w:rsidR="1EE30111" w:rsidRPr="469479B5">
        <w:rPr>
          <w:rFonts w:ascii="Times New Roman" w:hAnsi="Times New Roman" w:cs="Times New Roman"/>
          <w:b/>
          <w:bCs/>
          <w:sz w:val="24"/>
          <w:szCs w:val="24"/>
        </w:rPr>
        <w:t>aprīlim</w:t>
      </w:r>
      <w:r w:rsidRPr="469479B5">
        <w:rPr>
          <w:rFonts w:ascii="Times New Roman" w:hAnsi="Times New Roman" w:cs="Times New Roman"/>
          <w:b/>
          <w:bCs/>
          <w:sz w:val="24"/>
          <w:szCs w:val="24"/>
        </w:rPr>
        <w:t xml:space="preserve">, </w:t>
      </w:r>
      <w:r w:rsidRPr="00BA721E">
        <w:rPr>
          <w:rFonts w:ascii="Times New Roman" w:hAnsi="Times New Roman" w:cs="Times New Roman"/>
          <w:b/>
          <w:bCs/>
          <w:i/>
          <w:iCs/>
          <w:sz w:val="24"/>
          <w:szCs w:val="24"/>
        </w:rPr>
        <w:t>euro</w:t>
      </w:r>
    </w:p>
    <w:tbl>
      <w:tblPr>
        <w:tblW w:w="9296" w:type="dxa"/>
        <w:jc w:val="center"/>
        <w:tblLook w:val="04A0" w:firstRow="1" w:lastRow="0" w:firstColumn="1" w:lastColumn="0" w:noHBand="0" w:noVBand="1"/>
      </w:tblPr>
      <w:tblGrid>
        <w:gridCol w:w="2324"/>
        <w:gridCol w:w="2324"/>
        <w:gridCol w:w="2324"/>
        <w:gridCol w:w="2324"/>
      </w:tblGrid>
      <w:tr w:rsidR="00822318" w:rsidRPr="004147ED" w14:paraId="44FC08DA" w14:textId="77777777" w:rsidTr="00E252EB">
        <w:trPr>
          <w:trHeight w:val="450"/>
          <w:tblHeader/>
          <w:jc w:val="center"/>
        </w:trPr>
        <w:tc>
          <w:tcPr>
            <w:tcW w:w="232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1FD585F" w14:textId="77777777" w:rsidR="00822318" w:rsidRPr="004147ED" w:rsidRDefault="00822318" w:rsidP="000E0D2E">
            <w:pPr>
              <w:spacing w:after="0" w:line="240" w:lineRule="auto"/>
              <w:jc w:val="center"/>
              <w:rPr>
                <w:rFonts w:ascii="Times New Roman" w:eastAsia="Times New Roman" w:hAnsi="Times New Roman" w:cs="Times New Roman"/>
                <w:b/>
                <w:bCs/>
                <w:sz w:val="20"/>
                <w:szCs w:val="20"/>
                <w:lang w:eastAsia="lv-LV"/>
              </w:rPr>
            </w:pPr>
            <w:r w:rsidRPr="004147ED">
              <w:rPr>
                <w:rFonts w:ascii="Times New Roman" w:eastAsia="Times New Roman" w:hAnsi="Times New Roman" w:cs="Times New Roman"/>
                <w:b/>
                <w:bCs/>
                <w:sz w:val="20"/>
                <w:szCs w:val="20"/>
                <w:lang w:eastAsia="lv-LV"/>
              </w:rPr>
              <w:t>Pārskata gads</w:t>
            </w:r>
          </w:p>
        </w:tc>
        <w:tc>
          <w:tcPr>
            <w:tcW w:w="232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F33FE9E" w14:textId="322225DB" w:rsidR="00822318" w:rsidRPr="004147ED" w:rsidRDefault="00822318" w:rsidP="000E0D2E">
            <w:pPr>
              <w:spacing w:after="0" w:line="240" w:lineRule="auto"/>
              <w:jc w:val="center"/>
              <w:rPr>
                <w:rFonts w:ascii="Times New Roman" w:eastAsia="Times New Roman" w:hAnsi="Times New Roman" w:cs="Times New Roman"/>
                <w:b/>
                <w:bCs/>
                <w:sz w:val="20"/>
                <w:szCs w:val="20"/>
                <w:lang w:eastAsia="lv-LV"/>
              </w:rPr>
            </w:pPr>
            <w:r w:rsidRPr="004147ED">
              <w:rPr>
                <w:rFonts w:ascii="Times New Roman" w:eastAsia="Times New Roman" w:hAnsi="Times New Roman" w:cs="Times New Roman"/>
                <w:b/>
                <w:bCs/>
                <w:sz w:val="20"/>
                <w:szCs w:val="20"/>
                <w:lang w:eastAsia="lv-LV"/>
              </w:rPr>
              <w:t>Aizdevuma summa pārskata perioda sākumā</w:t>
            </w:r>
          </w:p>
        </w:tc>
        <w:tc>
          <w:tcPr>
            <w:tcW w:w="232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8BBBF86" w14:textId="63131461" w:rsidR="00822318" w:rsidRPr="004147ED" w:rsidRDefault="00822318" w:rsidP="000E0D2E">
            <w:pPr>
              <w:spacing w:after="0" w:line="240" w:lineRule="auto"/>
              <w:jc w:val="center"/>
              <w:rPr>
                <w:rFonts w:ascii="Times New Roman" w:eastAsia="Times New Roman" w:hAnsi="Times New Roman" w:cs="Times New Roman"/>
                <w:b/>
                <w:bCs/>
                <w:sz w:val="20"/>
                <w:szCs w:val="20"/>
                <w:lang w:eastAsia="lv-LV"/>
              </w:rPr>
            </w:pPr>
            <w:r w:rsidRPr="004147ED">
              <w:rPr>
                <w:rFonts w:ascii="Times New Roman" w:eastAsia="Times New Roman" w:hAnsi="Times New Roman" w:cs="Times New Roman"/>
                <w:b/>
                <w:bCs/>
                <w:sz w:val="20"/>
                <w:szCs w:val="20"/>
                <w:lang w:eastAsia="lv-LV"/>
              </w:rPr>
              <w:t>Aizdevuma summa pārskata perioda beigās</w:t>
            </w:r>
          </w:p>
        </w:tc>
        <w:tc>
          <w:tcPr>
            <w:tcW w:w="232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5AF667F" w14:textId="7DCCF902" w:rsidR="00822318" w:rsidRPr="004147ED" w:rsidRDefault="004A0B84" w:rsidP="000E0D2E">
            <w:pPr>
              <w:spacing w:after="0" w:line="240" w:lineRule="auto"/>
              <w:jc w:val="center"/>
              <w:rPr>
                <w:rFonts w:ascii="Times New Roman" w:eastAsia="Times New Roman" w:hAnsi="Times New Roman" w:cs="Times New Roman"/>
                <w:b/>
                <w:bCs/>
                <w:sz w:val="20"/>
                <w:szCs w:val="20"/>
                <w:lang w:eastAsia="lv-LV"/>
              </w:rPr>
            </w:pPr>
            <w:r w:rsidRPr="004147ED">
              <w:rPr>
                <w:rFonts w:ascii="Times New Roman" w:eastAsia="Times New Roman" w:hAnsi="Times New Roman" w:cs="Times New Roman"/>
                <w:b/>
                <w:bCs/>
                <w:sz w:val="20"/>
                <w:szCs w:val="20"/>
                <w:lang w:eastAsia="lv-LV"/>
              </w:rPr>
              <w:t>Izmaiņas</w:t>
            </w:r>
          </w:p>
        </w:tc>
      </w:tr>
      <w:tr w:rsidR="00822318" w:rsidRPr="004147ED" w14:paraId="395F7C64" w14:textId="77777777" w:rsidTr="00BA721E">
        <w:trPr>
          <w:trHeight w:val="450"/>
          <w:jc w:val="center"/>
        </w:trPr>
        <w:tc>
          <w:tcPr>
            <w:tcW w:w="232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3EC708F" w14:textId="77777777" w:rsidR="00822318" w:rsidRPr="004147ED" w:rsidRDefault="00822318" w:rsidP="00CA5789">
            <w:pPr>
              <w:spacing w:after="0" w:line="240" w:lineRule="auto"/>
              <w:jc w:val="center"/>
              <w:rPr>
                <w:rFonts w:ascii="Times New Roman" w:eastAsia="Times New Roman" w:hAnsi="Times New Roman" w:cs="Times New Roman"/>
                <w:sz w:val="20"/>
                <w:szCs w:val="20"/>
                <w:lang w:eastAsia="lv-LV"/>
              </w:rPr>
            </w:pPr>
          </w:p>
        </w:tc>
        <w:tc>
          <w:tcPr>
            <w:tcW w:w="232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0A6DDDC" w14:textId="77777777" w:rsidR="00822318" w:rsidRPr="004147ED" w:rsidRDefault="00822318" w:rsidP="00CA5789">
            <w:pPr>
              <w:spacing w:after="0" w:line="240" w:lineRule="auto"/>
              <w:jc w:val="center"/>
              <w:rPr>
                <w:rFonts w:ascii="Times New Roman" w:eastAsia="Times New Roman" w:hAnsi="Times New Roman" w:cs="Times New Roman"/>
                <w:sz w:val="20"/>
                <w:szCs w:val="20"/>
                <w:lang w:eastAsia="lv-LV"/>
              </w:rPr>
            </w:pPr>
          </w:p>
        </w:tc>
        <w:tc>
          <w:tcPr>
            <w:tcW w:w="232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C9A3ECD" w14:textId="77777777" w:rsidR="00822318" w:rsidRPr="004147ED" w:rsidRDefault="00822318" w:rsidP="00CA5789">
            <w:pPr>
              <w:spacing w:after="0" w:line="240" w:lineRule="auto"/>
              <w:jc w:val="center"/>
              <w:rPr>
                <w:rFonts w:ascii="Times New Roman" w:eastAsia="Times New Roman" w:hAnsi="Times New Roman" w:cs="Times New Roman"/>
                <w:sz w:val="20"/>
                <w:szCs w:val="20"/>
                <w:lang w:eastAsia="lv-LV"/>
              </w:rPr>
            </w:pPr>
          </w:p>
        </w:tc>
        <w:tc>
          <w:tcPr>
            <w:tcW w:w="232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681E4E" w14:textId="77777777" w:rsidR="00822318" w:rsidRPr="004147ED" w:rsidRDefault="00822318" w:rsidP="00CA5789">
            <w:pPr>
              <w:spacing w:after="0" w:line="240" w:lineRule="auto"/>
              <w:jc w:val="center"/>
              <w:rPr>
                <w:rFonts w:ascii="Times New Roman" w:eastAsia="Times New Roman" w:hAnsi="Times New Roman" w:cs="Times New Roman"/>
                <w:sz w:val="20"/>
                <w:szCs w:val="20"/>
                <w:lang w:eastAsia="lv-LV"/>
              </w:rPr>
            </w:pPr>
          </w:p>
        </w:tc>
      </w:tr>
      <w:tr w:rsidR="00822318" w:rsidRPr="004147ED" w14:paraId="55CA746A" w14:textId="77777777" w:rsidTr="00BA721E">
        <w:trPr>
          <w:trHeight w:val="342"/>
          <w:jc w:val="center"/>
        </w:trPr>
        <w:tc>
          <w:tcPr>
            <w:tcW w:w="23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F33CAF1" w14:textId="77777777" w:rsidR="00822318" w:rsidRPr="004147ED" w:rsidRDefault="00822318" w:rsidP="000E0D2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2021</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20FD4563" w14:textId="77777777"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1 759 732 399</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2F5BA588" w14:textId="77777777"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1 958 624 950</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69EA1F95" w14:textId="43CADBC3"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198 892 55</w:t>
            </w:r>
            <w:r w:rsidR="00AE539B" w:rsidRPr="004147ED">
              <w:rPr>
                <w:rFonts w:ascii="Times New Roman" w:eastAsia="Times New Roman" w:hAnsi="Times New Roman" w:cs="Times New Roman"/>
                <w:sz w:val="20"/>
                <w:szCs w:val="20"/>
                <w:lang w:eastAsia="lv-LV"/>
              </w:rPr>
              <w:t>1</w:t>
            </w:r>
          </w:p>
        </w:tc>
      </w:tr>
      <w:tr w:rsidR="00822318" w:rsidRPr="004147ED" w14:paraId="37ACB05F" w14:textId="77777777" w:rsidTr="00BA721E">
        <w:trPr>
          <w:trHeight w:val="350"/>
          <w:jc w:val="center"/>
        </w:trPr>
        <w:tc>
          <w:tcPr>
            <w:tcW w:w="23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2E0E5D1" w14:textId="77777777" w:rsidR="00822318" w:rsidRPr="004147ED" w:rsidRDefault="00822318" w:rsidP="000E0D2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2022</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18DD5E91" w14:textId="77777777"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1 958 624 950</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7F8199C5" w14:textId="77777777"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2 124 270 448</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29F50424" w14:textId="77777777"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165 645 498</w:t>
            </w:r>
          </w:p>
        </w:tc>
      </w:tr>
      <w:tr w:rsidR="00822318" w:rsidRPr="004147ED" w14:paraId="53109381" w14:textId="77777777" w:rsidTr="00BA721E">
        <w:trPr>
          <w:trHeight w:val="358"/>
          <w:jc w:val="center"/>
        </w:trPr>
        <w:tc>
          <w:tcPr>
            <w:tcW w:w="23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6F6F770" w14:textId="77777777" w:rsidR="00822318" w:rsidRPr="004147ED" w:rsidRDefault="00822318" w:rsidP="000E0D2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2023</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7B7F761A" w14:textId="77777777"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2 124 270 448</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63E2AB5E" w14:textId="77777777"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2 260 947 257</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09D532F5" w14:textId="17666004"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136 676 80</w:t>
            </w:r>
            <w:r w:rsidR="00AE539B" w:rsidRPr="004147ED">
              <w:rPr>
                <w:rFonts w:ascii="Times New Roman" w:eastAsia="Times New Roman" w:hAnsi="Times New Roman" w:cs="Times New Roman"/>
                <w:sz w:val="20"/>
                <w:szCs w:val="20"/>
                <w:lang w:eastAsia="lv-LV"/>
              </w:rPr>
              <w:t>9</w:t>
            </w:r>
          </w:p>
        </w:tc>
      </w:tr>
      <w:tr w:rsidR="00822318" w:rsidRPr="004147ED" w14:paraId="6A285917" w14:textId="77777777" w:rsidTr="00BA721E">
        <w:trPr>
          <w:trHeight w:val="350"/>
          <w:jc w:val="center"/>
        </w:trPr>
        <w:tc>
          <w:tcPr>
            <w:tcW w:w="23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F7A60A" w14:textId="77777777" w:rsidR="00822318" w:rsidRPr="004147ED" w:rsidRDefault="00822318" w:rsidP="000E0D2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2024</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60A98FDE" w14:textId="77777777" w:rsidR="00822318" w:rsidRPr="004147ED" w:rsidRDefault="00822318"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2 260 947 257</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6401275D" w14:textId="677A33E2" w:rsidR="00822318" w:rsidRPr="004147ED" w:rsidRDefault="00A9291F"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2 261 545 934</w:t>
            </w:r>
          </w:p>
        </w:tc>
        <w:tc>
          <w:tcPr>
            <w:tcW w:w="2324" w:type="dxa"/>
            <w:tcBorders>
              <w:top w:val="nil"/>
              <w:left w:val="nil"/>
              <w:bottom w:val="single" w:sz="4" w:space="0" w:color="auto"/>
              <w:right w:val="single" w:sz="4" w:space="0" w:color="auto"/>
            </w:tcBorders>
            <w:shd w:val="clear" w:color="auto" w:fill="FFFFFF" w:themeFill="background1"/>
            <w:noWrap/>
            <w:vAlign w:val="center"/>
            <w:hideMark/>
          </w:tcPr>
          <w:p w14:paraId="1B501452" w14:textId="289C6C24" w:rsidR="00822318" w:rsidRPr="004147ED" w:rsidRDefault="00A9291F" w:rsidP="005963DE">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598 677</w:t>
            </w:r>
          </w:p>
        </w:tc>
      </w:tr>
      <w:tr w:rsidR="00AE539B" w:rsidRPr="004147ED" w14:paraId="3F3E7E7F" w14:textId="77777777" w:rsidTr="00BA721E">
        <w:trPr>
          <w:trHeight w:val="350"/>
          <w:jc w:val="center"/>
        </w:trPr>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4C90DF" w14:textId="08055B09" w:rsidR="00AE539B" w:rsidRPr="004147ED" w:rsidRDefault="00AE539B" w:rsidP="00AE539B">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sz w:val="20"/>
                <w:szCs w:val="20"/>
                <w:lang w:eastAsia="lv-LV"/>
              </w:rPr>
              <w:t>2025</w:t>
            </w:r>
          </w:p>
        </w:tc>
        <w:tc>
          <w:tcPr>
            <w:tcW w:w="2324" w:type="dxa"/>
            <w:tcBorders>
              <w:top w:val="single" w:sz="4" w:space="0" w:color="auto"/>
              <w:left w:val="nil"/>
              <w:bottom w:val="single" w:sz="4" w:space="0" w:color="auto"/>
              <w:right w:val="single" w:sz="4" w:space="0" w:color="auto"/>
            </w:tcBorders>
            <w:shd w:val="clear" w:color="auto" w:fill="FFFFFF" w:themeFill="background1"/>
            <w:noWrap/>
            <w:vAlign w:val="center"/>
          </w:tcPr>
          <w:p w14:paraId="455EB658" w14:textId="2E387403" w:rsidR="00AE539B" w:rsidRPr="004147ED" w:rsidRDefault="00AE539B" w:rsidP="00AE539B">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2 261 545 934</w:t>
            </w:r>
          </w:p>
        </w:tc>
        <w:tc>
          <w:tcPr>
            <w:tcW w:w="2324" w:type="dxa"/>
            <w:tcBorders>
              <w:top w:val="single" w:sz="4" w:space="0" w:color="auto"/>
              <w:left w:val="nil"/>
              <w:bottom w:val="single" w:sz="4" w:space="0" w:color="auto"/>
              <w:right w:val="single" w:sz="4" w:space="0" w:color="auto"/>
            </w:tcBorders>
            <w:shd w:val="clear" w:color="auto" w:fill="FFFFFF" w:themeFill="background1"/>
            <w:noWrap/>
            <w:vAlign w:val="center"/>
          </w:tcPr>
          <w:p w14:paraId="5D86270F" w14:textId="46C75A27" w:rsidR="00AE539B" w:rsidRPr="004147ED" w:rsidRDefault="00AE539B" w:rsidP="00AE539B">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2 260 316 835</w:t>
            </w:r>
          </w:p>
        </w:tc>
        <w:tc>
          <w:tcPr>
            <w:tcW w:w="2324" w:type="dxa"/>
            <w:tcBorders>
              <w:top w:val="single" w:sz="4" w:space="0" w:color="auto"/>
              <w:left w:val="nil"/>
              <w:bottom w:val="single" w:sz="4" w:space="0" w:color="auto"/>
              <w:right w:val="single" w:sz="4" w:space="0" w:color="auto"/>
            </w:tcBorders>
            <w:shd w:val="clear" w:color="auto" w:fill="FFFFFF" w:themeFill="background1"/>
            <w:noWrap/>
            <w:vAlign w:val="center"/>
          </w:tcPr>
          <w:p w14:paraId="7E954329" w14:textId="68DA5372" w:rsidR="00AE539B" w:rsidRPr="004147ED" w:rsidRDefault="00AE539B" w:rsidP="00AE539B">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sz w:val="20"/>
                <w:szCs w:val="20"/>
                <w:lang w:eastAsia="lv-LV"/>
              </w:rPr>
              <w:t>-1 229 099</w:t>
            </w:r>
          </w:p>
        </w:tc>
      </w:tr>
    </w:tbl>
    <w:p w14:paraId="3C355878" w14:textId="28EEB640" w:rsidR="005C32F2" w:rsidRPr="005963DE" w:rsidRDefault="005C32F2" w:rsidP="005C32F2">
      <w:pPr>
        <w:spacing w:after="0" w:line="240" w:lineRule="auto"/>
        <w:ind w:firstLine="709"/>
        <w:jc w:val="both"/>
        <w:rPr>
          <w:rFonts w:ascii="Times New Roman" w:hAnsi="Times New Roman"/>
          <w:sz w:val="24"/>
        </w:rPr>
      </w:pPr>
    </w:p>
    <w:p w14:paraId="1DD84C50" w14:textId="72DB0C8E" w:rsidR="00FF79F8" w:rsidRDefault="7D288C2A" w:rsidP="469479B5">
      <w:pPr>
        <w:spacing w:after="0" w:line="240" w:lineRule="auto"/>
        <w:ind w:firstLine="709"/>
        <w:jc w:val="both"/>
        <w:rPr>
          <w:rFonts w:ascii="Times New Roman" w:hAnsi="Times New Roman"/>
          <w:sz w:val="24"/>
          <w:szCs w:val="24"/>
        </w:rPr>
      </w:pPr>
      <w:r w:rsidRPr="469479B5">
        <w:rPr>
          <w:rFonts w:ascii="Times New Roman" w:hAnsi="Times New Roman"/>
          <w:sz w:val="24"/>
          <w:szCs w:val="24"/>
        </w:rPr>
        <w:t>Valsts aizdevumu atlikums 202</w:t>
      </w:r>
      <w:r w:rsidR="00AE539B">
        <w:rPr>
          <w:rFonts w:ascii="Times New Roman" w:hAnsi="Times New Roman"/>
          <w:sz w:val="24"/>
          <w:szCs w:val="24"/>
        </w:rPr>
        <w:t>5</w:t>
      </w:r>
      <w:r w:rsidRPr="469479B5">
        <w:rPr>
          <w:rFonts w:ascii="Times New Roman" w:hAnsi="Times New Roman"/>
          <w:sz w:val="24"/>
          <w:szCs w:val="24"/>
        </w:rPr>
        <w:t>.</w:t>
      </w:r>
      <w:r w:rsidR="529F5E32"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gada 30. aprīlī bija </w:t>
      </w:r>
      <w:r w:rsidR="00AE539B">
        <w:rPr>
          <w:rFonts w:ascii="Times New Roman" w:hAnsi="Times New Roman"/>
          <w:sz w:val="24"/>
          <w:szCs w:val="24"/>
        </w:rPr>
        <w:t>2 260,3</w:t>
      </w:r>
      <w:r w:rsidRPr="469479B5">
        <w:rPr>
          <w:rFonts w:ascii="Times New Roman" w:hAnsi="Times New Roman"/>
          <w:sz w:val="24"/>
          <w:szCs w:val="24"/>
        </w:rPr>
        <w:t xml:space="preserve"> milj. </w:t>
      </w:r>
      <w:r w:rsidRPr="469479B5">
        <w:rPr>
          <w:rFonts w:ascii="Times New Roman" w:hAnsi="Times New Roman"/>
          <w:i/>
          <w:iCs/>
          <w:sz w:val="24"/>
          <w:szCs w:val="24"/>
        </w:rPr>
        <w:t>euro</w:t>
      </w:r>
      <w:r w:rsidR="768A5320" w:rsidRPr="469479B5">
        <w:rPr>
          <w:rFonts w:ascii="Times New Roman" w:hAnsi="Times New Roman"/>
          <w:i/>
          <w:iCs/>
          <w:sz w:val="24"/>
          <w:szCs w:val="24"/>
        </w:rPr>
        <w:t>,</w:t>
      </w:r>
      <w:r w:rsidR="768A5320" w:rsidRPr="00940337">
        <w:rPr>
          <w:rFonts w:ascii="Times New Roman" w:hAnsi="Times New Roman"/>
          <w:sz w:val="24"/>
          <w:szCs w:val="24"/>
        </w:rPr>
        <w:t xml:space="preserve"> kas ir</w:t>
      </w:r>
      <w:r w:rsidR="691927E9" w:rsidRPr="469479B5">
        <w:rPr>
          <w:rFonts w:ascii="Times New Roman" w:hAnsi="Times New Roman"/>
          <w:sz w:val="24"/>
          <w:szCs w:val="24"/>
        </w:rPr>
        <w:t xml:space="preserve"> mazāk kā 202</w:t>
      </w:r>
      <w:r w:rsidR="00AE539B">
        <w:rPr>
          <w:rFonts w:ascii="Times New Roman" w:hAnsi="Times New Roman"/>
          <w:sz w:val="24"/>
          <w:szCs w:val="24"/>
        </w:rPr>
        <w:t>4</w:t>
      </w:r>
      <w:r w:rsidR="691927E9" w:rsidRPr="469479B5">
        <w:rPr>
          <w:rFonts w:ascii="Times New Roman" w:hAnsi="Times New Roman"/>
          <w:sz w:val="24"/>
          <w:szCs w:val="24"/>
        </w:rPr>
        <w:t>.</w:t>
      </w:r>
      <w:r w:rsidR="4B46F18E" w:rsidRPr="469479B5">
        <w:rPr>
          <w:rFonts w:ascii="Times New Roman" w:hAnsi="Times New Roman" w:cs="Times New Roman"/>
          <w:b/>
          <w:bCs/>
          <w:sz w:val="24"/>
          <w:szCs w:val="24"/>
        </w:rPr>
        <w:t xml:space="preserve"> </w:t>
      </w:r>
      <w:r w:rsidR="691927E9" w:rsidRPr="469479B5">
        <w:rPr>
          <w:rFonts w:ascii="Times New Roman" w:hAnsi="Times New Roman"/>
          <w:sz w:val="24"/>
          <w:szCs w:val="24"/>
        </w:rPr>
        <w:t>gada beigās. Tā kā valsts aizdevumu apguve ir cieši saistīta gan ar īstenojamo investīciju projektu naudas plūsmu grafikiem, gan īstenošanas termiņiem, tad valsts aizdevuma īpatsvars katra gada pirmajā ceturksnī ir mazāks kā pārējos gada ceturkšņos. Līdz ar to valsts aizdevuma kopējais apmērs ir jāvērtē gada ietvarā.</w:t>
      </w:r>
    </w:p>
    <w:p w14:paraId="6A95784F" w14:textId="47B7ACA8" w:rsidR="00FF79F8" w:rsidRPr="00F81AF8" w:rsidRDefault="76BAE754" w:rsidP="469479B5">
      <w:pPr>
        <w:spacing w:before="240" w:line="240" w:lineRule="auto"/>
        <w:jc w:val="right"/>
        <w:rPr>
          <w:rFonts w:ascii="Times New Roman" w:hAnsi="Times New Roman" w:cs="Times New Roman"/>
          <w:b/>
          <w:bCs/>
          <w:i/>
          <w:iCs/>
          <w:sz w:val="24"/>
          <w:szCs w:val="24"/>
        </w:rPr>
      </w:pPr>
      <w:r w:rsidRPr="469479B5">
        <w:rPr>
          <w:rFonts w:ascii="Times New Roman" w:hAnsi="Times New Roman" w:cs="Times New Roman"/>
          <w:b/>
          <w:bCs/>
          <w:sz w:val="24"/>
          <w:szCs w:val="24"/>
        </w:rPr>
        <w:t>Tabula Nr.2.3.2 Lielākie 10 valsts aizdevumi</w:t>
      </w:r>
      <w:r w:rsidR="748AAAFE" w:rsidRPr="469479B5">
        <w:rPr>
          <w:rFonts w:ascii="Times New Roman" w:hAnsi="Times New Roman" w:cs="Times New Roman"/>
          <w:b/>
          <w:bCs/>
          <w:sz w:val="24"/>
          <w:szCs w:val="24"/>
        </w:rPr>
        <w:t xml:space="preserve"> uz</w:t>
      </w:r>
      <w:r w:rsidRPr="469479B5">
        <w:rPr>
          <w:rFonts w:ascii="Times New Roman" w:hAnsi="Times New Roman" w:cs="Times New Roman"/>
          <w:b/>
          <w:bCs/>
          <w:sz w:val="24"/>
          <w:szCs w:val="24"/>
        </w:rPr>
        <w:t xml:space="preserve"> 202</w:t>
      </w:r>
      <w:r w:rsidR="00AE539B">
        <w:rPr>
          <w:rFonts w:ascii="Times New Roman" w:hAnsi="Times New Roman" w:cs="Times New Roman"/>
          <w:b/>
          <w:bCs/>
          <w:sz w:val="24"/>
          <w:szCs w:val="24"/>
        </w:rPr>
        <w:t>5</w:t>
      </w:r>
      <w:r w:rsidRPr="469479B5">
        <w:rPr>
          <w:rFonts w:ascii="Times New Roman" w:hAnsi="Times New Roman" w:cs="Times New Roman"/>
          <w:b/>
          <w:bCs/>
          <w:sz w:val="24"/>
          <w:szCs w:val="24"/>
        </w:rPr>
        <w:t>.</w:t>
      </w:r>
      <w:r w:rsidR="10850A0E"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gada 30. aprīl</w:t>
      </w:r>
      <w:r w:rsidR="748AAAFE" w:rsidRPr="469479B5">
        <w:rPr>
          <w:rFonts w:ascii="Times New Roman" w:hAnsi="Times New Roman" w:cs="Times New Roman"/>
          <w:b/>
          <w:bCs/>
          <w:sz w:val="24"/>
          <w:szCs w:val="24"/>
        </w:rPr>
        <w:t>i</w:t>
      </w:r>
    </w:p>
    <w:tbl>
      <w:tblPr>
        <w:tblW w:w="9782" w:type="dxa"/>
        <w:tblInd w:w="-5" w:type="dxa"/>
        <w:tblLook w:val="04A0" w:firstRow="1" w:lastRow="0" w:firstColumn="1" w:lastColumn="0" w:noHBand="0" w:noVBand="1"/>
      </w:tblPr>
      <w:tblGrid>
        <w:gridCol w:w="3828"/>
        <w:gridCol w:w="2977"/>
        <w:gridCol w:w="2977"/>
      </w:tblGrid>
      <w:tr w:rsidR="00FF79F8" w:rsidRPr="004147ED" w14:paraId="1451894D" w14:textId="77777777" w:rsidTr="00601D53">
        <w:trPr>
          <w:trHeight w:val="600"/>
        </w:trPr>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33558CD" w14:textId="77777777" w:rsidR="00FF79F8" w:rsidRPr="004147ED" w:rsidRDefault="00FF79F8" w:rsidP="00601D53">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sz w:val="20"/>
                <w:szCs w:val="20"/>
                <w:lang w:eastAsia="lv-LV"/>
              </w:rPr>
              <w:t>Valsts aizdevuma saņēmējs</w:t>
            </w:r>
          </w:p>
        </w:tc>
        <w:tc>
          <w:tcPr>
            <w:tcW w:w="297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09C6BBE" w14:textId="77777777" w:rsidR="00FF79F8" w:rsidRPr="004147ED" w:rsidRDefault="00FF79F8" w:rsidP="00601D53">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sz w:val="20"/>
                <w:szCs w:val="20"/>
                <w:lang w:eastAsia="lv-LV"/>
              </w:rPr>
              <w:t xml:space="preserve">Kopējais valsts aizdevumu apmērs, </w:t>
            </w:r>
            <w:r w:rsidRPr="004147ED">
              <w:rPr>
                <w:rFonts w:ascii="Times New Roman" w:eastAsia="Times New Roman" w:hAnsi="Times New Roman" w:cs="Times New Roman"/>
                <w:b/>
                <w:bCs/>
                <w:i/>
                <w:color w:val="000000"/>
                <w:sz w:val="20"/>
                <w:szCs w:val="20"/>
                <w:lang w:eastAsia="lv-LV"/>
              </w:rPr>
              <w:t>euro</w:t>
            </w:r>
            <w:r w:rsidRPr="004147ED">
              <w:rPr>
                <w:rFonts w:ascii="Times New Roman" w:eastAsia="Times New Roman" w:hAnsi="Times New Roman" w:cs="Times New Roman"/>
                <w:b/>
                <w:bCs/>
                <w:color w:val="000000"/>
                <w:sz w:val="20"/>
                <w:szCs w:val="20"/>
                <w:lang w:eastAsia="lv-LV"/>
              </w:rPr>
              <w:t xml:space="preserve"> </w:t>
            </w:r>
          </w:p>
        </w:tc>
        <w:tc>
          <w:tcPr>
            <w:tcW w:w="2977" w:type="dxa"/>
            <w:tcBorders>
              <w:top w:val="single" w:sz="4" w:space="0" w:color="auto"/>
              <w:left w:val="nil"/>
              <w:bottom w:val="single" w:sz="4" w:space="0" w:color="auto"/>
              <w:right w:val="single" w:sz="4" w:space="0" w:color="auto"/>
            </w:tcBorders>
            <w:shd w:val="clear" w:color="auto" w:fill="BDD6EE" w:themeFill="accent1" w:themeFillTint="66"/>
          </w:tcPr>
          <w:p w14:paraId="7BDE2580" w14:textId="77777777" w:rsidR="00FF79F8" w:rsidRPr="004147ED" w:rsidRDefault="00FF79F8" w:rsidP="00601D53">
            <w:pPr>
              <w:spacing w:after="0" w:line="240" w:lineRule="auto"/>
              <w:jc w:val="center"/>
              <w:rPr>
                <w:rFonts w:ascii="Times New Roman" w:eastAsia="Times New Roman" w:hAnsi="Times New Roman" w:cs="Times New Roman"/>
                <w:b/>
                <w:bCs/>
                <w:color w:val="000000"/>
                <w:sz w:val="20"/>
                <w:szCs w:val="20"/>
                <w:lang w:eastAsia="lv-LV"/>
              </w:rPr>
            </w:pPr>
            <w:r w:rsidRPr="004147ED">
              <w:rPr>
                <w:rFonts w:ascii="Times New Roman" w:eastAsia="Times New Roman" w:hAnsi="Times New Roman" w:cs="Times New Roman"/>
                <w:b/>
                <w:bCs/>
                <w:color w:val="000000"/>
                <w:sz w:val="20"/>
                <w:szCs w:val="20"/>
                <w:lang w:eastAsia="lv-LV"/>
              </w:rPr>
              <w:t>Kopējais valsts aizdevumu apmērs attiecībā pret kopējo valsts aizdevumu portfeli, %</w:t>
            </w:r>
          </w:p>
        </w:tc>
      </w:tr>
      <w:tr w:rsidR="00AE539B" w:rsidRPr="004147ED" w14:paraId="00DD9166"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170D14BC" w14:textId="77777777"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sz w:val="20"/>
                <w:szCs w:val="20"/>
                <w:lang w:eastAsia="lv-LV"/>
              </w:rPr>
              <w:t>Rīgas valstspilsētas pašvaldība</w:t>
            </w:r>
          </w:p>
        </w:tc>
        <w:tc>
          <w:tcPr>
            <w:tcW w:w="2977" w:type="dxa"/>
            <w:tcBorders>
              <w:top w:val="nil"/>
              <w:left w:val="nil"/>
              <w:bottom w:val="single" w:sz="4" w:space="0" w:color="auto"/>
              <w:right w:val="single" w:sz="4" w:space="0" w:color="auto"/>
            </w:tcBorders>
            <w:shd w:val="clear" w:color="000000" w:fill="FFFFFF"/>
            <w:noWrap/>
            <w:vAlign w:val="center"/>
          </w:tcPr>
          <w:p w14:paraId="6BE127E4" w14:textId="3A9D290A"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420 523 974 </w:t>
            </w:r>
          </w:p>
        </w:tc>
        <w:tc>
          <w:tcPr>
            <w:tcW w:w="2977" w:type="dxa"/>
            <w:tcBorders>
              <w:top w:val="nil"/>
              <w:left w:val="nil"/>
              <w:bottom w:val="single" w:sz="4" w:space="0" w:color="auto"/>
              <w:right w:val="single" w:sz="4" w:space="0" w:color="auto"/>
            </w:tcBorders>
            <w:shd w:val="clear" w:color="000000" w:fill="FFFFFF"/>
            <w:vAlign w:val="center"/>
          </w:tcPr>
          <w:p w14:paraId="37C44D7D" w14:textId="50D31C6F"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18,6%</w:t>
            </w:r>
          </w:p>
        </w:tc>
      </w:tr>
      <w:tr w:rsidR="00AE539B" w:rsidRPr="004147ED" w14:paraId="798C52A8"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4F1FB97D" w14:textId="77777777"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sz w:val="20"/>
                <w:szCs w:val="20"/>
                <w:lang w:eastAsia="lv-LV"/>
              </w:rPr>
              <w:t>Attīstības finanšu institūcija Altum</w:t>
            </w:r>
          </w:p>
        </w:tc>
        <w:tc>
          <w:tcPr>
            <w:tcW w:w="2977" w:type="dxa"/>
            <w:tcBorders>
              <w:top w:val="nil"/>
              <w:left w:val="nil"/>
              <w:bottom w:val="single" w:sz="4" w:space="0" w:color="auto"/>
              <w:right w:val="single" w:sz="4" w:space="0" w:color="auto"/>
            </w:tcBorders>
            <w:shd w:val="clear" w:color="000000" w:fill="FFFFFF"/>
            <w:noWrap/>
            <w:vAlign w:val="center"/>
          </w:tcPr>
          <w:p w14:paraId="0F1BDC89" w14:textId="3F69D3EB"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216 711 463 </w:t>
            </w:r>
          </w:p>
        </w:tc>
        <w:tc>
          <w:tcPr>
            <w:tcW w:w="2977" w:type="dxa"/>
            <w:tcBorders>
              <w:top w:val="nil"/>
              <w:left w:val="nil"/>
              <w:bottom w:val="single" w:sz="4" w:space="0" w:color="auto"/>
              <w:right w:val="single" w:sz="4" w:space="0" w:color="auto"/>
            </w:tcBorders>
            <w:shd w:val="clear" w:color="000000" w:fill="FFFFFF"/>
            <w:vAlign w:val="center"/>
          </w:tcPr>
          <w:p w14:paraId="3AE836D5" w14:textId="4584C177"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9,6%</w:t>
            </w:r>
          </w:p>
        </w:tc>
      </w:tr>
      <w:tr w:rsidR="00AE539B" w:rsidRPr="004147ED" w14:paraId="504954C2"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174BE999" w14:textId="77777777"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sz w:val="20"/>
                <w:szCs w:val="20"/>
                <w:lang w:eastAsia="lv-LV"/>
              </w:rPr>
              <w:t>Jelgavas valstspilsētas pašvaldība</w:t>
            </w:r>
          </w:p>
        </w:tc>
        <w:tc>
          <w:tcPr>
            <w:tcW w:w="2977" w:type="dxa"/>
            <w:tcBorders>
              <w:top w:val="nil"/>
              <w:left w:val="nil"/>
              <w:bottom w:val="single" w:sz="4" w:space="0" w:color="auto"/>
              <w:right w:val="single" w:sz="4" w:space="0" w:color="auto"/>
            </w:tcBorders>
            <w:shd w:val="clear" w:color="000000" w:fill="FFFFFF"/>
            <w:noWrap/>
            <w:vAlign w:val="center"/>
          </w:tcPr>
          <w:p w14:paraId="564D6214" w14:textId="25BC1E6E"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104 640 021 </w:t>
            </w:r>
          </w:p>
        </w:tc>
        <w:tc>
          <w:tcPr>
            <w:tcW w:w="2977" w:type="dxa"/>
            <w:tcBorders>
              <w:top w:val="nil"/>
              <w:left w:val="nil"/>
              <w:bottom w:val="single" w:sz="4" w:space="0" w:color="auto"/>
              <w:right w:val="single" w:sz="4" w:space="0" w:color="auto"/>
            </w:tcBorders>
            <w:shd w:val="clear" w:color="000000" w:fill="FFFFFF"/>
            <w:vAlign w:val="center"/>
          </w:tcPr>
          <w:p w14:paraId="71B88EC0" w14:textId="1B78AD14"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4,6%</w:t>
            </w:r>
          </w:p>
        </w:tc>
      </w:tr>
      <w:tr w:rsidR="00AE539B" w:rsidRPr="004147ED" w14:paraId="0FB319AF"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28457DCE" w14:textId="77777777"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sz w:val="20"/>
                <w:szCs w:val="20"/>
                <w:lang w:eastAsia="lv-LV"/>
              </w:rPr>
              <w:t>Ogres novada pašvaldība</w:t>
            </w:r>
          </w:p>
        </w:tc>
        <w:tc>
          <w:tcPr>
            <w:tcW w:w="2977" w:type="dxa"/>
            <w:tcBorders>
              <w:top w:val="nil"/>
              <w:left w:val="nil"/>
              <w:bottom w:val="single" w:sz="4" w:space="0" w:color="auto"/>
              <w:right w:val="single" w:sz="4" w:space="0" w:color="auto"/>
            </w:tcBorders>
            <w:shd w:val="clear" w:color="000000" w:fill="FFFFFF"/>
            <w:noWrap/>
            <w:vAlign w:val="center"/>
          </w:tcPr>
          <w:p w14:paraId="0CF80DD3" w14:textId="0FFFE69D"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90 274 238 </w:t>
            </w:r>
          </w:p>
        </w:tc>
        <w:tc>
          <w:tcPr>
            <w:tcW w:w="2977" w:type="dxa"/>
            <w:tcBorders>
              <w:top w:val="nil"/>
              <w:left w:val="nil"/>
              <w:bottom w:val="single" w:sz="4" w:space="0" w:color="auto"/>
              <w:right w:val="single" w:sz="4" w:space="0" w:color="auto"/>
            </w:tcBorders>
            <w:shd w:val="clear" w:color="000000" w:fill="FFFFFF"/>
            <w:vAlign w:val="center"/>
          </w:tcPr>
          <w:p w14:paraId="2336FDCB" w14:textId="22EA16B5"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4,0%</w:t>
            </w:r>
          </w:p>
        </w:tc>
      </w:tr>
      <w:tr w:rsidR="00AE539B" w:rsidRPr="004147ED" w14:paraId="7DD0F948"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64ED063E" w14:textId="77777777"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sz w:val="20"/>
                <w:szCs w:val="20"/>
                <w:lang w:eastAsia="lv-LV"/>
              </w:rPr>
              <w:t>Rēzeknes valstspilsētas pašvaldība</w:t>
            </w:r>
          </w:p>
        </w:tc>
        <w:tc>
          <w:tcPr>
            <w:tcW w:w="2977" w:type="dxa"/>
            <w:tcBorders>
              <w:top w:val="nil"/>
              <w:left w:val="nil"/>
              <w:bottom w:val="single" w:sz="4" w:space="0" w:color="auto"/>
              <w:right w:val="single" w:sz="4" w:space="0" w:color="auto"/>
            </w:tcBorders>
            <w:shd w:val="clear" w:color="000000" w:fill="FFFFFF"/>
            <w:noWrap/>
            <w:vAlign w:val="center"/>
          </w:tcPr>
          <w:p w14:paraId="74157726" w14:textId="43D50B6C"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77 057 122 </w:t>
            </w:r>
          </w:p>
        </w:tc>
        <w:tc>
          <w:tcPr>
            <w:tcW w:w="2977" w:type="dxa"/>
            <w:tcBorders>
              <w:top w:val="nil"/>
              <w:left w:val="nil"/>
              <w:bottom w:val="single" w:sz="4" w:space="0" w:color="auto"/>
              <w:right w:val="single" w:sz="4" w:space="0" w:color="auto"/>
            </w:tcBorders>
            <w:shd w:val="clear" w:color="000000" w:fill="FFFFFF"/>
            <w:vAlign w:val="center"/>
          </w:tcPr>
          <w:p w14:paraId="7688EBF4" w14:textId="70D11EC8"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3,4%</w:t>
            </w:r>
          </w:p>
        </w:tc>
      </w:tr>
      <w:tr w:rsidR="00AE539B" w:rsidRPr="004147ED" w14:paraId="4424C0A1"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54F832EB" w14:textId="4814F006"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themeColor="text1"/>
                <w:sz w:val="20"/>
                <w:szCs w:val="20"/>
              </w:rPr>
              <w:t>Valmieras novada pašvaldība</w:t>
            </w:r>
          </w:p>
        </w:tc>
        <w:tc>
          <w:tcPr>
            <w:tcW w:w="2977" w:type="dxa"/>
            <w:tcBorders>
              <w:top w:val="nil"/>
              <w:left w:val="nil"/>
              <w:bottom w:val="single" w:sz="4" w:space="0" w:color="auto"/>
              <w:right w:val="single" w:sz="4" w:space="0" w:color="auto"/>
            </w:tcBorders>
            <w:shd w:val="clear" w:color="000000" w:fill="FFFFFF"/>
            <w:noWrap/>
            <w:vAlign w:val="center"/>
          </w:tcPr>
          <w:p w14:paraId="50C653A3" w14:textId="6829B03E"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74 848 348 </w:t>
            </w:r>
          </w:p>
        </w:tc>
        <w:tc>
          <w:tcPr>
            <w:tcW w:w="2977" w:type="dxa"/>
            <w:tcBorders>
              <w:top w:val="nil"/>
              <w:left w:val="nil"/>
              <w:bottom w:val="single" w:sz="4" w:space="0" w:color="auto"/>
              <w:right w:val="single" w:sz="4" w:space="0" w:color="auto"/>
            </w:tcBorders>
            <w:shd w:val="clear" w:color="000000" w:fill="FFFFFF"/>
            <w:vAlign w:val="center"/>
          </w:tcPr>
          <w:p w14:paraId="63836E20" w14:textId="1D97BA27"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3,3%</w:t>
            </w:r>
          </w:p>
        </w:tc>
      </w:tr>
      <w:tr w:rsidR="00AE539B" w:rsidRPr="004147ED" w14:paraId="26C562E0"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50FEB5C2" w14:textId="7311937F"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themeColor="text1"/>
                <w:sz w:val="20"/>
                <w:szCs w:val="20"/>
              </w:rPr>
              <w:t>Jēkabpils novada pašvaldība</w:t>
            </w:r>
          </w:p>
        </w:tc>
        <w:tc>
          <w:tcPr>
            <w:tcW w:w="2977" w:type="dxa"/>
            <w:tcBorders>
              <w:top w:val="nil"/>
              <w:left w:val="nil"/>
              <w:bottom w:val="single" w:sz="4" w:space="0" w:color="auto"/>
              <w:right w:val="single" w:sz="4" w:space="0" w:color="auto"/>
            </w:tcBorders>
            <w:shd w:val="clear" w:color="000000" w:fill="FFFFFF"/>
            <w:noWrap/>
            <w:vAlign w:val="center"/>
          </w:tcPr>
          <w:p w14:paraId="568FA213" w14:textId="03983E43"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72 354 750 </w:t>
            </w:r>
          </w:p>
        </w:tc>
        <w:tc>
          <w:tcPr>
            <w:tcW w:w="2977" w:type="dxa"/>
            <w:tcBorders>
              <w:top w:val="nil"/>
              <w:left w:val="nil"/>
              <w:bottom w:val="single" w:sz="4" w:space="0" w:color="auto"/>
              <w:right w:val="single" w:sz="4" w:space="0" w:color="auto"/>
            </w:tcBorders>
            <w:shd w:val="clear" w:color="000000" w:fill="FFFFFF"/>
            <w:vAlign w:val="center"/>
          </w:tcPr>
          <w:p w14:paraId="5F49A17F" w14:textId="21CE1C2A"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3,2%</w:t>
            </w:r>
          </w:p>
        </w:tc>
      </w:tr>
      <w:tr w:rsidR="00AE539B" w:rsidRPr="004147ED" w14:paraId="559C0DDB"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7D6EE7C4" w14:textId="77777777"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sz w:val="20"/>
                <w:szCs w:val="20"/>
                <w:lang w:eastAsia="lv-LV"/>
              </w:rPr>
              <w:t>Daugavpils pilsētas pašvaldība</w:t>
            </w:r>
          </w:p>
        </w:tc>
        <w:tc>
          <w:tcPr>
            <w:tcW w:w="2977" w:type="dxa"/>
            <w:tcBorders>
              <w:top w:val="nil"/>
              <w:left w:val="nil"/>
              <w:bottom w:val="single" w:sz="4" w:space="0" w:color="auto"/>
              <w:right w:val="single" w:sz="4" w:space="0" w:color="auto"/>
            </w:tcBorders>
            <w:shd w:val="clear" w:color="000000" w:fill="FFFFFF"/>
            <w:noWrap/>
            <w:vAlign w:val="center"/>
          </w:tcPr>
          <w:p w14:paraId="22BE337B" w14:textId="6B345F41"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58 840 342 </w:t>
            </w:r>
          </w:p>
        </w:tc>
        <w:tc>
          <w:tcPr>
            <w:tcW w:w="2977" w:type="dxa"/>
            <w:tcBorders>
              <w:top w:val="nil"/>
              <w:left w:val="nil"/>
              <w:bottom w:val="single" w:sz="4" w:space="0" w:color="auto"/>
              <w:right w:val="single" w:sz="4" w:space="0" w:color="auto"/>
            </w:tcBorders>
            <w:shd w:val="clear" w:color="000000" w:fill="FFFFFF"/>
            <w:vAlign w:val="center"/>
          </w:tcPr>
          <w:p w14:paraId="75C9B119" w14:textId="3650498D"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2,6%</w:t>
            </w:r>
          </w:p>
        </w:tc>
      </w:tr>
      <w:tr w:rsidR="00AE539B" w:rsidRPr="004147ED" w14:paraId="5E7D600B"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5ECC7B79" w14:textId="77777777"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sz w:val="20"/>
                <w:szCs w:val="20"/>
                <w:lang w:eastAsia="lv-LV"/>
              </w:rPr>
              <w:t>Bauskas novada pašvaldība</w:t>
            </w:r>
          </w:p>
        </w:tc>
        <w:tc>
          <w:tcPr>
            <w:tcW w:w="2977" w:type="dxa"/>
            <w:tcBorders>
              <w:top w:val="nil"/>
              <w:left w:val="nil"/>
              <w:bottom w:val="single" w:sz="4" w:space="0" w:color="auto"/>
              <w:right w:val="single" w:sz="4" w:space="0" w:color="auto"/>
            </w:tcBorders>
            <w:shd w:val="clear" w:color="000000" w:fill="FFFFFF"/>
            <w:noWrap/>
            <w:vAlign w:val="center"/>
          </w:tcPr>
          <w:p w14:paraId="65A9C6E4" w14:textId="7E90130F"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56 503 918 </w:t>
            </w:r>
          </w:p>
        </w:tc>
        <w:tc>
          <w:tcPr>
            <w:tcW w:w="2977" w:type="dxa"/>
            <w:tcBorders>
              <w:top w:val="nil"/>
              <w:left w:val="nil"/>
              <w:bottom w:val="single" w:sz="4" w:space="0" w:color="auto"/>
              <w:right w:val="single" w:sz="4" w:space="0" w:color="auto"/>
            </w:tcBorders>
            <w:shd w:val="clear" w:color="000000" w:fill="FFFFFF"/>
            <w:vAlign w:val="center"/>
          </w:tcPr>
          <w:p w14:paraId="3D401549" w14:textId="3B12AB9A"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2,5%</w:t>
            </w:r>
          </w:p>
        </w:tc>
      </w:tr>
      <w:tr w:rsidR="00AE539B" w:rsidRPr="004147ED" w14:paraId="0B8BF02B" w14:textId="77777777" w:rsidTr="00BA721E">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0ADA6DA0" w14:textId="680F7DCF" w:rsidR="00AE539B" w:rsidRPr="004147ED" w:rsidRDefault="00AE539B" w:rsidP="00BA721E">
            <w:pPr>
              <w:spacing w:after="0" w:line="240" w:lineRule="auto"/>
              <w:jc w:val="center"/>
              <w:rPr>
                <w:rFonts w:ascii="Times New Roman" w:eastAsia="Times New Roman" w:hAnsi="Times New Roman" w:cs="Times New Roman"/>
                <w:color w:val="000000"/>
                <w:sz w:val="20"/>
                <w:szCs w:val="20"/>
                <w:lang w:eastAsia="lv-LV"/>
              </w:rPr>
            </w:pPr>
            <w:r w:rsidRPr="004147ED">
              <w:rPr>
                <w:rFonts w:ascii="Times New Roman" w:eastAsia="Times New Roman" w:hAnsi="Times New Roman" w:cs="Times New Roman"/>
                <w:color w:val="000000" w:themeColor="text1"/>
                <w:sz w:val="20"/>
                <w:szCs w:val="20"/>
              </w:rPr>
              <w:t>Jūrmalas valstspilsētas administrācija</w:t>
            </w:r>
          </w:p>
        </w:tc>
        <w:tc>
          <w:tcPr>
            <w:tcW w:w="2977" w:type="dxa"/>
            <w:tcBorders>
              <w:top w:val="nil"/>
              <w:left w:val="nil"/>
              <w:bottom w:val="single" w:sz="4" w:space="0" w:color="auto"/>
              <w:right w:val="single" w:sz="4" w:space="0" w:color="auto"/>
            </w:tcBorders>
            <w:shd w:val="clear" w:color="000000" w:fill="FFFFFF"/>
            <w:noWrap/>
            <w:vAlign w:val="center"/>
          </w:tcPr>
          <w:p w14:paraId="78AC4E9D" w14:textId="3553755F" w:rsidR="00AE539B" w:rsidRPr="004147ED" w:rsidRDefault="00AE539B" w:rsidP="006B2E53">
            <w:pPr>
              <w:spacing w:after="0" w:line="240" w:lineRule="auto"/>
              <w:jc w:val="center"/>
              <w:rPr>
                <w:rFonts w:ascii="Times New Roman" w:eastAsia="Times New Roman" w:hAnsi="Times New Roman" w:cs="Times New Roman"/>
                <w:sz w:val="20"/>
                <w:szCs w:val="20"/>
                <w:lang w:eastAsia="lv-LV"/>
              </w:rPr>
            </w:pPr>
            <w:r w:rsidRPr="004147ED">
              <w:rPr>
                <w:rFonts w:ascii="Times New Roman" w:eastAsia="Times New Roman" w:hAnsi="Times New Roman" w:cs="Times New Roman"/>
                <w:color w:val="000000" w:themeColor="text1"/>
                <w:sz w:val="20"/>
                <w:szCs w:val="20"/>
              </w:rPr>
              <w:t xml:space="preserve">48 875 067 </w:t>
            </w:r>
          </w:p>
        </w:tc>
        <w:tc>
          <w:tcPr>
            <w:tcW w:w="2977" w:type="dxa"/>
            <w:tcBorders>
              <w:top w:val="nil"/>
              <w:left w:val="nil"/>
              <w:bottom w:val="single" w:sz="4" w:space="0" w:color="auto"/>
              <w:right w:val="single" w:sz="4" w:space="0" w:color="auto"/>
            </w:tcBorders>
            <w:shd w:val="clear" w:color="000000" w:fill="FFFFFF"/>
            <w:vAlign w:val="center"/>
          </w:tcPr>
          <w:p w14:paraId="0550E5C8" w14:textId="4D312483" w:rsidR="00AE539B" w:rsidRPr="004147ED" w:rsidRDefault="00AE539B" w:rsidP="00AE539B">
            <w:pPr>
              <w:spacing w:after="0" w:line="240" w:lineRule="auto"/>
              <w:jc w:val="center"/>
              <w:rPr>
                <w:rFonts w:ascii="Times New Roman" w:eastAsia="Times New Roman" w:hAnsi="Times New Roman" w:cs="Times New Roman"/>
                <w:i/>
                <w:iCs/>
                <w:sz w:val="20"/>
                <w:szCs w:val="20"/>
                <w:lang w:eastAsia="lv-LV"/>
              </w:rPr>
            </w:pPr>
            <w:r w:rsidRPr="004147ED">
              <w:rPr>
                <w:rFonts w:ascii="Times New Roman" w:eastAsia="Times New Roman" w:hAnsi="Times New Roman" w:cs="Times New Roman"/>
                <w:i/>
                <w:iCs/>
                <w:sz w:val="20"/>
                <w:szCs w:val="20"/>
              </w:rPr>
              <w:t>2,2%</w:t>
            </w:r>
          </w:p>
        </w:tc>
      </w:tr>
    </w:tbl>
    <w:p w14:paraId="067A7821" w14:textId="77777777" w:rsidR="00FF79F8" w:rsidRDefault="00FF79F8" w:rsidP="006802CE">
      <w:pPr>
        <w:spacing w:after="0" w:line="240" w:lineRule="auto"/>
        <w:ind w:firstLine="709"/>
        <w:jc w:val="both"/>
        <w:rPr>
          <w:rFonts w:ascii="Times New Roman" w:hAnsi="Times New Roman"/>
          <w:sz w:val="24"/>
        </w:rPr>
      </w:pPr>
    </w:p>
    <w:p w14:paraId="745DD341" w14:textId="6FBE26EE" w:rsidR="00DD5A8A" w:rsidRDefault="1859DD17" w:rsidP="469479B5">
      <w:pPr>
        <w:spacing w:after="0" w:line="240" w:lineRule="auto"/>
        <w:ind w:firstLine="709"/>
        <w:jc w:val="both"/>
        <w:rPr>
          <w:rFonts w:ascii="Times New Roman" w:eastAsia="Calibri" w:hAnsi="Times New Roman"/>
          <w:sz w:val="24"/>
          <w:szCs w:val="24"/>
        </w:rPr>
      </w:pPr>
      <w:r w:rsidRPr="469479B5">
        <w:rPr>
          <w:rFonts w:ascii="Times New Roman" w:eastAsia="Calibri" w:hAnsi="Times New Roman"/>
          <w:sz w:val="24"/>
          <w:szCs w:val="24"/>
        </w:rPr>
        <w:t>Saskaņā ar MK noteikumiem Nr.229 aizdevumu riska fiskālo ietekmi katrā gadā aprēķina kā katra valsts aizdevuma ārpus vispārējās valdības sektora klasificētām iestādēm attiecīgajā gadā saskaņā ar aizdevuma līguma grafiku plānoto maksājumu kopsummu. Savukārt fiskālā nodrošinājuma rezervi valsts aizdevumiem aprēķina, reizinot aizdevumu risku fiskālās ietekmes vērtības ar aizdevumu risku iestāšanās varbūtībām.</w:t>
      </w:r>
    </w:p>
    <w:p w14:paraId="7F0161AB" w14:textId="22EFEC26" w:rsidR="006802CE" w:rsidRPr="00F81AF8" w:rsidRDefault="7D288C2A" w:rsidP="00DD5A8A">
      <w:pPr>
        <w:spacing w:after="0" w:line="240" w:lineRule="auto"/>
        <w:ind w:firstLine="709"/>
        <w:jc w:val="both"/>
        <w:rPr>
          <w:rFonts w:ascii="Times New Roman" w:hAnsi="Times New Roman"/>
          <w:sz w:val="24"/>
          <w:szCs w:val="24"/>
        </w:rPr>
      </w:pPr>
      <w:bookmarkStart w:id="64" w:name="_Hlk173246184"/>
      <w:r w:rsidRPr="469479B5">
        <w:rPr>
          <w:rFonts w:ascii="Times New Roman" w:hAnsi="Times New Roman"/>
          <w:sz w:val="24"/>
          <w:szCs w:val="24"/>
        </w:rPr>
        <w:t>202</w:t>
      </w:r>
      <w:r w:rsidR="00AE539B">
        <w:rPr>
          <w:rFonts w:ascii="Times New Roman" w:hAnsi="Times New Roman"/>
          <w:sz w:val="24"/>
          <w:szCs w:val="24"/>
        </w:rPr>
        <w:t>6</w:t>
      </w:r>
      <w:r w:rsidRPr="469479B5">
        <w:rPr>
          <w:rFonts w:ascii="Times New Roman" w:hAnsi="Times New Roman"/>
          <w:sz w:val="24"/>
          <w:szCs w:val="24"/>
        </w:rPr>
        <w:t>.</w:t>
      </w:r>
      <w:r w:rsidR="4107EDFC" w:rsidRPr="469479B5">
        <w:rPr>
          <w:rFonts w:ascii="Times New Roman" w:hAnsi="Times New Roman" w:cs="Times New Roman"/>
          <w:b/>
          <w:bCs/>
          <w:sz w:val="24"/>
          <w:szCs w:val="24"/>
        </w:rPr>
        <w:t xml:space="preserve"> </w:t>
      </w:r>
      <w:r w:rsidRPr="469479B5">
        <w:rPr>
          <w:rFonts w:ascii="Times New Roman" w:hAnsi="Times New Roman"/>
          <w:sz w:val="24"/>
          <w:szCs w:val="24"/>
        </w:rPr>
        <w:t>gadā ir aprēķināta aizdevumu riska fiskālā ietekme</w:t>
      </w:r>
      <w:r w:rsidR="006802CE" w:rsidRPr="469479B5">
        <w:rPr>
          <w:rStyle w:val="FootnoteReference"/>
          <w:rFonts w:ascii="Times New Roman" w:hAnsi="Times New Roman"/>
          <w:sz w:val="24"/>
          <w:szCs w:val="24"/>
        </w:rPr>
        <w:footnoteReference w:id="6"/>
      </w:r>
      <w:r w:rsidRPr="469479B5">
        <w:rPr>
          <w:rFonts w:ascii="Times New Roman" w:hAnsi="Times New Roman"/>
          <w:sz w:val="24"/>
          <w:szCs w:val="24"/>
        </w:rPr>
        <w:t xml:space="preserve"> </w:t>
      </w:r>
      <w:r w:rsidR="00AE539B">
        <w:rPr>
          <w:rFonts w:ascii="Times New Roman" w:eastAsia="Calibri" w:hAnsi="Times New Roman"/>
          <w:sz w:val="24"/>
          <w:szCs w:val="24"/>
        </w:rPr>
        <w:t>1,38</w:t>
      </w:r>
      <w:r w:rsidRPr="469479B5">
        <w:rPr>
          <w:rFonts w:ascii="Times New Roman" w:hAnsi="Times New Roman"/>
          <w:sz w:val="24"/>
          <w:szCs w:val="24"/>
        </w:rPr>
        <w:t> milj. </w:t>
      </w:r>
      <w:r w:rsidRPr="469479B5">
        <w:rPr>
          <w:rFonts w:ascii="Times New Roman" w:hAnsi="Times New Roman"/>
          <w:i/>
          <w:iCs/>
          <w:sz w:val="24"/>
          <w:szCs w:val="24"/>
        </w:rPr>
        <w:t>euro</w:t>
      </w:r>
      <w:r w:rsidRPr="469479B5">
        <w:rPr>
          <w:rFonts w:ascii="Times New Roman" w:hAnsi="Times New Roman"/>
          <w:sz w:val="24"/>
          <w:szCs w:val="24"/>
        </w:rPr>
        <w:t xml:space="preserve"> apmērā</w:t>
      </w:r>
      <w:r w:rsidR="001B6B1B">
        <w:rPr>
          <w:rStyle w:val="FootnoteReference"/>
          <w:rFonts w:ascii="Times New Roman" w:hAnsi="Times New Roman"/>
          <w:sz w:val="24"/>
          <w:szCs w:val="24"/>
        </w:rPr>
        <w:footnoteReference w:id="7"/>
      </w:r>
      <w:r w:rsidRPr="469479B5">
        <w:rPr>
          <w:rFonts w:ascii="Times New Roman" w:hAnsi="Times New Roman"/>
          <w:sz w:val="24"/>
          <w:szCs w:val="24"/>
        </w:rPr>
        <w:t>, 202</w:t>
      </w:r>
      <w:r w:rsidR="00AE539B">
        <w:rPr>
          <w:rFonts w:ascii="Times New Roman" w:hAnsi="Times New Roman"/>
          <w:sz w:val="24"/>
          <w:szCs w:val="24"/>
        </w:rPr>
        <w:t>7</w:t>
      </w:r>
      <w:r w:rsidRPr="469479B5">
        <w:rPr>
          <w:rFonts w:ascii="Times New Roman" w:hAnsi="Times New Roman"/>
          <w:sz w:val="24"/>
          <w:szCs w:val="24"/>
        </w:rPr>
        <w:t>.</w:t>
      </w:r>
      <w:r w:rsidR="060543F4"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gadam – </w:t>
      </w:r>
      <w:r w:rsidR="00AE539B">
        <w:rPr>
          <w:rFonts w:ascii="Times New Roman" w:hAnsi="Times New Roman"/>
          <w:sz w:val="24"/>
          <w:szCs w:val="24"/>
        </w:rPr>
        <w:t>1,3</w:t>
      </w:r>
      <w:r w:rsidR="00723FB3">
        <w:rPr>
          <w:rFonts w:ascii="Times New Roman" w:hAnsi="Times New Roman"/>
          <w:sz w:val="24"/>
          <w:szCs w:val="24"/>
        </w:rPr>
        <w:t>6</w:t>
      </w:r>
      <w:r w:rsidRPr="469479B5">
        <w:rPr>
          <w:rFonts w:ascii="Times New Roman" w:hAnsi="Times New Roman"/>
          <w:sz w:val="24"/>
          <w:szCs w:val="24"/>
        </w:rPr>
        <w:t> milj. </w:t>
      </w:r>
      <w:r w:rsidRPr="469479B5">
        <w:rPr>
          <w:rFonts w:ascii="Times New Roman" w:hAnsi="Times New Roman"/>
          <w:i/>
          <w:iCs/>
          <w:sz w:val="24"/>
          <w:szCs w:val="24"/>
        </w:rPr>
        <w:t xml:space="preserve">euro </w:t>
      </w:r>
      <w:r w:rsidRPr="469479B5">
        <w:rPr>
          <w:rFonts w:ascii="Times New Roman" w:hAnsi="Times New Roman"/>
          <w:sz w:val="24"/>
          <w:szCs w:val="24"/>
        </w:rPr>
        <w:t>un 202</w:t>
      </w:r>
      <w:r w:rsidR="00AE539B">
        <w:rPr>
          <w:rFonts w:ascii="Times New Roman" w:hAnsi="Times New Roman"/>
          <w:sz w:val="24"/>
          <w:szCs w:val="24"/>
        </w:rPr>
        <w:t>8</w:t>
      </w:r>
      <w:r w:rsidRPr="469479B5">
        <w:rPr>
          <w:rFonts w:ascii="Times New Roman" w:hAnsi="Times New Roman"/>
          <w:sz w:val="24"/>
          <w:szCs w:val="24"/>
        </w:rPr>
        <w:t>.</w:t>
      </w:r>
      <w:r w:rsidR="1A9B4EE6"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gadam – </w:t>
      </w:r>
      <w:r w:rsidR="00AE539B">
        <w:rPr>
          <w:rFonts w:ascii="Times New Roman" w:hAnsi="Times New Roman"/>
          <w:sz w:val="24"/>
          <w:szCs w:val="24"/>
        </w:rPr>
        <w:t>2,79</w:t>
      </w:r>
      <w:r w:rsidRPr="469479B5">
        <w:rPr>
          <w:rFonts w:ascii="Times New Roman" w:hAnsi="Times New Roman"/>
          <w:sz w:val="24"/>
          <w:szCs w:val="24"/>
        </w:rPr>
        <w:t xml:space="preserve"> milj. </w:t>
      </w:r>
      <w:r w:rsidRPr="469479B5">
        <w:rPr>
          <w:rFonts w:ascii="Times New Roman" w:hAnsi="Times New Roman"/>
          <w:i/>
          <w:iCs/>
          <w:sz w:val="24"/>
          <w:szCs w:val="24"/>
        </w:rPr>
        <w:t>euro</w:t>
      </w:r>
      <w:bookmarkEnd w:id="64"/>
      <w:r w:rsidR="006802CE" w:rsidRPr="469479B5">
        <w:rPr>
          <w:rStyle w:val="FootnoteReference"/>
          <w:rFonts w:ascii="Times New Roman" w:eastAsia="Calibri" w:hAnsi="Times New Roman"/>
          <w:sz w:val="24"/>
          <w:szCs w:val="24"/>
        </w:rPr>
        <w:footnoteReference w:id="8"/>
      </w:r>
      <w:r w:rsidR="006D7997">
        <w:rPr>
          <w:rFonts w:ascii="Times New Roman" w:hAnsi="Times New Roman"/>
          <w:i/>
          <w:iCs/>
          <w:sz w:val="24"/>
          <w:szCs w:val="24"/>
        </w:rPr>
        <w:t>.</w:t>
      </w:r>
      <w:r w:rsidRPr="469479B5">
        <w:rPr>
          <w:rFonts w:ascii="Times New Roman" w:hAnsi="Times New Roman"/>
          <w:i/>
          <w:iCs/>
          <w:sz w:val="24"/>
          <w:szCs w:val="24"/>
        </w:rPr>
        <w:t xml:space="preserve"> </w:t>
      </w:r>
      <w:r w:rsidRPr="469479B5">
        <w:rPr>
          <w:rFonts w:ascii="Times New Roman" w:hAnsi="Times New Roman"/>
          <w:sz w:val="24"/>
          <w:szCs w:val="24"/>
        </w:rPr>
        <w:t xml:space="preserve">Ņemot vērā MK noteikumos Nr.229 noteikto fiskālā nodrošinājuma rezerves aprēķina metodoloģiju, </w:t>
      </w:r>
      <w:r w:rsidR="00723FB3" w:rsidRPr="469479B5">
        <w:rPr>
          <w:rFonts w:ascii="Times New Roman" w:hAnsi="Times New Roman"/>
          <w:sz w:val="24"/>
          <w:szCs w:val="24"/>
        </w:rPr>
        <w:t>202</w:t>
      </w:r>
      <w:r w:rsidR="00723FB3">
        <w:rPr>
          <w:rFonts w:ascii="Times New Roman" w:hAnsi="Times New Roman"/>
          <w:sz w:val="24"/>
          <w:szCs w:val="24"/>
        </w:rPr>
        <w:t>6</w:t>
      </w:r>
      <w:r w:rsidRPr="469479B5">
        <w:rPr>
          <w:rFonts w:ascii="Times New Roman" w:hAnsi="Times New Roman"/>
          <w:sz w:val="24"/>
          <w:szCs w:val="24"/>
        </w:rPr>
        <w:t>.</w:t>
      </w:r>
      <w:r w:rsidR="17C8E5BC"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gadā valsts aizdevumiem </w:t>
      </w:r>
      <w:r w:rsidRPr="469479B5">
        <w:rPr>
          <w:rFonts w:ascii="Times New Roman" w:hAnsi="Times New Roman"/>
          <w:b/>
          <w:bCs/>
          <w:sz w:val="24"/>
          <w:szCs w:val="24"/>
        </w:rPr>
        <w:t>fiskālā nodrošinājuma rezerve</w:t>
      </w:r>
      <w:r w:rsidRPr="469479B5">
        <w:rPr>
          <w:rFonts w:ascii="Times New Roman" w:hAnsi="Times New Roman"/>
          <w:sz w:val="24"/>
          <w:szCs w:val="24"/>
        </w:rPr>
        <w:t xml:space="preserve"> ir aprēķināta 0,</w:t>
      </w:r>
      <w:r w:rsidRPr="00F81AF8">
        <w:rPr>
          <w:rFonts w:ascii="Times New Roman" w:eastAsia="Calibri" w:hAnsi="Times New Roman"/>
          <w:sz w:val="24"/>
          <w:szCs w:val="24"/>
        </w:rPr>
        <w:t>0</w:t>
      </w:r>
      <w:r w:rsidR="00AE539B">
        <w:rPr>
          <w:rFonts w:ascii="Times New Roman" w:eastAsia="Calibri" w:hAnsi="Times New Roman"/>
          <w:sz w:val="24"/>
          <w:szCs w:val="24"/>
        </w:rPr>
        <w:t>03</w:t>
      </w:r>
      <w:r w:rsidRPr="469479B5">
        <w:rPr>
          <w:rFonts w:ascii="Times New Roman" w:hAnsi="Times New Roman"/>
          <w:sz w:val="24"/>
          <w:szCs w:val="24"/>
        </w:rPr>
        <w:t xml:space="preserve">%, </w:t>
      </w:r>
      <w:r w:rsidR="00723FB3" w:rsidRPr="469479B5">
        <w:rPr>
          <w:rFonts w:ascii="Times New Roman" w:hAnsi="Times New Roman"/>
          <w:sz w:val="24"/>
          <w:szCs w:val="24"/>
        </w:rPr>
        <w:t>202</w:t>
      </w:r>
      <w:r w:rsidR="00723FB3">
        <w:rPr>
          <w:rFonts w:ascii="Times New Roman" w:hAnsi="Times New Roman"/>
          <w:sz w:val="24"/>
          <w:szCs w:val="24"/>
        </w:rPr>
        <w:t>7</w:t>
      </w:r>
      <w:r w:rsidRPr="469479B5">
        <w:rPr>
          <w:rFonts w:ascii="Times New Roman" w:hAnsi="Times New Roman"/>
          <w:sz w:val="24"/>
          <w:szCs w:val="24"/>
        </w:rPr>
        <w:t>.</w:t>
      </w:r>
      <w:r w:rsidR="6182664C" w:rsidRPr="469479B5">
        <w:rPr>
          <w:rFonts w:ascii="Times New Roman" w:hAnsi="Times New Roman" w:cs="Times New Roman"/>
          <w:b/>
          <w:bCs/>
          <w:sz w:val="24"/>
          <w:szCs w:val="24"/>
        </w:rPr>
        <w:t xml:space="preserve"> </w:t>
      </w:r>
      <w:r w:rsidRPr="469479B5">
        <w:rPr>
          <w:rFonts w:ascii="Times New Roman" w:hAnsi="Times New Roman"/>
          <w:sz w:val="24"/>
          <w:szCs w:val="24"/>
        </w:rPr>
        <w:t>gadā 0,00</w:t>
      </w:r>
      <w:r w:rsidR="00AE539B">
        <w:rPr>
          <w:rFonts w:ascii="Times New Roman" w:hAnsi="Times New Roman"/>
          <w:sz w:val="24"/>
          <w:szCs w:val="24"/>
        </w:rPr>
        <w:t>3</w:t>
      </w:r>
      <w:r w:rsidRPr="469479B5">
        <w:rPr>
          <w:rFonts w:ascii="Times New Roman" w:hAnsi="Times New Roman"/>
          <w:sz w:val="24"/>
          <w:szCs w:val="24"/>
        </w:rPr>
        <w:t xml:space="preserve">% un </w:t>
      </w:r>
      <w:r w:rsidR="00723FB3" w:rsidRPr="469479B5">
        <w:rPr>
          <w:rFonts w:ascii="Times New Roman" w:hAnsi="Times New Roman"/>
          <w:sz w:val="24"/>
          <w:szCs w:val="24"/>
        </w:rPr>
        <w:t>202</w:t>
      </w:r>
      <w:r w:rsidR="00723FB3">
        <w:rPr>
          <w:rFonts w:ascii="Times New Roman" w:hAnsi="Times New Roman"/>
          <w:sz w:val="24"/>
          <w:szCs w:val="24"/>
        </w:rPr>
        <w:t>8</w:t>
      </w:r>
      <w:r w:rsidRPr="469479B5">
        <w:rPr>
          <w:rFonts w:ascii="Times New Roman" w:hAnsi="Times New Roman"/>
          <w:sz w:val="24"/>
          <w:szCs w:val="24"/>
        </w:rPr>
        <w:t>.</w:t>
      </w:r>
      <w:r w:rsidR="2C684A7D" w:rsidRPr="469479B5">
        <w:rPr>
          <w:rFonts w:ascii="Times New Roman" w:hAnsi="Times New Roman" w:cs="Times New Roman"/>
          <w:b/>
          <w:bCs/>
          <w:sz w:val="24"/>
          <w:szCs w:val="24"/>
        </w:rPr>
        <w:t xml:space="preserve"> </w:t>
      </w:r>
      <w:r w:rsidRPr="469479B5">
        <w:rPr>
          <w:rFonts w:ascii="Times New Roman" w:hAnsi="Times New Roman"/>
          <w:sz w:val="24"/>
          <w:szCs w:val="24"/>
        </w:rPr>
        <w:t>gadā 0,00</w:t>
      </w:r>
      <w:r w:rsidR="00AE539B">
        <w:rPr>
          <w:rFonts w:ascii="Times New Roman" w:hAnsi="Times New Roman"/>
          <w:sz w:val="24"/>
          <w:szCs w:val="24"/>
        </w:rPr>
        <w:t>6</w:t>
      </w:r>
      <w:r w:rsidRPr="469479B5">
        <w:rPr>
          <w:rFonts w:ascii="Times New Roman" w:hAnsi="Times New Roman"/>
          <w:sz w:val="24"/>
          <w:szCs w:val="24"/>
        </w:rPr>
        <w:t xml:space="preserve">% apmērā no IKP. </w:t>
      </w:r>
    </w:p>
    <w:p w14:paraId="35DDC05A" w14:textId="200DE2CE" w:rsidR="00552573" w:rsidRPr="005963DE" w:rsidRDefault="045D4969" w:rsidP="469479B5">
      <w:pPr>
        <w:spacing w:after="0" w:line="240" w:lineRule="auto"/>
        <w:ind w:firstLine="709"/>
        <w:jc w:val="both"/>
        <w:rPr>
          <w:rFonts w:ascii="Times New Roman" w:hAnsi="Times New Roman"/>
          <w:sz w:val="24"/>
          <w:szCs w:val="24"/>
        </w:rPr>
      </w:pPr>
      <w:r w:rsidRPr="469479B5">
        <w:rPr>
          <w:rFonts w:ascii="Times New Roman" w:eastAsia="Calibri" w:hAnsi="Times New Roman"/>
          <w:sz w:val="24"/>
          <w:szCs w:val="24"/>
        </w:rPr>
        <w:t>Aizdevumu risks tiek vadīts, regulāri uzraugot aizdevumu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aizdevumu saņēmēju pelnītspēja, apgrozāmo līdzekļu pietiekamība īstermiņa saistību segšanai un kapitāla struktūra), kredītvēsturi</w:t>
      </w:r>
      <w:r w:rsidR="6A3AB742" w:rsidRPr="469479B5">
        <w:rPr>
          <w:rFonts w:ascii="Times New Roman" w:eastAsia="Calibri" w:hAnsi="Times New Roman"/>
          <w:sz w:val="24"/>
          <w:szCs w:val="24"/>
        </w:rPr>
        <w:t xml:space="preserve">, kā arī </w:t>
      </w:r>
      <w:r w:rsidRPr="469479B5">
        <w:rPr>
          <w:rFonts w:ascii="Times New Roman" w:eastAsia="Calibri" w:hAnsi="Times New Roman"/>
          <w:sz w:val="24"/>
          <w:szCs w:val="24"/>
        </w:rPr>
        <w:t>nodrošinājuma likviditāti un pietiekamību. Situācijās, kad aizdevumu risks ir paaugstināts, tiek veikti papildu uzraudzības pasākumi, tai skaitā atjaunotu biznesa plānu pieprasīšana un tikšanās ar aizdevuma saņēmēja vadību.</w:t>
      </w:r>
      <w:r w:rsidR="6B30AC0C" w:rsidRPr="469479B5">
        <w:rPr>
          <w:rFonts w:ascii="Times New Roman" w:eastAsia="Calibri" w:hAnsi="Times New Roman"/>
          <w:sz w:val="24"/>
          <w:szCs w:val="24"/>
        </w:rPr>
        <w:t xml:space="preserve"> </w:t>
      </w:r>
      <w:r w:rsidR="06FE6C95" w:rsidRPr="469479B5">
        <w:rPr>
          <w:rFonts w:ascii="Times New Roman" w:eastAsia="Calibri" w:hAnsi="Times New Roman"/>
          <w:sz w:val="24"/>
          <w:szCs w:val="24"/>
        </w:rPr>
        <w:t>202</w:t>
      </w:r>
      <w:r w:rsidR="00AE539B">
        <w:rPr>
          <w:rFonts w:ascii="Times New Roman" w:eastAsia="Calibri" w:hAnsi="Times New Roman"/>
          <w:sz w:val="24"/>
          <w:szCs w:val="24"/>
        </w:rPr>
        <w:t>4</w:t>
      </w:r>
      <w:r w:rsidR="06FE6C95" w:rsidRPr="469479B5">
        <w:rPr>
          <w:rFonts w:ascii="Times New Roman" w:eastAsia="Calibri" w:hAnsi="Times New Roman"/>
          <w:sz w:val="24"/>
          <w:szCs w:val="24"/>
        </w:rPr>
        <w:t>.</w:t>
      </w:r>
      <w:r w:rsidR="3D46C8F1" w:rsidRPr="469479B5">
        <w:rPr>
          <w:rFonts w:ascii="Times New Roman" w:hAnsi="Times New Roman" w:cs="Times New Roman"/>
          <w:b/>
          <w:bCs/>
          <w:sz w:val="24"/>
          <w:szCs w:val="24"/>
        </w:rPr>
        <w:t xml:space="preserve"> </w:t>
      </w:r>
      <w:r w:rsidR="06FE6C95" w:rsidRPr="469479B5">
        <w:rPr>
          <w:rFonts w:ascii="Times New Roman" w:eastAsia="Calibri" w:hAnsi="Times New Roman"/>
          <w:sz w:val="24"/>
          <w:szCs w:val="24"/>
        </w:rPr>
        <w:t>gadā šādas situācijas nav bijušas.</w:t>
      </w:r>
    </w:p>
    <w:p w14:paraId="17290F92" w14:textId="1E2A4356" w:rsidR="00552573" w:rsidRPr="005963DE" w:rsidRDefault="008D5707" w:rsidP="469479B5">
      <w:pPr>
        <w:spacing w:after="0" w:line="240" w:lineRule="auto"/>
        <w:ind w:firstLine="709"/>
        <w:jc w:val="both"/>
        <w:rPr>
          <w:rFonts w:ascii="Times New Roman" w:hAnsi="Times New Roman"/>
          <w:sz w:val="24"/>
          <w:szCs w:val="24"/>
        </w:rPr>
      </w:pPr>
      <w:r>
        <w:rPr>
          <w:rFonts w:ascii="Times New Roman" w:hAnsi="Times New Roman" w:cs="Times New Roman"/>
          <w:color w:val="000000" w:themeColor="text1"/>
          <w:sz w:val="24"/>
          <w:szCs w:val="24"/>
        </w:rPr>
        <w:t>LBFV</w:t>
      </w:r>
      <w:r w:rsidR="6FDFE83E" w:rsidRPr="469479B5">
        <w:rPr>
          <w:rFonts w:ascii="Times New Roman" w:hAnsi="Times New Roman" w:cs="Times New Roman"/>
          <w:color w:val="000000" w:themeColor="text1"/>
          <w:sz w:val="24"/>
          <w:szCs w:val="24"/>
        </w:rPr>
        <w:t xml:space="preserve"> </w:t>
      </w:r>
      <w:r w:rsidR="045D4969" w:rsidRPr="469479B5">
        <w:rPr>
          <w:rFonts w:ascii="Times New Roman" w:eastAsia="Calibri" w:hAnsi="Times New Roman"/>
          <w:sz w:val="24"/>
          <w:szCs w:val="24"/>
        </w:rPr>
        <w:t xml:space="preserve">ir noteikts potenciālo valsts aizdevuma saņēmēju loks un mērķi. Valsts aizdevumu izsniegšanas un apkalpošanas kārtību nosaka MK </w:t>
      </w:r>
      <w:r w:rsidR="0A847D62" w:rsidRPr="469479B5">
        <w:rPr>
          <w:rFonts w:ascii="Times New Roman" w:eastAsia="Calibri" w:hAnsi="Times New Roman" w:cs="Times New Roman"/>
          <w:sz w:val="24"/>
          <w:szCs w:val="24"/>
        </w:rPr>
        <w:t>2021.</w:t>
      </w:r>
      <w:r w:rsidR="40C0844A" w:rsidRPr="469479B5">
        <w:rPr>
          <w:rFonts w:ascii="Times New Roman" w:hAnsi="Times New Roman" w:cs="Times New Roman"/>
          <w:b/>
          <w:bCs/>
          <w:sz w:val="24"/>
          <w:szCs w:val="24"/>
        </w:rPr>
        <w:t xml:space="preserve"> </w:t>
      </w:r>
      <w:r w:rsidR="0A847D62" w:rsidRPr="469479B5">
        <w:rPr>
          <w:rFonts w:ascii="Times New Roman" w:hAnsi="Times New Roman" w:cs="Times New Roman"/>
          <w:sz w:val="24"/>
          <w:szCs w:val="24"/>
        </w:rPr>
        <w:t>gada 21.</w:t>
      </w:r>
      <w:r w:rsidR="0704F136" w:rsidRPr="469479B5">
        <w:rPr>
          <w:rFonts w:ascii="Times New Roman" w:hAnsi="Times New Roman" w:cs="Times New Roman"/>
          <w:b/>
          <w:bCs/>
          <w:sz w:val="24"/>
          <w:szCs w:val="24"/>
        </w:rPr>
        <w:t xml:space="preserve"> </w:t>
      </w:r>
      <w:r w:rsidR="0A847D62" w:rsidRPr="469479B5">
        <w:rPr>
          <w:rFonts w:ascii="Times New Roman" w:hAnsi="Times New Roman" w:cs="Times New Roman"/>
          <w:sz w:val="24"/>
          <w:szCs w:val="24"/>
        </w:rPr>
        <w:t>decembra</w:t>
      </w:r>
      <w:r w:rsidR="0A847D62" w:rsidRPr="469479B5">
        <w:rPr>
          <w:rFonts w:ascii="Times New Roman" w:eastAsia="Calibri" w:hAnsi="Times New Roman"/>
          <w:sz w:val="24"/>
          <w:szCs w:val="24"/>
        </w:rPr>
        <w:t xml:space="preserve"> </w:t>
      </w:r>
      <w:r w:rsidR="045D4969" w:rsidRPr="469479B5">
        <w:rPr>
          <w:rFonts w:ascii="Times New Roman" w:eastAsia="Calibri" w:hAnsi="Times New Roman"/>
          <w:sz w:val="24"/>
          <w:szCs w:val="24"/>
        </w:rPr>
        <w:t>noteikumi Nr.</w:t>
      </w:r>
      <w:r w:rsidR="0A847D62" w:rsidRPr="469479B5">
        <w:rPr>
          <w:rFonts w:ascii="Times New Roman" w:eastAsia="Calibri" w:hAnsi="Times New Roman" w:cs="Times New Roman"/>
          <w:sz w:val="24"/>
          <w:szCs w:val="24"/>
        </w:rPr>
        <w:t xml:space="preserve">888 </w:t>
      </w:r>
      <w:r w:rsidR="00FD0ED2">
        <w:rPr>
          <w:rFonts w:ascii="Times New Roman" w:eastAsia="Calibri" w:hAnsi="Times New Roman"/>
          <w:sz w:val="24"/>
          <w:szCs w:val="24"/>
        </w:rPr>
        <w:t>“</w:t>
      </w:r>
      <w:r w:rsidR="045D4969" w:rsidRPr="469479B5">
        <w:rPr>
          <w:rFonts w:ascii="Times New Roman" w:eastAsia="Calibri" w:hAnsi="Times New Roman"/>
          <w:i/>
          <w:iCs/>
          <w:sz w:val="24"/>
          <w:szCs w:val="24"/>
        </w:rPr>
        <w:t>Kārtība, kādā ministrijas un citas centrālās valsts iestādes iekļauj gadskārtējā valsts budžeta likumprojektā valsts aizdevumu pieprasījumus un valsts aizdevumu izsniegšanas un apkalpošanas kārtība</w:t>
      </w:r>
      <w:r w:rsidR="045D4969" w:rsidRPr="469479B5">
        <w:rPr>
          <w:rFonts w:ascii="Times New Roman" w:eastAsia="Calibri" w:hAnsi="Times New Roman"/>
          <w:sz w:val="24"/>
          <w:szCs w:val="24"/>
        </w:rPr>
        <w:t xml:space="preserve">”, kuros noteikts valsts aizdevuma saņemšanas process un tā saderība ar valsts atbalsta normām, iekļauti paaugstināta aizdevuma atmaksas riska noteikšanas kritēriji, noteikta rīcība gadījumos, kad pasliktinās aizdevuma saņēmēja finanšu rādītāji vai samazinās nodrošinājuma vērtība, tādējādi nodrošinot valsts interešu aizsardzību, kā arī noteikta nozares ministriju atbildība par projekta īstenošanu, nodrošinot projekta atbilstību attiecīgās nozares ministrijas politikas plānošanas dokumentos noteikto mērķu sasniegšanai. </w:t>
      </w:r>
    </w:p>
    <w:p w14:paraId="6CB91C29" w14:textId="457F38DD" w:rsidR="00FC7743" w:rsidRPr="005963DE" w:rsidRDefault="1859DD17" w:rsidP="00D35122">
      <w:pPr>
        <w:spacing w:after="100" w:afterAutospacing="1" w:line="240" w:lineRule="auto"/>
        <w:ind w:firstLine="709"/>
        <w:jc w:val="both"/>
        <w:rPr>
          <w:rFonts w:ascii="Times New Roman" w:eastAsia="Calibri" w:hAnsi="Times New Roman"/>
          <w:sz w:val="24"/>
          <w:szCs w:val="24"/>
        </w:rPr>
      </w:pPr>
      <w:r w:rsidRPr="469479B5">
        <w:rPr>
          <w:rFonts w:ascii="Times New Roman" w:eastAsia="Calibri" w:hAnsi="Times New Roman"/>
          <w:sz w:val="24"/>
          <w:szCs w:val="24"/>
        </w:rPr>
        <w:t xml:space="preserve">Valsts aizdevumu </w:t>
      </w:r>
      <w:r w:rsidRPr="005963DE">
        <w:rPr>
          <w:rFonts w:ascii="Times New Roman" w:eastAsia="Calibri" w:hAnsi="Times New Roman"/>
          <w:sz w:val="24"/>
          <w:szCs w:val="24"/>
        </w:rPr>
        <w:t>portfeļa uzraudzības procesa ietvaros divas reizes gadā finanšu ministram tiek sagatavots ziņojums par valsts aizdevumu portfeli ar priekšlikumiem par nepieciešamo rīcību valsts interešu ievērošanai</w:t>
      </w:r>
      <w:r w:rsidR="00FC7743" w:rsidRPr="005963DE">
        <w:rPr>
          <w:rStyle w:val="FootnoteReference"/>
          <w:rFonts w:ascii="Times New Roman" w:eastAsia="Calibri" w:hAnsi="Times New Roman"/>
          <w:sz w:val="24"/>
          <w:szCs w:val="24"/>
        </w:rPr>
        <w:footnoteReference w:id="9"/>
      </w:r>
      <w:r w:rsidR="006D7997">
        <w:rPr>
          <w:rFonts w:ascii="Times New Roman" w:eastAsia="Calibri" w:hAnsi="Times New Roman"/>
          <w:sz w:val="24"/>
          <w:szCs w:val="24"/>
        </w:rPr>
        <w:t>.</w:t>
      </w:r>
    </w:p>
    <w:p w14:paraId="044E2291" w14:textId="02B31B96" w:rsidR="00822D84" w:rsidRPr="00980D91" w:rsidRDefault="00822D84" w:rsidP="009A521C">
      <w:pPr>
        <w:pStyle w:val="Heading2"/>
        <w:numPr>
          <w:ilvl w:val="1"/>
          <w:numId w:val="4"/>
        </w:numPr>
        <w:tabs>
          <w:tab w:val="left" w:pos="3261"/>
          <w:tab w:val="left" w:pos="5103"/>
          <w:tab w:val="left" w:pos="5245"/>
        </w:tabs>
        <w:spacing w:before="120" w:after="120" w:line="240" w:lineRule="auto"/>
        <w:ind w:left="567" w:hanging="555"/>
        <w:rPr>
          <w:rFonts w:cs="Times New Roman"/>
          <w:color w:val="auto"/>
          <w:szCs w:val="24"/>
        </w:rPr>
      </w:pPr>
      <w:bookmarkStart w:id="65" w:name="_Toc405371078"/>
      <w:bookmarkStart w:id="66" w:name="_Toc536779063"/>
      <w:bookmarkStart w:id="67" w:name="_Toc205554411"/>
      <w:r w:rsidRPr="00980D91">
        <w:rPr>
          <w:rFonts w:cs="Times New Roman"/>
          <w:color w:val="auto"/>
          <w:szCs w:val="24"/>
        </w:rPr>
        <w:t>Kvantificējamie riski labklājības nozarē</w:t>
      </w:r>
      <w:bookmarkEnd w:id="65"/>
      <w:bookmarkEnd w:id="66"/>
      <w:bookmarkEnd w:id="67"/>
    </w:p>
    <w:p w14:paraId="4490C2D5" w14:textId="0CA16D29" w:rsidR="00D535FD" w:rsidRPr="00011851" w:rsidRDefault="00D535FD" w:rsidP="000D02B5">
      <w:pPr>
        <w:spacing w:after="0" w:line="240" w:lineRule="auto"/>
        <w:ind w:firstLine="720"/>
        <w:jc w:val="both"/>
        <w:rPr>
          <w:rFonts w:ascii="Times New Roman" w:eastAsiaTheme="minorHAnsi" w:hAnsi="Times New Roman"/>
          <w:sz w:val="24"/>
          <w:szCs w:val="20"/>
        </w:rPr>
      </w:pPr>
      <w:r w:rsidRPr="00011851">
        <w:rPr>
          <w:rFonts w:ascii="Times New Roman" w:eastAsiaTheme="minorHAnsi" w:hAnsi="Times New Roman"/>
          <w:sz w:val="24"/>
          <w:szCs w:val="20"/>
        </w:rPr>
        <w:t>LM pārziņā ir vairāki specifiskie fiskālie riski, kas ir saistīti gan ar valsts pamatbudžeta maksājumiem valsts sociālajiem pabalstiem</w:t>
      </w:r>
      <w:r w:rsidR="00F150B5">
        <w:rPr>
          <w:rFonts w:ascii="Times New Roman" w:eastAsiaTheme="minorHAnsi" w:hAnsi="Times New Roman"/>
          <w:sz w:val="24"/>
          <w:szCs w:val="20"/>
        </w:rPr>
        <w:t>,</w:t>
      </w:r>
      <w:r w:rsidRPr="00011851">
        <w:rPr>
          <w:rFonts w:ascii="Times New Roman" w:eastAsiaTheme="minorHAnsi" w:hAnsi="Times New Roman"/>
          <w:sz w:val="24"/>
          <w:szCs w:val="20"/>
        </w:rPr>
        <w:t xml:space="preserve"> izdienas pensijām</w:t>
      </w:r>
      <w:r w:rsidR="00F150B5">
        <w:rPr>
          <w:rFonts w:ascii="Times New Roman" w:eastAsiaTheme="minorHAnsi" w:hAnsi="Times New Roman"/>
          <w:sz w:val="24"/>
          <w:szCs w:val="20"/>
        </w:rPr>
        <w:t xml:space="preserve"> un piemaksām</w:t>
      </w:r>
      <w:r w:rsidR="00F150B5" w:rsidRPr="002B27AA">
        <w:rPr>
          <w:rFonts w:ascii="Times New Roman" w:eastAsiaTheme="minorHAnsi" w:hAnsi="Times New Roman"/>
          <w:sz w:val="24"/>
          <w:szCs w:val="20"/>
        </w:rPr>
        <w:t xml:space="preserve"> pie vecuma un invaliditātes pensijām</w:t>
      </w:r>
      <w:r w:rsidRPr="00011851">
        <w:rPr>
          <w:rFonts w:ascii="Times New Roman" w:eastAsiaTheme="minorHAnsi" w:hAnsi="Times New Roman"/>
          <w:sz w:val="24"/>
          <w:szCs w:val="20"/>
        </w:rPr>
        <w:t>, gan ar speciālā valsts budžeta veidiem</w:t>
      </w:r>
      <w:r w:rsidR="00DD6ACA" w:rsidRPr="00011851">
        <w:rPr>
          <w:rFonts w:ascii="Times New Roman" w:eastAsiaTheme="minorHAnsi" w:hAnsi="Times New Roman"/>
          <w:sz w:val="24"/>
          <w:szCs w:val="20"/>
        </w:rPr>
        <w:t xml:space="preserve"> </w:t>
      </w:r>
      <w:r w:rsidRPr="00011851">
        <w:rPr>
          <w:rFonts w:ascii="Times New Roman" w:eastAsiaTheme="minorHAnsi" w:hAnsi="Times New Roman"/>
          <w:sz w:val="24"/>
          <w:szCs w:val="20"/>
        </w:rPr>
        <w:t>– pensiju, nodarbinātības, invaliditātes, maternitātes un slimības, darba negadījuma speciālo budžetu.</w:t>
      </w:r>
      <w:r w:rsidR="006D5A77">
        <w:rPr>
          <w:rFonts w:ascii="Times New Roman" w:eastAsiaTheme="minorHAnsi" w:hAnsi="Times New Roman"/>
          <w:sz w:val="24"/>
          <w:szCs w:val="20"/>
        </w:rPr>
        <w:t xml:space="preserve"> Papildus tam</w:t>
      </w:r>
      <w:r w:rsidR="006549D8">
        <w:rPr>
          <w:rFonts w:ascii="Times New Roman" w:eastAsiaTheme="minorHAnsi" w:hAnsi="Times New Roman"/>
          <w:sz w:val="24"/>
          <w:szCs w:val="20"/>
        </w:rPr>
        <w:t xml:space="preserve"> arī AiM pārziņā ir pamatbudžeta programma</w:t>
      </w:r>
      <w:r w:rsidR="00631FAD" w:rsidRPr="00631FAD">
        <w:rPr>
          <w:rFonts w:ascii="Segoe UI" w:hAnsi="Segoe UI" w:cs="Segoe UI"/>
          <w:sz w:val="18"/>
          <w:szCs w:val="18"/>
        </w:rPr>
        <w:t xml:space="preserve"> </w:t>
      </w:r>
      <w:r w:rsidR="00631FAD" w:rsidRPr="00631FAD">
        <w:rPr>
          <w:rFonts w:ascii="Times New Roman" w:eastAsiaTheme="minorHAnsi" w:hAnsi="Times New Roman"/>
          <w:sz w:val="24"/>
          <w:szCs w:val="20"/>
        </w:rPr>
        <w:t>31.00.00 Militārpersonu pensiju fonds</w:t>
      </w:r>
      <w:r w:rsidR="006549D8">
        <w:rPr>
          <w:rFonts w:ascii="Times New Roman" w:eastAsiaTheme="minorHAnsi" w:hAnsi="Times New Roman"/>
          <w:sz w:val="24"/>
          <w:szCs w:val="20"/>
        </w:rPr>
        <w:t xml:space="preserve">, kas ietilpst kategorijā </w:t>
      </w:r>
      <w:r w:rsidR="006549D8" w:rsidRPr="006549D8">
        <w:rPr>
          <w:rFonts w:ascii="Times New Roman" w:eastAsiaTheme="minorHAnsi" w:hAnsi="Times New Roman"/>
          <w:i/>
          <w:iCs/>
          <w:sz w:val="24"/>
          <w:szCs w:val="20"/>
        </w:rPr>
        <w:t>Sociāla rakstura maksājumi un kompensācijas</w:t>
      </w:r>
      <w:r w:rsidR="006549D8">
        <w:rPr>
          <w:rFonts w:ascii="Times New Roman" w:eastAsiaTheme="minorHAnsi" w:hAnsi="Times New Roman"/>
          <w:i/>
          <w:iCs/>
          <w:sz w:val="24"/>
          <w:szCs w:val="20"/>
        </w:rPr>
        <w:t xml:space="preserve"> </w:t>
      </w:r>
      <w:r w:rsidR="006549D8">
        <w:rPr>
          <w:rFonts w:ascii="Times New Roman" w:eastAsiaTheme="minorHAnsi" w:hAnsi="Times New Roman"/>
          <w:sz w:val="24"/>
          <w:szCs w:val="20"/>
        </w:rPr>
        <w:t xml:space="preserve">un kas tiek vērtēta šajā sadaļā kā specifiskais fiskālais risks. </w:t>
      </w:r>
    </w:p>
    <w:p w14:paraId="5F2A66B9" w14:textId="1B92F7B0" w:rsidR="00F150B5" w:rsidRDefault="004A6489" w:rsidP="00F150B5">
      <w:pPr>
        <w:spacing w:after="0" w:line="240" w:lineRule="auto"/>
        <w:ind w:firstLine="720"/>
        <w:jc w:val="both"/>
        <w:rPr>
          <w:rFonts w:ascii="Times New Roman" w:eastAsiaTheme="minorHAnsi" w:hAnsi="Times New Roman" w:cs="Times New Roman"/>
          <w:sz w:val="24"/>
          <w:szCs w:val="20"/>
        </w:rPr>
      </w:pPr>
      <w:r w:rsidRPr="00011851">
        <w:rPr>
          <w:rFonts w:ascii="Times New Roman" w:eastAsiaTheme="minorHAnsi" w:hAnsi="Times New Roman" w:cs="Times New Roman"/>
          <w:sz w:val="24"/>
          <w:szCs w:val="20"/>
        </w:rPr>
        <w:t xml:space="preserve">Fiskālie riski šajā gadījumā ir saistīti ar augstāk minēto valsts pamatbudžeta un valsts speciālā budžeta rādītāju novirzīšanos no plānotajām vērtībām. </w:t>
      </w:r>
      <w:r w:rsidR="00F150B5" w:rsidRPr="00485749">
        <w:rPr>
          <w:rFonts w:ascii="Times New Roman" w:eastAsiaTheme="minorHAnsi" w:hAnsi="Times New Roman" w:cs="Times New Roman"/>
          <w:sz w:val="24"/>
          <w:szCs w:val="20"/>
        </w:rPr>
        <w:t>FDL 5. panta pirmās daļas 1. punkts nosaka, ka koriģētos maksimāli pieļaujamos valsts budžeta izdevumus precizē, ja rodas izmaiņas valsts pamatbudžeta izdevumos sakarā ar aktuālākām valsts sociālo pabalstu un pensiju saņēmēju kontingenta prognozēm.</w:t>
      </w:r>
      <w:r w:rsidR="00F150B5">
        <w:rPr>
          <w:rFonts w:ascii="Times New Roman" w:eastAsiaTheme="minorHAnsi" w:hAnsi="Times New Roman" w:cs="Times New Roman"/>
          <w:sz w:val="24"/>
          <w:szCs w:val="20"/>
        </w:rPr>
        <w:t xml:space="preserve"> </w:t>
      </w:r>
      <w:r w:rsidR="0015094C">
        <w:rPr>
          <w:rFonts w:ascii="Times New Roman" w:eastAsiaTheme="minorHAnsi" w:hAnsi="Times New Roman" w:cs="Times New Roman"/>
          <w:sz w:val="24"/>
          <w:szCs w:val="20"/>
        </w:rPr>
        <w:t xml:space="preserve">Savukārt </w:t>
      </w:r>
      <w:r w:rsidR="00F150B5" w:rsidRPr="005B195E">
        <w:rPr>
          <w:rFonts w:ascii="Times New Roman" w:eastAsiaTheme="minorHAnsi" w:hAnsi="Times New Roman" w:cs="Times New Roman"/>
          <w:sz w:val="24"/>
          <w:szCs w:val="20"/>
        </w:rPr>
        <w:t>FDL 5. panta pirmās daļas 2. punkts nosaka, ka koriģētos maksimāli pieļaujamos valsts budžeta izdevumus precizē, ja rodas izmaiņas valsts speciālā budžeta izdevumos sakarā ar aktuālākām sociālās apdrošināšanas pakalpojumu saņēmēju kontingenta, kā arī pensiju un pabalstu vidējā apmēra prognozēm.</w:t>
      </w:r>
      <w:r w:rsidR="00F150B5" w:rsidRPr="00485749">
        <w:rPr>
          <w:rFonts w:ascii="Times New Roman" w:eastAsiaTheme="minorHAnsi" w:hAnsi="Times New Roman" w:cs="Times New Roman"/>
          <w:sz w:val="24"/>
          <w:szCs w:val="20"/>
        </w:rPr>
        <w:t xml:space="preserve"> Lai šo likuma normu varētu pielietot</w:t>
      </w:r>
      <w:r w:rsidR="00F150B5">
        <w:rPr>
          <w:rFonts w:ascii="Times New Roman" w:eastAsiaTheme="minorHAnsi" w:hAnsi="Times New Roman" w:cs="Times New Roman"/>
          <w:sz w:val="24"/>
          <w:szCs w:val="20"/>
        </w:rPr>
        <w:t xml:space="preserve">, tiek </w:t>
      </w:r>
      <w:r w:rsidR="00F150B5" w:rsidRPr="00485749">
        <w:rPr>
          <w:rFonts w:ascii="Times New Roman" w:eastAsiaTheme="minorHAnsi" w:hAnsi="Times New Roman" w:cs="Times New Roman"/>
          <w:sz w:val="24"/>
          <w:szCs w:val="20"/>
        </w:rPr>
        <w:t>fiksēt</w:t>
      </w:r>
      <w:r w:rsidR="00F150B5">
        <w:rPr>
          <w:rFonts w:ascii="Times New Roman" w:eastAsiaTheme="minorHAnsi" w:hAnsi="Times New Roman" w:cs="Times New Roman"/>
          <w:sz w:val="24"/>
          <w:szCs w:val="20"/>
        </w:rPr>
        <w:t>s</w:t>
      </w:r>
      <w:r w:rsidR="00F150B5" w:rsidRPr="00485749">
        <w:rPr>
          <w:rFonts w:ascii="Times New Roman" w:eastAsiaTheme="minorHAnsi" w:hAnsi="Times New Roman" w:cs="Times New Roman"/>
          <w:sz w:val="24"/>
          <w:szCs w:val="20"/>
        </w:rPr>
        <w:t xml:space="preserve"> valsts sociālo pabalstu un pensiju saņēmēju kontingenta prognozes koriģēto maksimāli pieļaujamo valsts budžeta izdevumu aprēķināšanas brīdī</w:t>
      </w:r>
      <w:r w:rsidR="00F150B5">
        <w:rPr>
          <w:rFonts w:ascii="Times New Roman" w:eastAsiaTheme="minorHAnsi" w:hAnsi="Times New Roman" w:cs="Times New Roman"/>
          <w:sz w:val="24"/>
          <w:szCs w:val="20"/>
        </w:rPr>
        <w:t>.</w:t>
      </w:r>
    </w:p>
    <w:p w14:paraId="008F3B07" w14:textId="1731738B" w:rsidR="004A6489" w:rsidRPr="00011851" w:rsidRDefault="004A6489" w:rsidP="000D02B5">
      <w:pPr>
        <w:spacing w:after="0" w:line="240" w:lineRule="auto"/>
        <w:ind w:firstLine="720"/>
        <w:jc w:val="both"/>
        <w:rPr>
          <w:rFonts w:ascii="Times New Roman" w:eastAsiaTheme="minorHAnsi" w:hAnsi="Times New Roman" w:cs="Times New Roman"/>
          <w:sz w:val="24"/>
          <w:szCs w:val="20"/>
        </w:rPr>
      </w:pPr>
      <w:r w:rsidRPr="00011851">
        <w:rPr>
          <w:rFonts w:ascii="Times New Roman" w:eastAsiaTheme="minorHAnsi" w:hAnsi="Times New Roman" w:cs="Times New Roman"/>
          <w:sz w:val="24"/>
          <w:szCs w:val="20"/>
        </w:rPr>
        <w:t>Var izšķirt vairākas fiskālo risku grupas:</w:t>
      </w:r>
    </w:p>
    <w:p w14:paraId="11D82043" w14:textId="77777777" w:rsidR="004A6489" w:rsidRPr="00011851" w:rsidRDefault="004A6489" w:rsidP="000D02B5">
      <w:pPr>
        <w:numPr>
          <w:ilvl w:val="0"/>
          <w:numId w:val="2"/>
        </w:numPr>
        <w:spacing w:after="0" w:line="240" w:lineRule="auto"/>
        <w:ind w:left="709" w:hanging="357"/>
        <w:jc w:val="both"/>
        <w:rPr>
          <w:rFonts w:ascii="Calibri" w:eastAsia="Calibri" w:hAnsi="Calibri" w:cs="Times New Roman"/>
          <w:szCs w:val="24"/>
        </w:rPr>
      </w:pPr>
      <w:r w:rsidRPr="00011851">
        <w:rPr>
          <w:rFonts w:ascii="Times New Roman" w:eastAsia="Calibri" w:hAnsi="Times New Roman" w:cs="Times New Roman"/>
          <w:sz w:val="24"/>
          <w:szCs w:val="24"/>
          <w:u w:val="single"/>
        </w:rPr>
        <w:t>Valsts pamatbudžeta vai valsts speciālā budžeta izdevumi pieaug vairāk nekā iepriekš prognozēts, sakarā ar faktiskām izmaiņām sociālās apdrošināšanas pakalpojumu saņēmēju kontingentā un/vai pensiju un pabalstu vidējā apmērā.</w:t>
      </w:r>
    </w:p>
    <w:p w14:paraId="2B5A5DF8" w14:textId="4868DD92" w:rsidR="004A6489" w:rsidRPr="00011851" w:rsidRDefault="004A6489" w:rsidP="000D02B5">
      <w:pPr>
        <w:spacing w:after="0" w:line="240" w:lineRule="auto"/>
        <w:ind w:left="709"/>
        <w:jc w:val="both"/>
        <w:rPr>
          <w:rFonts w:ascii="Calibri" w:eastAsia="Calibri" w:hAnsi="Calibri" w:cs="Times New Roman"/>
          <w:szCs w:val="24"/>
        </w:rPr>
      </w:pPr>
      <w:r w:rsidRPr="00011851">
        <w:rPr>
          <w:rFonts w:ascii="Times New Roman" w:eastAsia="Calibri" w:hAnsi="Times New Roman" w:cs="Times New Roman"/>
          <w:sz w:val="24"/>
          <w:szCs w:val="24"/>
        </w:rPr>
        <w:t xml:space="preserve">Attiecībā uz šiem LM </w:t>
      </w:r>
      <w:r w:rsidR="006549D8">
        <w:rPr>
          <w:rFonts w:ascii="Times New Roman" w:eastAsia="Calibri" w:hAnsi="Times New Roman" w:cs="Times New Roman"/>
          <w:sz w:val="24"/>
          <w:szCs w:val="24"/>
        </w:rPr>
        <w:t xml:space="preserve">un AiM </w:t>
      </w:r>
      <w:r w:rsidRPr="00011851">
        <w:rPr>
          <w:rFonts w:ascii="Times New Roman" w:eastAsia="Calibri" w:hAnsi="Times New Roman" w:cs="Times New Roman"/>
          <w:sz w:val="24"/>
          <w:szCs w:val="24"/>
        </w:rPr>
        <w:t>pārziņā esošajiem fiskālajiem riskiem nav identificēti papildu nepieciešamie pasākumi fiskālo risku mazināšanai, jo FDL šādā gadījumā pieļauj koriģēto maksimāli pieļaujamo valsts budžeta izdevumu pārsniegumu. Riski ir simetriski, tas ir, pastāv vienāda varbūtība, ka izmaksas var būt gan lielākas, gan mazākas par prognozēto apjomu. Līdz ar to arī varbūtība, ka budžeta deficīts pieaugs</w:t>
      </w:r>
      <w:r w:rsidR="008D62B8" w:rsidRPr="00011851">
        <w:rPr>
          <w:rFonts w:ascii="Times New Roman" w:eastAsia="Calibri" w:hAnsi="Times New Roman" w:cs="Times New Roman"/>
          <w:sz w:val="24"/>
          <w:szCs w:val="24"/>
        </w:rPr>
        <w:t>,</w:t>
      </w:r>
      <w:r w:rsidRPr="00011851">
        <w:rPr>
          <w:rFonts w:ascii="Times New Roman" w:eastAsia="Calibri" w:hAnsi="Times New Roman" w:cs="Times New Roman"/>
          <w:sz w:val="24"/>
          <w:szCs w:val="24"/>
        </w:rPr>
        <w:t xml:space="preserve"> ir 50%. Fiskālā ietekme konkrētajā gadā nav nosakāma, bet ilgtermiņa fiskālā ietekme ir tuva nullei, jo risks ir simetrisks. </w:t>
      </w:r>
    </w:p>
    <w:p w14:paraId="44D3B7D7" w14:textId="77777777" w:rsidR="004A6489" w:rsidRPr="00011851" w:rsidRDefault="004A6489" w:rsidP="00A8097C">
      <w:pPr>
        <w:pStyle w:val="ListParagraph"/>
        <w:numPr>
          <w:ilvl w:val="0"/>
          <w:numId w:val="39"/>
        </w:numPr>
        <w:ind w:left="709"/>
        <w:rPr>
          <w:rFonts w:ascii="Times New Roman" w:hAnsi="Times New Roman"/>
          <w:sz w:val="24"/>
        </w:rPr>
      </w:pPr>
      <w:r w:rsidRPr="00011851">
        <w:rPr>
          <w:rFonts w:ascii="Times New Roman" w:hAnsi="Times New Roman"/>
          <w:sz w:val="24"/>
          <w:szCs w:val="24"/>
          <w:u w:val="single"/>
        </w:rPr>
        <w:t xml:space="preserve">Valsts sociālās apdrošināšanas speciālā budžetā plānoto ieņēmumu neizpilde, salīdzinot ar valsts </w:t>
      </w:r>
      <w:r w:rsidRPr="009502A9">
        <w:rPr>
          <w:rFonts w:ascii="Times New Roman" w:hAnsi="Times New Roman"/>
          <w:sz w:val="24"/>
          <w:u w:val="single"/>
        </w:rPr>
        <w:t>budžetā apstiprinātajiem ieņēmumiem.</w:t>
      </w:r>
    </w:p>
    <w:p w14:paraId="094092E8" w14:textId="27E25F27" w:rsidR="004A6489" w:rsidRPr="00011851" w:rsidRDefault="004A6489" w:rsidP="000C1547">
      <w:pPr>
        <w:spacing w:after="0" w:line="240" w:lineRule="auto"/>
        <w:ind w:left="709" w:firstLine="11"/>
        <w:jc w:val="both"/>
        <w:rPr>
          <w:rFonts w:ascii="Times New Roman" w:eastAsiaTheme="minorHAnsi" w:hAnsi="Times New Roman" w:cs="Times New Roman"/>
          <w:sz w:val="24"/>
          <w:szCs w:val="20"/>
        </w:rPr>
      </w:pPr>
      <w:r w:rsidRPr="00011851">
        <w:rPr>
          <w:rFonts w:ascii="Times New Roman" w:eastAsiaTheme="minorHAnsi" w:hAnsi="Times New Roman" w:cs="Times New Roman"/>
          <w:sz w:val="24"/>
          <w:szCs w:val="20"/>
        </w:rPr>
        <w:t xml:space="preserve">Faktiskie ieņēmumi valsts sociālās apdrošināšanas speciālajā budžetā </w:t>
      </w:r>
      <w:r w:rsidR="00F82A0D" w:rsidRPr="00011851">
        <w:rPr>
          <w:rFonts w:ascii="Times New Roman" w:eastAsiaTheme="minorHAnsi" w:hAnsi="Times New Roman" w:cs="Times New Roman"/>
          <w:sz w:val="24"/>
          <w:szCs w:val="20"/>
        </w:rPr>
        <w:t xml:space="preserve">var </w:t>
      </w:r>
      <w:r w:rsidRPr="00011851">
        <w:rPr>
          <w:rFonts w:ascii="Times New Roman" w:eastAsiaTheme="minorHAnsi" w:hAnsi="Times New Roman" w:cs="Times New Roman"/>
          <w:sz w:val="24"/>
          <w:szCs w:val="20"/>
        </w:rPr>
        <w:t>a</w:t>
      </w:r>
      <w:r w:rsidR="00F82A0D" w:rsidRPr="00011851">
        <w:rPr>
          <w:rFonts w:ascii="Times New Roman" w:eastAsiaTheme="minorHAnsi" w:hAnsi="Times New Roman" w:cs="Times New Roman"/>
          <w:sz w:val="24"/>
          <w:szCs w:val="20"/>
        </w:rPr>
        <w:t>tšķirt</w:t>
      </w:r>
      <w:r w:rsidRPr="00011851">
        <w:rPr>
          <w:rFonts w:ascii="Times New Roman" w:eastAsiaTheme="minorHAnsi" w:hAnsi="Times New Roman" w:cs="Times New Roman"/>
          <w:sz w:val="24"/>
          <w:szCs w:val="20"/>
        </w:rPr>
        <w:t>ies no plānotajiem. Risks ir saistīts ar ieņēmum</w:t>
      </w:r>
      <w:r w:rsidR="00214D26" w:rsidRPr="00011851">
        <w:rPr>
          <w:rFonts w:ascii="Times New Roman" w:eastAsiaTheme="minorHAnsi" w:hAnsi="Times New Roman" w:cs="Times New Roman"/>
          <w:sz w:val="24"/>
          <w:szCs w:val="20"/>
        </w:rPr>
        <w:t>u</w:t>
      </w:r>
      <w:r w:rsidRPr="00011851">
        <w:rPr>
          <w:rFonts w:ascii="Times New Roman" w:eastAsiaTheme="minorHAnsi" w:hAnsi="Times New Roman" w:cs="Times New Roman"/>
          <w:sz w:val="24"/>
          <w:szCs w:val="20"/>
        </w:rPr>
        <w:t xml:space="preserve"> plāna faktisko izpildi, kas neizpildes gadījumā negatīvi ietekmē valsts budžeta bilanci, kā arī izmaiņām ieņēmumu prognozēs (ieņēmumu plāna samazinājums), kas lielākoties nav līdzvērtīgs un tieši saistīts ar attiecīgu izdevumu samazinājumu. Tā kā novirzes ar vienādu varbūtību var būt gan bilances palielinājuma, gan samazinājuma virzienā, risks ir simetrisks un līdz ar to arī varbūtība, ka deficīts pieaugs</w:t>
      </w:r>
      <w:r w:rsidR="008D62B8" w:rsidRPr="00011851">
        <w:rPr>
          <w:rFonts w:ascii="Times New Roman" w:eastAsiaTheme="minorHAnsi" w:hAnsi="Times New Roman" w:cs="Times New Roman"/>
          <w:sz w:val="24"/>
          <w:szCs w:val="20"/>
        </w:rPr>
        <w:t>,</w:t>
      </w:r>
      <w:r w:rsidRPr="00011851">
        <w:rPr>
          <w:rFonts w:ascii="Times New Roman" w:eastAsiaTheme="minorHAnsi" w:hAnsi="Times New Roman" w:cs="Times New Roman"/>
          <w:sz w:val="24"/>
          <w:szCs w:val="20"/>
        </w:rPr>
        <w:t xml:space="preserve"> ir 50%. Fiskālā ietekme konkrētajā gadā nav prognozējama, bet ilgtermiņa fiskālā ietekme ir tuva nulle</w:t>
      </w:r>
      <w:r w:rsidR="00F87DA6" w:rsidRPr="00011851">
        <w:rPr>
          <w:rFonts w:ascii="Times New Roman" w:eastAsiaTheme="minorHAnsi" w:hAnsi="Times New Roman" w:cs="Times New Roman"/>
          <w:sz w:val="24"/>
          <w:szCs w:val="20"/>
        </w:rPr>
        <w:t>i</w:t>
      </w:r>
      <w:r w:rsidRPr="00011851">
        <w:rPr>
          <w:rFonts w:ascii="Times New Roman" w:eastAsiaTheme="minorHAnsi" w:hAnsi="Times New Roman" w:cs="Times New Roman"/>
          <w:sz w:val="24"/>
          <w:szCs w:val="20"/>
        </w:rPr>
        <w:t xml:space="preserve">, jo risks ir simetrisks. </w:t>
      </w:r>
    </w:p>
    <w:p w14:paraId="27E5004A" w14:textId="1044108E" w:rsidR="00350100" w:rsidRPr="00DC1531" w:rsidRDefault="4307A83C" w:rsidP="00DC1531">
      <w:pPr>
        <w:shd w:val="clear" w:color="auto" w:fill="FFFFFF" w:themeFill="background1"/>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Tabulā Nr.</w:t>
      </w:r>
      <w:r w:rsidR="43B306BB" w:rsidRPr="469479B5">
        <w:rPr>
          <w:rFonts w:ascii="Times New Roman" w:hAnsi="Times New Roman" w:cs="Times New Roman"/>
          <w:sz w:val="24"/>
          <w:szCs w:val="24"/>
        </w:rPr>
        <w:t>2.4.1</w:t>
      </w:r>
      <w:r w:rsidR="19DDF2E3" w:rsidRPr="469479B5">
        <w:rPr>
          <w:rFonts w:ascii="Times New Roman" w:hAnsi="Times New Roman"/>
          <w:sz w:val="24"/>
          <w:szCs w:val="24"/>
        </w:rPr>
        <w:t xml:space="preserve"> </w:t>
      </w:r>
      <w:r w:rsidRPr="469479B5">
        <w:rPr>
          <w:rFonts w:ascii="Times New Roman" w:hAnsi="Times New Roman" w:cs="Times New Roman"/>
          <w:sz w:val="24"/>
          <w:szCs w:val="24"/>
        </w:rPr>
        <w:t xml:space="preserve">ir redzama valsts speciālā budžeta izdevumu sociālajiem pabalstiem dinamika apakšprogrammu griezumā no </w:t>
      </w:r>
      <w:r w:rsidR="0366EB45" w:rsidRPr="469479B5">
        <w:rPr>
          <w:rFonts w:ascii="Times New Roman" w:hAnsi="Times New Roman" w:cs="Times New Roman"/>
          <w:sz w:val="24"/>
          <w:szCs w:val="24"/>
        </w:rPr>
        <w:t>201</w:t>
      </w:r>
      <w:r w:rsidR="00C904AD">
        <w:rPr>
          <w:rFonts w:ascii="Times New Roman" w:hAnsi="Times New Roman" w:cs="Times New Roman"/>
          <w:sz w:val="24"/>
          <w:szCs w:val="24"/>
        </w:rPr>
        <w:t>4</w:t>
      </w:r>
      <w:r w:rsidRPr="469479B5">
        <w:rPr>
          <w:rFonts w:ascii="Times New Roman" w:hAnsi="Times New Roman" w:cs="Times New Roman"/>
          <w:sz w:val="24"/>
          <w:szCs w:val="24"/>
        </w:rPr>
        <w:t>.</w:t>
      </w:r>
      <w:r w:rsidR="6B30AC0C"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gada līdz </w:t>
      </w:r>
      <w:r w:rsidR="0DAE07A0" w:rsidRPr="469479B5">
        <w:rPr>
          <w:rFonts w:ascii="Times New Roman" w:hAnsi="Times New Roman" w:cs="Times New Roman"/>
          <w:sz w:val="24"/>
          <w:szCs w:val="24"/>
        </w:rPr>
        <w:t>202</w:t>
      </w:r>
      <w:r w:rsidR="00C904AD">
        <w:rPr>
          <w:rFonts w:ascii="Times New Roman" w:hAnsi="Times New Roman" w:cs="Times New Roman"/>
          <w:sz w:val="24"/>
          <w:szCs w:val="24"/>
        </w:rPr>
        <w:t>4</w:t>
      </w:r>
      <w:r w:rsidRPr="469479B5">
        <w:rPr>
          <w:rFonts w:ascii="Times New Roman" w:hAnsi="Times New Roman" w:cs="Times New Roman"/>
          <w:sz w:val="24"/>
          <w:szCs w:val="24"/>
        </w:rPr>
        <w:t>.</w:t>
      </w:r>
      <w:r w:rsidR="6B30AC0C"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gadam, kā rezultātā, simetriskuma princips tiek </w:t>
      </w:r>
      <w:r w:rsidR="5E98A426" w:rsidRPr="469479B5">
        <w:rPr>
          <w:rFonts w:ascii="Times New Roman" w:hAnsi="Times New Roman" w:cs="Times New Roman"/>
          <w:sz w:val="24"/>
          <w:szCs w:val="24"/>
        </w:rPr>
        <w:t xml:space="preserve">vērtēts </w:t>
      </w:r>
      <w:r w:rsidRPr="469479B5">
        <w:rPr>
          <w:rFonts w:ascii="Times New Roman" w:hAnsi="Times New Roman" w:cs="Times New Roman"/>
          <w:sz w:val="24"/>
          <w:szCs w:val="24"/>
        </w:rPr>
        <w:t>šim laika periodam. Teorētiski fiskālajam riskam ir jābūt simetriskam</w:t>
      </w:r>
      <w:r w:rsidR="70316C1C" w:rsidRPr="469479B5">
        <w:rPr>
          <w:rFonts w:ascii="Times New Roman" w:hAnsi="Times New Roman" w:cs="Times New Roman"/>
          <w:sz w:val="24"/>
          <w:szCs w:val="24"/>
        </w:rPr>
        <w:t xml:space="preserve">. </w:t>
      </w:r>
      <w:r w:rsidR="00A54B9F">
        <w:rPr>
          <w:rFonts w:ascii="Times New Roman" w:hAnsi="Times New Roman" w:cs="Times New Roman"/>
          <w:sz w:val="24"/>
          <w:szCs w:val="24"/>
        </w:rPr>
        <w:t>Norādīto apakšprogrammu izdevumu izpilde</w:t>
      </w:r>
      <w:r w:rsidR="00265699">
        <w:rPr>
          <w:rFonts w:ascii="Times New Roman" w:hAnsi="Times New Roman" w:cs="Times New Roman"/>
          <w:sz w:val="24"/>
          <w:szCs w:val="24"/>
        </w:rPr>
        <w:t>s novirze no plānotā</w:t>
      </w:r>
      <w:r w:rsidR="00A54B9F">
        <w:rPr>
          <w:rFonts w:ascii="Times New Roman" w:hAnsi="Times New Roman" w:cs="Times New Roman"/>
          <w:sz w:val="24"/>
          <w:szCs w:val="24"/>
        </w:rPr>
        <w:t xml:space="preserve"> </w:t>
      </w:r>
      <w:r w:rsidR="00A54B9F" w:rsidRPr="00AF1D5A">
        <w:rPr>
          <w:rFonts w:ascii="Times New Roman" w:hAnsi="Times New Roman" w:cs="Times New Roman"/>
          <w:sz w:val="24"/>
          <w:szCs w:val="24"/>
        </w:rPr>
        <w:t>sociālajiem pabalstiem</w:t>
      </w:r>
      <w:r w:rsidR="00A54B9F">
        <w:rPr>
          <w:rFonts w:ascii="Times New Roman" w:hAnsi="Times New Roman" w:cs="Times New Roman"/>
          <w:sz w:val="24"/>
          <w:szCs w:val="24"/>
        </w:rPr>
        <w:t xml:space="preserve"> aplūkotajā periodā no 2014. līdz 2024. gadam vidēji ir 0,5%. </w:t>
      </w:r>
      <w:r w:rsidR="1DB9BFBB" w:rsidRPr="469479B5">
        <w:rPr>
          <w:rFonts w:ascii="Times New Roman" w:eastAsia="Times New Roman" w:hAnsi="Times New Roman" w:cs="Times New Roman"/>
          <w:sz w:val="24"/>
          <w:szCs w:val="24"/>
        </w:rPr>
        <w:t xml:space="preserve">No </w:t>
      </w:r>
      <w:r w:rsidR="00C904AD">
        <w:rPr>
          <w:rFonts w:ascii="Times New Roman" w:eastAsia="Times New Roman" w:hAnsi="Times New Roman" w:cs="Times New Roman"/>
          <w:sz w:val="24"/>
          <w:szCs w:val="24"/>
        </w:rPr>
        <w:t xml:space="preserve">2014. </w:t>
      </w:r>
      <w:r w:rsidR="1DB9BFBB" w:rsidRPr="469479B5">
        <w:rPr>
          <w:rFonts w:ascii="Times New Roman" w:eastAsia="Times New Roman" w:hAnsi="Times New Roman" w:cs="Times New Roman"/>
          <w:sz w:val="24"/>
          <w:szCs w:val="24"/>
        </w:rPr>
        <w:t>gada līdz 2016.</w:t>
      </w:r>
      <w:r w:rsidR="07F0A074" w:rsidRPr="469479B5">
        <w:rPr>
          <w:rFonts w:ascii="Times New Roman" w:eastAsia="Times New Roman" w:hAnsi="Times New Roman" w:cs="Times New Roman"/>
          <w:sz w:val="24"/>
          <w:szCs w:val="24"/>
        </w:rPr>
        <w:t xml:space="preserve"> </w:t>
      </w:r>
      <w:r w:rsidR="1DB9BFBB" w:rsidRPr="469479B5">
        <w:rPr>
          <w:rFonts w:ascii="Times New Roman" w:eastAsia="Times New Roman" w:hAnsi="Times New Roman" w:cs="Times New Roman"/>
          <w:sz w:val="24"/>
          <w:szCs w:val="24"/>
        </w:rPr>
        <w:t xml:space="preserve">gadam </w:t>
      </w:r>
      <w:r w:rsidR="00C904AD">
        <w:rPr>
          <w:rFonts w:ascii="Times New Roman" w:eastAsia="Times New Roman" w:hAnsi="Times New Roman" w:cs="Times New Roman"/>
          <w:sz w:val="24"/>
          <w:szCs w:val="24"/>
        </w:rPr>
        <w:t>novirze</w:t>
      </w:r>
      <w:r w:rsidR="1DB9BFBB" w:rsidRPr="469479B5">
        <w:rPr>
          <w:rFonts w:ascii="Times New Roman" w:eastAsia="Times New Roman" w:hAnsi="Times New Roman" w:cs="Times New Roman"/>
          <w:sz w:val="24"/>
          <w:szCs w:val="24"/>
        </w:rPr>
        <w:t xml:space="preserve"> ir izdevumu pieauguma virzienā</w:t>
      </w:r>
      <w:r w:rsidR="00C904AD">
        <w:rPr>
          <w:rFonts w:ascii="Times New Roman" w:eastAsia="Times New Roman" w:hAnsi="Times New Roman" w:cs="Times New Roman"/>
          <w:sz w:val="24"/>
          <w:szCs w:val="24"/>
        </w:rPr>
        <w:t>, bet</w:t>
      </w:r>
      <w:r w:rsidR="1DB9BFBB" w:rsidRPr="469479B5">
        <w:rPr>
          <w:rFonts w:ascii="Times New Roman" w:eastAsia="Times New Roman" w:hAnsi="Times New Roman" w:cs="Times New Roman"/>
          <w:sz w:val="24"/>
          <w:szCs w:val="24"/>
        </w:rPr>
        <w:t xml:space="preserve"> </w:t>
      </w:r>
      <w:r w:rsidRPr="469479B5">
        <w:rPr>
          <w:rFonts w:ascii="Times New Roman" w:hAnsi="Times New Roman" w:cs="Times New Roman"/>
          <w:sz w:val="24"/>
          <w:szCs w:val="24"/>
        </w:rPr>
        <w:t xml:space="preserve">2017. </w:t>
      </w:r>
      <w:r w:rsidR="32FE7F7E" w:rsidRPr="469479B5">
        <w:rPr>
          <w:rFonts w:ascii="Times New Roman" w:hAnsi="Times New Roman" w:cs="Times New Roman"/>
          <w:sz w:val="24"/>
          <w:szCs w:val="24"/>
        </w:rPr>
        <w:t>–</w:t>
      </w:r>
      <w:r w:rsidR="4AFAABC5" w:rsidRPr="469479B5">
        <w:rPr>
          <w:rFonts w:ascii="Times New Roman" w:hAnsi="Times New Roman" w:cs="Times New Roman"/>
          <w:sz w:val="24"/>
          <w:szCs w:val="24"/>
        </w:rPr>
        <w:t xml:space="preserve"> 2019</w:t>
      </w:r>
      <w:r w:rsidRPr="469479B5">
        <w:rPr>
          <w:rFonts w:ascii="Times New Roman" w:hAnsi="Times New Roman" w:cs="Times New Roman"/>
          <w:sz w:val="24"/>
          <w:szCs w:val="24"/>
        </w:rPr>
        <w:t>.</w:t>
      </w:r>
      <w:r w:rsidR="6B30AC0C" w:rsidRPr="469479B5">
        <w:rPr>
          <w:rFonts w:ascii="Times New Roman" w:hAnsi="Times New Roman" w:cs="Times New Roman"/>
          <w:sz w:val="24"/>
          <w:szCs w:val="24"/>
        </w:rPr>
        <w:t xml:space="preserve"> </w:t>
      </w:r>
      <w:r w:rsidR="4AFAABC5" w:rsidRPr="469479B5">
        <w:rPr>
          <w:rFonts w:ascii="Times New Roman" w:hAnsi="Times New Roman" w:cs="Times New Roman"/>
          <w:sz w:val="24"/>
          <w:szCs w:val="24"/>
        </w:rPr>
        <w:t>gad</w:t>
      </w:r>
      <w:r w:rsidR="1CD98FB8" w:rsidRPr="469479B5">
        <w:rPr>
          <w:rFonts w:ascii="Times New Roman" w:hAnsi="Times New Roman" w:cs="Times New Roman"/>
          <w:sz w:val="24"/>
          <w:szCs w:val="24"/>
        </w:rPr>
        <w:t>ā</w:t>
      </w:r>
      <w:r w:rsidR="4AFAABC5" w:rsidRPr="469479B5">
        <w:rPr>
          <w:rFonts w:ascii="Times New Roman" w:hAnsi="Times New Roman" w:cs="Times New Roman"/>
          <w:sz w:val="24"/>
          <w:szCs w:val="24"/>
        </w:rPr>
        <w:t xml:space="preserve"> </w:t>
      </w:r>
      <w:r w:rsidR="5E98A426" w:rsidRPr="469479B5">
        <w:rPr>
          <w:rFonts w:ascii="Times New Roman" w:hAnsi="Times New Roman" w:cs="Times New Roman"/>
          <w:sz w:val="24"/>
          <w:szCs w:val="24"/>
        </w:rPr>
        <w:t>novirze</w:t>
      </w:r>
      <w:r w:rsidR="5B260ADC" w:rsidRPr="469479B5">
        <w:rPr>
          <w:rFonts w:ascii="Times New Roman" w:hAnsi="Times New Roman" w:cs="Times New Roman"/>
          <w:sz w:val="24"/>
          <w:szCs w:val="24"/>
        </w:rPr>
        <w:t xml:space="preserve"> </w:t>
      </w:r>
      <w:r w:rsidR="5E98A426" w:rsidRPr="469479B5">
        <w:rPr>
          <w:rFonts w:ascii="Times New Roman" w:hAnsi="Times New Roman" w:cs="Times New Roman"/>
          <w:sz w:val="24"/>
          <w:szCs w:val="24"/>
        </w:rPr>
        <w:t>ir izdevumu samazinājuma virzienā</w:t>
      </w:r>
      <w:r w:rsidR="00C904AD">
        <w:rPr>
          <w:rFonts w:ascii="Times New Roman" w:hAnsi="Times New Roman" w:cs="Times New Roman"/>
          <w:sz w:val="24"/>
          <w:szCs w:val="24"/>
        </w:rPr>
        <w:t>.</w:t>
      </w:r>
      <w:r w:rsidR="3A98BE3E" w:rsidRPr="469479B5">
        <w:rPr>
          <w:rFonts w:ascii="Times New Roman" w:hAnsi="Times New Roman" w:cs="Times New Roman"/>
          <w:sz w:val="24"/>
          <w:szCs w:val="24"/>
        </w:rPr>
        <w:t xml:space="preserve"> </w:t>
      </w:r>
      <w:r w:rsidR="00C904AD">
        <w:rPr>
          <w:rFonts w:ascii="Times New Roman" w:hAnsi="Times New Roman" w:cs="Times New Roman"/>
          <w:sz w:val="24"/>
          <w:szCs w:val="24"/>
        </w:rPr>
        <w:t xml:space="preserve">Savukārt </w:t>
      </w:r>
      <w:r w:rsidR="3A98BE3E" w:rsidRPr="469479B5">
        <w:rPr>
          <w:rFonts w:ascii="Times New Roman" w:hAnsi="Times New Roman" w:cs="Times New Roman"/>
          <w:sz w:val="24"/>
          <w:szCs w:val="24"/>
        </w:rPr>
        <w:t>2020.</w:t>
      </w:r>
      <w:r w:rsidR="00D35122">
        <w:rPr>
          <w:rFonts w:ascii="Times New Roman" w:hAnsi="Times New Roman" w:cs="Times New Roman"/>
          <w:b/>
          <w:bCs/>
          <w:sz w:val="24"/>
          <w:szCs w:val="24"/>
        </w:rPr>
        <w:t> </w:t>
      </w:r>
      <w:r w:rsidR="00597FA9" w:rsidRPr="469479B5">
        <w:rPr>
          <w:rFonts w:ascii="Times New Roman" w:hAnsi="Times New Roman" w:cs="Times New Roman"/>
          <w:color w:val="000000" w:themeColor="text1"/>
          <w:sz w:val="24"/>
          <w:szCs w:val="24"/>
        </w:rPr>
        <w:t>–</w:t>
      </w:r>
      <w:r w:rsidR="00D35122">
        <w:rPr>
          <w:rFonts w:ascii="Times New Roman" w:hAnsi="Times New Roman" w:cs="Times New Roman"/>
          <w:b/>
          <w:bCs/>
          <w:sz w:val="24"/>
          <w:szCs w:val="24"/>
        </w:rPr>
        <w:t> </w:t>
      </w:r>
      <w:r w:rsidR="739667EF" w:rsidRPr="469479B5">
        <w:rPr>
          <w:rFonts w:ascii="Times New Roman" w:hAnsi="Times New Roman" w:cs="Times New Roman"/>
          <w:sz w:val="24"/>
          <w:szCs w:val="24"/>
        </w:rPr>
        <w:t>202</w:t>
      </w:r>
      <w:r w:rsidR="1D8D9BA1" w:rsidRPr="469479B5">
        <w:rPr>
          <w:rFonts w:ascii="Times New Roman" w:hAnsi="Times New Roman" w:cs="Times New Roman"/>
          <w:sz w:val="24"/>
          <w:szCs w:val="24"/>
        </w:rPr>
        <w:t>2</w:t>
      </w:r>
      <w:r w:rsidR="739667EF" w:rsidRPr="469479B5">
        <w:rPr>
          <w:rFonts w:ascii="Times New Roman" w:hAnsi="Times New Roman" w:cs="Times New Roman"/>
          <w:sz w:val="24"/>
          <w:szCs w:val="24"/>
        </w:rPr>
        <w:t>.</w:t>
      </w:r>
      <w:r w:rsidR="6CB237CC" w:rsidRPr="469479B5">
        <w:rPr>
          <w:rFonts w:ascii="Times New Roman" w:hAnsi="Times New Roman" w:cs="Times New Roman"/>
          <w:b/>
          <w:bCs/>
          <w:sz w:val="24"/>
          <w:szCs w:val="24"/>
        </w:rPr>
        <w:t xml:space="preserve"> </w:t>
      </w:r>
      <w:r w:rsidR="3A98BE3E" w:rsidRPr="469479B5">
        <w:rPr>
          <w:rFonts w:ascii="Times New Roman" w:hAnsi="Times New Roman" w:cs="Times New Roman"/>
          <w:sz w:val="24"/>
          <w:szCs w:val="24"/>
        </w:rPr>
        <w:t xml:space="preserve">gadā </w:t>
      </w:r>
      <w:r w:rsidR="5E98A426" w:rsidRPr="469479B5">
        <w:rPr>
          <w:rFonts w:ascii="Times New Roman" w:hAnsi="Times New Roman" w:cs="Times New Roman"/>
          <w:sz w:val="24"/>
          <w:szCs w:val="24"/>
        </w:rPr>
        <w:t>tā ir izdevumu pieauguma virzienā</w:t>
      </w:r>
      <w:r w:rsidR="00C904AD">
        <w:rPr>
          <w:rFonts w:ascii="Times New Roman" w:hAnsi="Times New Roman" w:cs="Times New Roman"/>
          <w:sz w:val="24"/>
          <w:szCs w:val="24"/>
        </w:rPr>
        <w:t xml:space="preserve"> un 2023.</w:t>
      </w:r>
      <w:r w:rsidR="00087F58">
        <w:rPr>
          <w:rFonts w:ascii="Times New Roman" w:hAnsi="Times New Roman" w:cs="Times New Roman"/>
          <w:sz w:val="24"/>
          <w:szCs w:val="24"/>
        </w:rPr>
        <w:t xml:space="preserve"> </w:t>
      </w:r>
      <w:r w:rsidR="009C2E1C">
        <w:rPr>
          <w:rFonts w:ascii="Times New Roman" w:hAnsi="Times New Roman" w:cs="Times New Roman"/>
          <w:sz w:val="24"/>
          <w:szCs w:val="24"/>
        </w:rPr>
        <w:t>– 2024</w:t>
      </w:r>
      <w:r w:rsidR="00C904AD">
        <w:rPr>
          <w:rFonts w:ascii="Times New Roman" w:hAnsi="Times New Roman" w:cs="Times New Roman"/>
          <w:sz w:val="24"/>
          <w:szCs w:val="24"/>
        </w:rPr>
        <w:t>. gadā atkal ir izdevumu samazinājuma virzienā</w:t>
      </w:r>
      <w:r w:rsidR="3A98BE3E" w:rsidRPr="469479B5">
        <w:rPr>
          <w:rFonts w:ascii="Times New Roman" w:hAnsi="Times New Roman" w:cs="Times New Roman"/>
          <w:sz w:val="24"/>
          <w:szCs w:val="24"/>
        </w:rPr>
        <w:t>.</w:t>
      </w:r>
      <w:r w:rsidR="00C904AD">
        <w:rPr>
          <w:rFonts w:ascii="Times New Roman" w:hAnsi="Times New Roman" w:cs="Times New Roman"/>
          <w:sz w:val="24"/>
          <w:szCs w:val="24"/>
        </w:rPr>
        <w:t xml:space="preserve"> At</w:t>
      </w:r>
      <w:r w:rsidR="006F35A3">
        <w:rPr>
          <w:rFonts w:ascii="Times New Roman" w:hAnsi="Times New Roman" w:cs="Times New Roman"/>
          <w:sz w:val="24"/>
          <w:szCs w:val="24"/>
        </w:rPr>
        <w:t>bilstoši</w:t>
      </w:r>
      <w:r w:rsidR="739667EF" w:rsidRPr="469479B5">
        <w:rPr>
          <w:rFonts w:ascii="Times New Roman" w:hAnsi="Times New Roman" w:cs="Times New Roman"/>
          <w:sz w:val="24"/>
          <w:szCs w:val="24"/>
        </w:rPr>
        <w:t xml:space="preserve"> 2020. un 2021.</w:t>
      </w:r>
      <w:r w:rsidR="5529DBEF" w:rsidRPr="469479B5">
        <w:rPr>
          <w:rFonts w:ascii="Times New Roman" w:hAnsi="Times New Roman" w:cs="Times New Roman"/>
          <w:b/>
          <w:bCs/>
          <w:sz w:val="24"/>
          <w:szCs w:val="24"/>
        </w:rPr>
        <w:t xml:space="preserve"> </w:t>
      </w:r>
      <w:r w:rsidR="739667EF" w:rsidRPr="469479B5">
        <w:rPr>
          <w:rFonts w:ascii="Times New Roman" w:hAnsi="Times New Roman" w:cs="Times New Roman"/>
          <w:sz w:val="24"/>
          <w:szCs w:val="24"/>
        </w:rPr>
        <w:t>gadā novērotais izdevumu pieaug</w:t>
      </w:r>
      <w:r w:rsidR="4717496B" w:rsidRPr="469479B5">
        <w:rPr>
          <w:rFonts w:ascii="Times New Roman" w:hAnsi="Times New Roman" w:cs="Times New Roman"/>
          <w:sz w:val="24"/>
          <w:szCs w:val="24"/>
        </w:rPr>
        <w:t>um</w:t>
      </w:r>
      <w:r w:rsidR="739667EF" w:rsidRPr="469479B5">
        <w:rPr>
          <w:rFonts w:ascii="Times New Roman" w:hAnsi="Times New Roman" w:cs="Times New Roman"/>
          <w:sz w:val="24"/>
          <w:szCs w:val="24"/>
        </w:rPr>
        <w:t>s ir saistīts ar Covid</w:t>
      </w:r>
      <w:r w:rsidR="00597FA9" w:rsidRPr="469479B5">
        <w:rPr>
          <w:rFonts w:ascii="Times New Roman" w:hAnsi="Times New Roman" w:cs="Times New Roman"/>
          <w:color w:val="000000" w:themeColor="text1"/>
          <w:sz w:val="24"/>
          <w:szCs w:val="24"/>
        </w:rPr>
        <w:t>–</w:t>
      </w:r>
      <w:r w:rsidR="739667EF" w:rsidRPr="469479B5">
        <w:rPr>
          <w:rFonts w:ascii="Times New Roman" w:hAnsi="Times New Roman" w:cs="Times New Roman"/>
          <w:sz w:val="24"/>
          <w:szCs w:val="24"/>
        </w:rPr>
        <w:t>19 izplatību</w:t>
      </w:r>
      <w:r w:rsidR="1D8D9BA1" w:rsidRPr="469479B5">
        <w:rPr>
          <w:rFonts w:ascii="Times New Roman" w:hAnsi="Times New Roman" w:cs="Times New Roman"/>
          <w:sz w:val="24"/>
          <w:szCs w:val="24"/>
        </w:rPr>
        <w:t>, savukārt 2022.</w:t>
      </w:r>
      <w:r w:rsidR="0C334A00" w:rsidRPr="469479B5">
        <w:rPr>
          <w:rFonts w:ascii="Times New Roman" w:hAnsi="Times New Roman" w:cs="Times New Roman"/>
          <w:b/>
          <w:bCs/>
          <w:sz w:val="24"/>
          <w:szCs w:val="24"/>
        </w:rPr>
        <w:t xml:space="preserve"> </w:t>
      </w:r>
      <w:r w:rsidR="1D8D9BA1" w:rsidRPr="469479B5">
        <w:rPr>
          <w:rFonts w:ascii="Times New Roman" w:hAnsi="Times New Roman" w:cs="Times New Roman"/>
          <w:sz w:val="24"/>
          <w:szCs w:val="24"/>
        </w:rPr>
        <w:t>gadā izdevumu pieaugums saistīts ar augsto inflāciju, kuras rezultātā gan pensiju indeksācija tika veikta ar augstākiem koeficientiem, gan tika nodrošināts atbalsts iedzīvotājiem energoresursu cenu ārkārtējā pieauguma apstākļos.</w:t>
      </w:r>
      <w:r w:rsidR="2833FD4A" w:rsidRPr="469479B5">
        <w:rPr>
          <w:rFonts w:ascii="Times New Roman" w:hAnsi="Times New Roman" w:cs="Times New Roman"/>
          <w:sz w:val="24"/>
          <w:szCs w:val="24"/>
        </w:rPr>
        <w:t xml:space="preserve"> </w:t>
      </w:r>
      <w:r w:rsidR="00FE060A">
        <w:rPr>
          <w:rFonts w:ascii="Times New Roman" w:hAnsi="Times New Roman" w:cs="Times New Roman"/>
          <w:sz w:val="24"/>
          <w:szCs w:val="24"/>
        </w:rPr>
        <w:t>Sociālo pabalstu i</w:t>
      </w:r>
      <w:r w:rsidR="3DB71F80" w:rsidRPr="469479B5">
        <w:rPr>
          <w:rFonts w:ascii="Times New Roman" w:hAnsi="Times New Roman" w:cs="Times New Roman"/>
          <w:sz w:val="24"/>
          <w:szCs w:val="24"/>
        </w:rPr>
        <w:t>zdevumu pārsniegums pār plānoto 2023.</w:t>
      </w:r>
      <w:r w:rsidR="3119C05F" w:rsidRPr="469479B5">
        <w:rPr>
          <w:rFonts w:ascii="Times New Roman" w:hAnsi="Times New Roman" w:cs="Times New Roman"/>
          <w:b/>
          <w:bCs/>
          <w:sz w:val="24"/>
          <w:szCs w:val="24"/>
        </w:rPr>
        <w:t xml:space="preserve"> </w:t>
      </w:r>
      <w:r w:rsidR="3DB71F80" w:rsidRPr="469479B5">
        <w:rPr>
          <w:rFonts w:ascii="Times New Roman" w:hAnsi="Times New Roman" w:cs="Times New Roman"/>
          <w:sz w:val="24"/>
          <w:szCs w:val="24"/>
        </w:rPr>
        <w:t xml:space="preserve">gadā </w:t>
      </w:r>
      <w:r w:rsidR="00631FAD" w:rsidRPr="469479B5">
        <w:rPr>
          <w:rFonts w:ascii="Times New Roman" w:hAnsi="Times New Roman" w:cs="Times New Roman"/>
          <w:sz w:val="24"/>
          <w:szCs w:val="24"/>
        </w:rPr>
        <w:t>pamatbudžeta apakšprogramm</w:t>
      </w:r>
      <w:r w:rsidR="00631FAD">
        <w:rPr>
          <w:rFonts w:ascii="Times New Roman" w:hAnsi="Times New Roman" w:cs="Times New Roman"/>
          <w:sz w:val="24"/>
          <w:szCs w:val="24"/>
        </w:rPr>
        <w:t>ā</w:t>
      </w:r>
      <w:r w:rsidR="00631FAD" w:rsidRPr="469479B5">
        <w:rPr>
          <w:rFonts w:ascii="Times New Roman" w:hAnsi="Times New Roman" w:cs="Times New Roman"/>
          <w:sz w:val="24"/>
          <w:szCs w:val="24"/>
        </w:rPr>
        <w:t xml:space="preserve"> 20.01.00 </w:t>
      </w:r>
      <w:r w:rsidR="0015094C">
        <w:rPr>
          <w:rFonts w:ascii="Times New Roman" w:hAnsi="Times New Roman" w:cs="Times New Roman"/>
          <w:sz w:val="24"/>
          <w:szCs w:val="24"/>
        </w:rPr>
        <w:t>“</w:t>
      </w:r>
      <w:r w:rsidR="00631FAD" w:rsidRPr="469479B5">
        <w:rPr>
          <w:rFonts w:ascii="Times New Roman" w:hAnsi="Times New Roman" w:cs="Times New Roman"/>
          <w:sz w:val="24"/>
          <w:szCs w:val="24"/>
        </w:rPr>
        <w:t>Valsts sociālie pabalsti</w:t>
      </w:r>
      <w:r w:rsidR="0015094C">
        <w:rPr>
          <w:rFonts w:ascii="Times New Roman" w:hAnsi="Times New Roman" w:cs="Times New Roman"/>
          <w:sz w:val="24"/>
          <w:szCs w:val="24"/>
        </w:rPr>
        <w:t>”</w:t>
      </w:r>
      <w:r w:rsidR="00631FAD">
        <w:rPr>
          <w:rFonts w:ascii="Times New Roman" w:hAnsi="Times New Roman" w:cs="Times New Roman"/>
          <w:sz w:val="24"/>
          <w:szCs w:val="24"/>
        </w:rPr>
        <w:t xml:space="preserve"> </w:t>
      </w:r>
      <w:r w:rsidR="3DB71F80" w:rsidRPr="469479B5">
        <w:rPr>
          <w:rFonts w:ascii="Times New Roman" w:hAnsi="Times New Roman" w:cs="Times New Roman"/>
          <w:sz w:val="24"/>
          <w:szCs w:val="24"/>
        </w:rPr>
        <w:t xml:space="preserve">saistīts ar valsts pabalstu 10 </w:t>
      </w:r>
      <w:r w:rsidR="3DB71F80" w:rsidRPr="469479B5">
        <w:rPr>
          <w:rFonts w:ascii="Times New Roman" w:hAnsi="Times New Roman" w:cs="Times New Roman"/>
          <w:i/>
          <w:iCs/>
          <w:sz w:val="24"/>
          <w:szCs w:val="24"/>
        </w:rPr>
        <w:t>euro</w:t>
      </w:r>
      <w:r w:rsidR="3DB71F80" w:rsidRPr="469479B5">
        <w:rPr>
          <w:rFonts w:ascii="Times New Roman" w:hAnsi="Times New Roman" w:cs="Times New Roman"/>
          <w:sz w:val="24"/>
          <w:szCs w:val="24"/>
        </w:rPr>
        <w:t xml:space="preserve">, 20 </w:t>
      </w:r>
      <w:r w:rsidR="3DB71F80" w:rsidRPr="469479B5">
        <w:rPr>
          <w:rFonts w:ascii="Times New Roman" w:hAnsi="Times New Roman" w:cs="Times New Roman"/>
          <w:i/>
          <w:iCs/>
          <w:sz w:val="24"/>
          <w:szCs w:val="24"/>
        </w:rPr>
        <w:t xml:space="preserve">euro </w:t>
      </w:r>
      <w:r w:rsidR="3DB71F80" w:rsidRPr="469479B5">
        <w:rPr>
          <w:rFonts w:ascii="Times New Roman" w:hAnsi="Times New Roman" w:cs="Times New Roman"/>
          <w:sz w:val="24"/>
          <w:szCs w:val="24"/>
        </w:rPr>
        <w:t xml:space="preserve">un 30 </w:t>
      </w:r>
      <w:r w:rsidR="3DB71F80" w:rsidRPr="469479B5">
        <w:rPr>
          <w:rFonts w:ascii="Times New Roman" w:hAnsi="Times New Roman" w:cs="Times New Roman"/>
          <w:i/>
          <w:iCs/>
          <w:sz w:val="24"/>
          <w:szCs w:val="24"/>
        </w:rPr>
        <w:t>euro</w:t>
      </w:r>
      <w:r w:rsidR="3DB71F80" w:rsidRPr="469479B5">
        <w:rPr>
          <w:rFonts w:ascii="Times New Roman" w:hAnsi="Times New Roman" w:cs="Times New Roman"/>
          <w:sz w:val="24"/>
          <w:szCs w:val="24"/>
        </w:rPr>
        <w:t xml:space="preserve"> apmērā izmaksām saskaņā ar Energoresursu cenu ārkārtēja pieauguma samazinājuma pasākumu likuma 8.1</w:t>
      </w:r>
      <w:r w:rsidR="3EA06DEE" w:rsidRPr="469479B5">
        <w:rPr>
          <w:rFonts w:ascii="Times New Roman" w:hAnsi="Times New Roman" w:cs="Times New Roman"/>
          <w:sz w:val="24"/>
          <w:szCs w:val="24"/>
        </w:rPr>
        <w:t xml:space="preserve"> </w:t>
      </w:r>
      <w:r w:rsidR="3DB71F80" w:rsidRPr="469479B5">
        <w:rPr>
          <w:rFonts w:ascii="Times New Roman" w:hAnsi="Times New Roman" w:cs="Times New Roman"/>
          <w:sz w:val="24"/>
          <w:szCs w:val="24"/>
        </w:rPr>
        <w:t xml:space="preserve">pantu (46,9 milj. </w:t>
      </w:r>
      <w:r w:rsidR="3DB71F80" w:rsidRPr="469479B5">
        <w:rPr>
          <w:rFonts w:ascii="Times New Roman" w:hAnsi="Times New Roman" w:cs="Times New Roman"/>
          <w:i/>
          <w:iCs/>
          <w:sz w:val="24"/>
          <w:szCs w:val="24"/>
        </w:rPr>
        <w:t>euro</w:t>
      </w:r>
      <w:r w:rsidR="3DB71F80" w:rsidRPr="469479B5">
        <w:rPr>
          <w:rFonts w:ascii="Times New Roman" w:hAnsi="Times New Roman" w:cs="Times New Roman"/>
          <w:sz w:val="24"/>
          <w:szCs w:val="24"/>
        </w:rPr>
        <w:t>), kuru izmaksu nodrošināšanai saskaņā ar likuma “Par valsts budžetu 2023.</w:t>
      </w:r>
      <w:r w:rsidR="5E98A426" w:rsidRPr="469479B5">
        <w:rPr>
          <w:rFonts w:ascii="Times New Roman" w:hAnsi="Times New Roman" w:cs="Times New Roman"/>
          <w:sz w:val="24"/>
          <w:szCs w:val="24"/>
        </w:rPr>
        <w:t xml:space="preserve"> </w:t>
      </w:r>
      <w:r w:rsidR="3DB71F80" w:rsidRPr="469479B5">
        <w:rPr>
          <w:rFonts w:ascii="Times New Roman" w:hAnsi="Times New Roman" w:cs="Times New Roman"/>
          <w:sz w:val="24"/>
          <w:szCs w:val="24"/>
        </w:rPr>
        <w:t>gadam un budžeta ietvaru 2023., 2024. un 2025.</w:t>
      </w:r>
      <w:r w:rsidR="5E98A426" w:rsidRPr="469479B5">
        <w:rPr>
          <w:rFonts w:ascii="Times New Roman" w:hAnsi="Times New Roman" w:cs="Times New Roman"/>
          <w:sz w:val="24"/>
          <w:szCs w:val="24"/>
        </w:rPr>
        <w:t xml:space="preserve"> </w:t>
      </w:r>
      <w:r w:rsidR="3DB71F80" w:rsidRPr="469479B5">
        <w:rPr>
          <w:rFonts w:ascii="Times New Roman" w:hAnsi="Times New Roman" w:cs="Times New Roman"/>
          <w:sz w:val="24"/>
          <w:szCs w:val="24"/>
        </w:rPr>
        <w:t>gadam” 64.</w:t>
      </w:r>
      <w:r w:rsidR="743328E4" w:rsidRPr="469479B5">
        <w:rPr>
          <w:rFonts w:ascii="Times New Roman" w:hAnsi="Times New Roman" w:cs="Times New Roman"/>
          <w:b/>
          <w:bCs/>
          <w:sz w:val="24"/>
          <w:szCs w:val="24"/>
        </w:rPr>
        <w:t xml:space="preserve"> </w:t>
      </w:r>
      <w:r w:rsidR="3DB71F80" w:rsidRPr="469479B5">
        <w:rPr>
          <w:rFonts w:ascii="Times New Roman" w:hAnsi="Times New Roman" w:cs="Times New Roman"/>
          <w:sz w:val="24"/>
          <w:szCs w:val="24"/>
        </w:rPr>
        <w:t>panta pirmo daļu</w:t>
      </w:r>
      <w:r w:rsidR="0D07B4AE" w:rsidRPr="469479B5">
        <w:rPr>
          <w:rFonts w:ascii="Times New Roman" w:hAnsi="Times New Roman" w:cs="Times New Roman"/>
          <w:sz w:val="24"/>
          <w:szCs w:val="24"/>
        </w:rPr>
        <w:t xml:space="preserve"> veikta pārdale no </w:t>
      </w:r>
      <w:r w:rsidR="57E3D625" w:rsidRPr="469479B5">
        <w:rPr>
          <w:rFonts w:ascii="Times New Roman" w:hAnsi="Times New Roman" w:cs="Times New Roman"/>
          <w:sz w:val="24"/>
          <w:szCs w:val="24"/>
        </w:rPr>
        <w:t xml:space="preserve">valsts </w:t>
      </w:r>
      <w:r w:rsidR="0D07B4AE" w:rsidRPr="469479B5">
        <w:rPr>
          <w:rFonts w:ascii="Times New Roman" w:hAnsi="Times New Roman" w:cs="Times New Roman"/>
          <w:sz w:val="24"/>
          <w:szCs w:val="24"/>
        </w:rPr>
        <w:t xml:space="preserve">budžeta </w:t>
      </w:r>
      <w:r w:rsidR="01A3E12A" w:rsidRPr="469479B5">
        <w:rPr>
          <w:rFonts w:ascii="Times New Roman" w:hAnsi="Times New Roman" w:cs="Times New Roman"/>
          <w:sz w:val="24"/>
          <w:szCs w:val="24"/>
        </w:rPr>
        <w:t xml:space="preserve">74. </w:t>
      </w:r>
      <w:r w:rsidR="0D07B4AE" w:rsidRPr="469479B5">
        <w:rPr>
          <w:rFonts w:ascii="Times New Roman" w:hAnsi="Times New Roman" w:cs="Times New Roman"/>
          <w:sz w:val="24"/>
          <w:szCs w:val="24"/>
        </w:rPr>
        <w:t xml:space="preserve">resora </w:t>
      </w:r>
      <w:r w:rsidR="0015094C">
        <w:rPr>
          <w:rFonts w:ascii="Times New Roman" w:hAnsi="Times New Roman" w:cs="Times New Roman"/>
          <w:sz w:val="24"/>
          <w:szCs w:val="24"/>
        </w:rPr>
        <w:t>“</w:t>
      </w:r>
      <w:r w:rsidR="0D07B4AE" w:rsidRPr="469479B5">
        <w:rPr>
          <w:rFonts w:ascii="Times New Roman" w:hAnsi="Times New Roman" w:cs="Times New Roman"/>
          <w:sz w:val="24"/>
          <w:szCs w:val="24"/>
        </w:rPr>
        <w:t>Gadskārtējā valsts budžeta izpildes procesā pārdalāmais finansējums</w:t>
      </w:r>
      <w:r w:rsidR="0015094C">
        <w:rPr>
          <w:rFonts w:ascii="Times New Roman" w:hAnsi="Times New Roman" w:cs="Times New Roman"/>
          <w:sz w:val="24"/>
          <w:szCs w:val="24"/>
        </w:rPr>
        <w:t>”</w:t>
      </w:r>
      <w:r w:rsidR="0D07B4AE" w:rsidRPr="469479B5">
        <w:rPr>
          <w:rFonts w:ascii="Times New Roman" w:hAnsi="Times New Roman" w:cs="Times New Roman"/>
          <w:sz w:val="24"/>
          <w:szCs w:val="24"/>
        </w:rPr>
        <w:t xml:space="preserve"> programmas</w:t>
      </w:r>
      <w:r w:rsidR="700531F0" w:rsidRPr="469479B5">
        <w:rPr>
          <w:rFonts w:ascii="Times New Roman" w:hAnsi="Times New Roman" w:cs="Times New Roman"/>
          <w:sz w:val="24"/>
          <w:szCs w:val="24"/>
        </w:rPr>
        <w:t>”</w:t>
      </w:r>
      <w:r w:rsidR="0D07B4AE" w:rsidRPr="469479B5">
        <w:rPr>
          <w:rFonts w:ascii="Times New Roman" w:hAnsi="Times New Roman" w:cs="Times New Roman"/>
          <w:sz w:val="24"/>
          <w:szCs w:val="24"/>
        </w:rPr>
        <w:t xml:space="preserve"> 15.</w:t>
      </w:r>
      <w:r w:rsidR="00A1101E">
        <w:rPr>
          <w:rFonts w:ascii="Times New Roman" w:hAnsi="Times New Roman" w:cs="Times New Roman"/>
          <w:sz w:val="24"/>
          <w:szCs w:val="24"/>
        </w:rPr>
        <w:t xml:space="preserve"> </w:t>
      </w:r>
      <w:r w:rsidR="24C616D2" w:rsidRPr="469479B5">
        <w:rPr>
          <w:rFonts w:ascii="Times New Roman" w:hAnsi="Times New Roman" w:cs="Times New Roman"/>
          <w:sz w:val="24"/>
          <w:szCs w:val="24"/>
        </w:rPr>
        <w:t>programmas</w:t>
      </w:r>
      <w:r w:rsidR="0D07B4AE" w:rsidRPr="469479B5">
        <w:rPr>
          <w:rFonts w:ascii="Times New Roman" w:hAnsi="Times New Roman" w:cs="Times New Roman"/>
          <w:sz w:val="24"/>
          <w:szCs w:val="24"/>
        </w:rPr>
        <w:t xml:space="preserve"> </w:t>
      </w:r>
      <w:r w:rsidR="00B80CF7">
        <w:rPr>
          <w:rFonts w:ascii="Times New Roman" w:hAnsi="Times New Roman" w:cs="Times New Roman"/>
          <w:sz w:val="24"/>
          <w:szCs w:val="24"/>
        </w:rPr>
        <w:t>“</w:t>
      </w:r>
      <w:r w:rsidR="0D07B4AE" w:rsidRPr="469479B5">
        <w:rPr>
          <w:rFonts w:ascii="Times New Roman" w:hAnsi="Times New Roman" w:cs="Times New Roman"/>
          <w:sz w:val="24"/>
          <w:szCs w:val="24"/>
        </w:rPr>
        <w:t>Finansējums Energoresursu cenu ārkārtēja pieauguma samazinājuma pasākumu likumā noteikto terminēto atbalsta pasākumu īstenošanai</w:t>
      </w:r>
      <w:r w:rsidR="00B80CF7">
        <w:rPr>
          <w:rFonts w:ascii="Times New Roman" w:hAnsi="Times New Roman" w:cs="Times New Roman"/>
          <w:sz w:val="24"/>
          <w:szCs w:val="24"/>
        </w:rPr>
        <w:t>”</w:t>
      </w:r>
      <w:r w:rsidR="0D07B4AE" w:rsidRPr="469479B5">
        <w:rPr>
          <w:rFonts w:ascii="Times New Roman" w:hAnsi="Times New Roman" w:cs="Times New Roman"/>
          <w:sz w:val="24"/>
          <w:szCs w:val="24"/>
        </w:rPr>
        <w:t xml:space="preserve"> uz </w:t>
      </w:r>
      <w:r w:rsidR="78B72E90" w:rsidRPr="469479B5">
        <w:rPr>
          <w:rFonts w:ascii="Times New Roman" w:hAnsi="Times New Roman" w:cs="Times New Roman"/>
          <w:sz w:val="24"/>
          <w:szCs w:val="24"/>
        </w:rPr>
        <w:t>LM</w:t>
      </w:r>
      <w:r w:rsidR="0D07B4AE" w:rsidRPr="469479B5">
        <w:rPr>
          <w:rFonts w:ascii="Times New Roman" w:hAnsi="Times New Roman" w:cs="Times New Roman"/>
          <w:sz w:val="24"/>
          <w:szCs w:val="24"/>
        </w:rPr>
        <w:t xml:space="preserve"> pamatbudžeta apakšprogrammu 20.01.00 </w:t>
      </w:r>
      <w:r w:rsidR="00B80CF7">
        <w:rPr>
          <w:rFonts w:ascii="Times New Roman" w:hAnsi="Times New Roman" w:cs="Times New Roman"/>
          <w:sz w:val="24"/>
          <w:szCs w:val="24"/>
        </w:rPr>
        <w:t>“</w:t>
      </w:r>
      <w:r w:rsidR="0D07B4AE" w:rsidRPr="469479B5">
        <w:rPr>
          <w:rFonts w:ascii="Times New Roman" w:hAnsi="Times New Roman" w:cs="Times New Roman"/>
          <w:sz w:val="24"/>
          <w:szCs w:val="24"/>
        </w:rPr>
        <w:t>Valsts sociālie pabalsti</w:t>
      </w:r>
      <w:r w:rsidR="00B80CF7">
        <w:rPr>
          <w:rFonts w:ascii="Times New Roman" w:hAnsi="Times New Roman" w:cs="Times New Roman"/>
          <w:sz w:val="24"/>
          <w:szCs w:val="24"/>
        </w:rPr>
        <w:t>”</w:t>
      </w:r>
      <w:r w:rsidR="006C252A" w:rsidRPr="469479B5">
        <w:rPr>
          <w:rStyle w:val="FootnoteReference"/>
          <w:rFonts w:ascii="Times New Roman" w:hAnsi="Times New Roman" w:cs="Times New Roman"/>
          <w:sz w:val="24"/>
          <w:szCs w:val="24"/>
        </w:rPr>
        <w:footnoteReference w:id="10"/>
      </w:r>
      <w:r w:rsidR="3DB71F80" w:rsidRPr="469479B5">
        <w:rPr>
          <w:rFonts w:ascii="Times New Roman" w:hAnsi="Times New Roman" w:cs="Times New Roman"/>
          <w:sz w:val="24"/>
          <w:szCs w:val="24"/>
        </w:rPr>
        <w:t>.</w:t>
      </w:r>
    </w:p>
    <w:p w14:paraId="75EF16CA" w14:textId="0D202D62" w:rsidR="004A6489" w:rsidRPr="00424CD1" w:rsidRDefault="004A6489" w:rsidP="00E252EB">
      <w:pPr>
        <w:spacing w:before="240" w:after="0" w:line="240" w:lineRule="auto"/>
        <w:jc w:val="right"/>
        <w:rPr>
          <w:rFonts w:ascii="Times New Roman" w:eastAsiaTheme="minorHAnsi" w:hAnsi="Times New Roman" w:cs="Times New Roman"/>
          <w:b/>
          <w:sz w:val="24"/>
          <w:szCs w:val="20"/>
        </w:rPr>
      </w:pPr>
      <w:r w:rsidRPr="005963DE">
        <w:rPr>
          <w:rFonts w:ascii="Times New Roman" w:eastAsiaTheme="minorHAnsi" w:hAnsi="Times New Roman" w:cs="Times New Roman"/>
          <w:b/>
          <w:sz w:val="24"/>
          <w:szCs w:val="20"/>
        </w:rPr>
        <w:t>Tabula Nr.</w:t>
      </w:r>
      <w:r w:rsidR="004A682A" w:rsidRPr="005963DE">
        <w:rPr>
          <w:rFonts w:ascii="Times New Roman" w:eastAsiaTheme="minorHAnsi" w:hAnsi="Times New Roman" w:cs="Times New Roman"/>
          <w:b/>
          <w:sz w:val="24"/>
          <w:szCs w:val="20"/>
        </w:rPr>
        <w:t>2.4.1</w:t>
      </w:r>
      <w:r w:rsidR="00893FEA" w:rsidRPr="005963DE">
        <w:rPr>
          <w:rFonts w:ascii="Times New Roman" w:eastAsiaTheme="minorHAnsi" w:hAnsi="Times New Roman" w:cs="Times New Roman"/>
          <w:b/>
          <w:sz w:val="24"/>
          <w:szCs w:val="20"/>
        </w:rPr>
        <w:t xml:space="preserve"> </w:t>
      </w:r>
      <w:r w:rsidRPr="00424CD1">
        <w:rPr>
          <w:rFonts w:ascii="Times New Roman" w:eastAsiaTheme="minorHAnsi" w:hAnsi="Times New Roman" w:cs="Times New Roman"/>
          <w:b/>
          <w:sz w:val="24"/>
          <w:szCs w:val="20"/>
        </w:rPr>
        <w:t>Valsts speciālā</w:t>
      </w:r>
      <w:r w:rsidR="001E3D89" w:rsidRPr="00424CD1">
        <w:rPr>
          <w:rFonts w:ascii="Times New Roman" w:eastAsiaTheme="minorHAnsi" w:hAnsi="Times New Roman" w:cs="Times New Roman"/>
          <w:b/>
          <w:sz w:val="24"/>
          <w:szCs w:val="20"/>
        </w:rPr>
        <w:t xml:space="preserve"> un pamata</w:t>
      </w:r>
      <w:r w:rsidRPr="00424CD1">
        <w:rPr>
          <w:rFonts w:ascii="Times New Roman" w:eastAsiaTheme="minorHAnsi" w:hAnsi="Times New Roman" w:cs="Times New Roman"/>
          <w:b/>
          <w:sz w:val="24"/>
          <w:szCs w:val="20"/>
        </w:rPr>
        <w:t xml:space="preserve"> budžeta izdevumi sociālajiem pabalstiem</w:t>
      </w:r>
    </w:p>
    <w:p w14:paraId="0858C467" w14:textId="57FB2254" w:rsidR="009A02B7" w:rsidRPr="00F442A0" w:rsidRDefault="004A6489" w:rsidP="00F442A0">
      <w:pPr>
        <w:spacing w:line="240" w:lineRule="auto"/>
        <w:jc w:val="right"/>
        <w:rPr>
          <w:rFonts w:ascii="Times New Roman" w:eastAsiaTheme="minorHAnsi" w:hAnsi="Times New Roman" w:cs="Times New Roman"/>
          <w:b/>
          <w:sz w:val="24"/>
          <w:szCs w:val="20"/>
        </w:rPr>
      </w:pPr>
      <w:r w:rsidRPr="00424CD1">
        <w:rPr>
          <w:rFonts w:ascii="Times New Roman" w:eastAsiaTheme="minorHAnsi" w:hAnsi="Times New Roman" w:cs="Times New Roman"/>
          <w:b/>
          <w:sz w:val="24"/>
          <w:szCs w:val="20"/>
        </w:rPr>
        <w:t xml:space="preserve">sadalījumā pa apakšprogrammām, milj. </w:t>
      </w:r>
      <w:r w:rsidRPr="00424CD1">
        <w:rPr>
          <w:rFonts w:ascii="Times New Roman" w:eastAsiaTheme="minorHAnsi" w:hAnsi="Times New Roman" w:cs="Times New Roman"/>
          <w:b/>
          <w:i/>
          <w:sz w:val="24"/>
          <w:szCs w:val="20"/>
        </w:rPr>
        <w:t>euro</w:t>
      </w:r>
      <w:r w:rsidRPr="00424CD1">
        <w:rPr>
          <w:rFonts w:ascii="Times New Roman" w:eastAsiaTheme="minorHAnsi" w:hAnsi="Times New Roman" w:cs="Times New Roman"/>
          <w:b/>
          <w:sz w:val="24"/>
          <w:szCs w:val="20"/>
        </w:rPr>
        <w:t xml:space="preserve"> </w:t>
      </w:r>
    </w:p>
    <w:tbl>
      <w:tblPr>
        <w:tblStyle w:val="GridTable6Colorful-Accent11"/>
        <w:tblW w:w="9590" w:type="dxa"/>
        <w:jc w:val="center"/>
        <w:tblLook w:val="04A0" w:firstRow="1" w:lastRow="0" w:firstColumn="1" w:lastColumn="0" w:noHBand="0" w:noVBand="1"/>
      </w:tblPr>
      <w:tblGrid>
        <w:gridCol w:w="680"/>
        <w:gridCol w:w="1835"/>
        <w:gridCol w:w="811"/>
        <w:gridCol w:w="811"/>
        <w:gridCol w:w="811"/>
        <w:gridCol w:w="736"/>
        <w:gridCol w:w="848"/>
        <w:gridCol w:w="811"/>
        <w:gridCol w:w="736"/>
        <w:gridCol w:w="811"/>
        <w:gridCol w:w="700"/>
      </w:tblGrid>
      <w:tr w:rsidR="00B57D0A" w:rsidRPr="00B57D0A" w14:paraId="071FE413" w14:textId="77777777" w:rsidTr="00E252EB">
        <w:trPr>
          <w:cnfStyle w:val="100000000000" w:firstRow="1" w:lastRow="0" w:firstColumn="0" w:lastColumn="0" w:oddVBand="0" w:evenVBand="0" w:oddHBand="0" w:evenHBand="0" w:firstRowFirstColumn="0" w:firstRowLastColumn="0" w:lastRowFirstColumn="0" w:lastRowLastColumn="0"/>
          <w:trHeight w:val="2465"/>
          <w:tblHeader/>
          <w:jc w:val="center"/>
        </w:trPr>
        <w:tc>
          <w:tcPr>
            <w:cnfStyle w:val="001000000000" w:firstRow="0" w:lastRow="0" w:firstColumn="1" w:lastColumn="0" w:oddVBand="0" w:evenVBand="0" w:oddHBand="0" w:evenHBand="0" w:firstRowFirstColumn="0" w:firstRowLastColumn="0" w:lastRowFirstColumn="0" w:lastRowLastColumn="0"/>
            <w:tcW w:w="0" w:type="dxa"/>
            <w:gridSpan w:val="2"/>
            <w:noWrap/>
            <w:textDirection w:val="btLr"/>
            <w:vAlign w:val="center"/>
            <w:hideMark/>
          </w:tcPr>
          <w:p w14:paraId="40102C8C"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Gads/rādītājs</w:t>
            </w:r>
          </w:p>
        </w:tc>
        <w:tc>
          <w:tcPr>
            <w:tcW w:w="0" w:type="dxa"/>
            <w:textDirection w:val="btLr"/>
            <w:vAlign w:val="center"/>
            <w:hideMark/>
          </w:tcPr>
          <w:p w14:paraId="4789DB44" w14:textId="77777777" w:rsidR="00A676E0" w:rsidRPr="00DC1531" w:rsidRDefault="00A676E0" w:rsidP="00A676E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Militārpersonu pensiju fonds</w:t>
            </w:r>
          </w:p>
        </w:tc>
        <w:tc>
          <w:tcPr>
            <w:tcW w:w="0" w:type="dxa"/>
            <w:textDirection w:val="btLr"/>
            <w:vAlign w:val="center"/>
            <w:hideMark/>
          </w:tcPr>
          <w:p w14:paraId="0EAD8DEE" w14:textId="77777777" w:rsidR="00A676E0" w:rsidRPr="00DC1531" w:rsidRDefault="00A676E0" w:rsidP="00A676E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Izdienas pensijas</w:t>
            </w:r>
          </w:p>
        </w:tc>
        <w:tc>
          <w:tcPr>
            <w:tcW w:w="0" w:type="dxa"/>
            <w:textDirection w:val="btLr"/>
            <w:vAlign w:val="center"/>
            <w:hideMark/>
          </w:tcPr>
          <w:p w14:paraId="332AAF37" w14:textId="77777777" w:rsidR="00A676E0" w:rsidRPr="00DC1531" w:rsidRDefault="00A676E0" w:rsidP="00A676E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Valsts sociālie pabalsti</w:t>
            </w:r>
          </w:p>
        </w:tc>
        <w:tc>
          <w:tcPr>
            <w:tcW w:w="0" w:type="dxa"/>
            <w:textDirection w:val="btLr"/>
            <w:vAlign w:val="center"/>
            <w:hideMark/>
          </w:tcPr>
          <w:p w14:paraId="07909CF6" w14:textId="37E52723" w:rsidR="00A676E0" w:rsidRPr="00DC1531" w:rsidRDefault="00A676E0" w:rsidP="00A676E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Piemaksas pie vecuma un invaliditātes pensijām</w:t>
            </w:r>
            <w:r w:rsidR="0037370C" w:rsidRPr="00DC1531">
              <w:rPr>
                <w:rFonts w:eastAsia="Times New Roman" w:cs="Times New Roman"/>
                <w:color w:val="000000" w:themeColor="text1"/>
                <w:sz w:val="20"/>
                <w:szCs w:val="20"/>
                <w:lang w:eastAsia="lv-LV"/>
              </w:rPr>
              <w:t>*</w:t>
            </w:r>
            <w:r w:rsidRPr="00DC1531">
              <w:rPr>
                <w:rFonts w:eastAsia="Times New Roman" w:cs="Times New Roman"/>
                <w:color w:val="000000" w:themeColor="text1"/>
                <w:sz w:val="20"/>
                <w:szCs w:val="20"/>
                <w:lang w:eastAsia="lv-LV"/>
              </w:rPr>
              <w:t xml:space="preserve"> </w:t>
            </w:r>
          </w:p>
        </w:tc>
        <w:tc>
          <w:tcPr>
            <w:tcW w:w="0" w:type="dxa"/>
            <w:textDirection w:val="btLr"/>
            <w:vAlign w:val="center"/>
            <w:hideMark/>
          </w:tcPr>
          <w:p w14:paraId="51E243E3" w14:textId="77777777" w:rsidR="00A676E0" w:rsidRPr="00DC1531" w:rsidRDefault="00A676E0" w:rsidP="00A676E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Valsts pensiju speciālais budžets</w:t>
            </w:r>
          </w:p>
        </w:tc>
        <w:tc>
          <w:tcPr>
            <w:tcW w:w="0" w:type="dxa"/>
            <w:textDirection w:val="btLr"/>
            <w:vAlign w:val="center"/>
            <w:hideMark/>
          </w:tcPr>
          <w:p w14:paraId="70532FFB" w14:textId="77777777" w:rsidR="00A676E0" w:rsidRPr="00DC1531" w:rsidRDefault="00A676E0" w:rsidP="00A676E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Nodarbinātības speciālais budžets</w:t>
            </w:r>
          </w:p>
        </w:tc>
        <w:tc>
          <w:tcPr>
            <w:tcW w:w="0" w:type="dxa"/>
            <w:textDirection w:val="btLr"/>
            <w:hideMark/>
          </w:tcPr>
          <w:p w14:paraId="4264AC31" w14:textId="77777777" w:rsidR="00A676E0" w:rsidRPr="00DC1531" w:rsidRDefault="00A676E0" w:rsidP="00A676E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Darba negadījumu speciālais budžets</w:t>
            </w:r>
          </w:p>
        </w:tc>
        <w:tc>
          <w:tcPr>
            <w:tcW w:w="0" w:type="dxa"/>
            <w:textDirection w:val="btLr"/>
            <w:hideMark/>
          </w:tcPr>
          <w:p w14:paraId="2B2E9EF5" w14:textId="77777777" w:rsidR="00A676E0" w:rsidRPr="00DC1531" w:rsidRDefault="00A676E0" w:rsidP="000539A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Invaliditātes, maternitātes un slimības speciālais budžets</w:t>
            </w:r>
          </w:p>
        </w:tc>
        <w:tc>
          <w:tcPr>
            <w:tcW w:w="0" w:type="dxa"/>
            <w:textDirection w:val="btLr"/>
            <w:vAlign w:val="center"/>
            <w:hideMark/>
          </w:tcPr>
          <w:p w14:paraId="3694D799" w14:textId="77777777" w:rsidR="00A676E0" w:rsidRPr="00DC1531" w:rsidRDefault="00A676E0" w:rsidP="00A676E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Vidējā izpilde gadā</w:t>
            </w:r>
          </w:p>
        </w:tc>
      </w:tr>
      <w:tr w:rsidR="00715D05" w:rsidRPr="00B57D0A" w14:paraId="6FBEC379"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noWrap/>
            <w:vAlign w:val="center"/>
            <w:hideMark/>
          </w:tcPr>
          <w:p w14:paraId="6D7D580F"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2014</w:t>
            </w:r>
          </w:p>
        </w:tc>
        <w:tc>
          <w:tcPr>
            <w:tcW w:w="1814" w:type="dxa"/>
            <w:vAlign w:val="center"/>
            <w:hideMark/>
          </w:tcPr>
          <w:p w14:paraId="7CA82943"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5A43EC3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11,5</w:t>
            </w:r>
          </w:p>
        </w:tc>
        <w:tc>
          <w:tcPr>
            <w:tcW w:w="802" w:type="dxa"/>
            <w:vAlign w:val="center"/>
            <w:hideMark/>
          </w:tcPr>
          <w:p w14:paraId="7ACAFEE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31,1</w:t>
            </w:r>
          </w:p>
        </w:tc>
        <w:tc>
          <w:tcPr>
            <w:tcW w:w="802" w:type="dxa"/>
            <w:vAlign w:val="center"/>
            <w:hideMark/>
          </w:tcPr>
          <w:p w14:paraId="58A2ECB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171,4</w:t>
            </w:r>
          </w:p>
        </w:tc>
        <w:tc>
          <w:tcPr>
            <w:tcW w:w="728" w:type="dxa"/>
            <w:vAlign w:val="center"/>
            <w:hideMark/>
          </w:tcPr>
          <w:p w14:paraId="7D5F226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180,7</w:t>
            </w:r>
          </w:p>
        </w:tc>
        <w:tc>
          <w:tcPr>
            <w:tcW w:w="838" w:type="dxa"/>
            <w:noWrap/>
            <w:vAlign w:val="center"/>
            <w:hideMark/>
          </w:tcPr>
          <w:p w14:paraId="45B8D7E3"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1632,6</w:t>
            </w:r>
          </w:p>
        </w:tc>
        <w:tc>
          <w:tcPr>
            <w:tcW w:w="802" w:type="dxa"/>
            <w:noWrap/>
            <w:vAlign w:val="center"/>
            <w:hideMark/>
          </w:tcPr>
          <w:p w14:paraId="5F3EF81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71,4</w:t>
            </w:r>
          </w:p>
        </w:tc>
        <w:tc>
          <w:tcPr>
            <w:tcW w:w="728" w:type="dxa"/>
            <w:noWrap/>
            <w:vAlign w:val="center"/>
            <w:hideMark/>
          </w:tcPr>
          <w:p w14:paraId="0DC0F91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24,7</w:t>
            </w:r>
          </w:p>
        </w:tc>
        <w:tc>
          <w:tcPr>
            <w:tcW w:w="802" w:type="dxa"/>
            <w:noWrap/>
            <w:vAlign w:val="center"/>
            <w:hideMark/>
          </w:tcPr>
          <w:p w14:paraId="3F2042D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322,9</w:t>
            </w:r>
          </w:p>
        </w:tc>
        <w:tc>
          <w:tcPr>
            <w:tcW w:w="692" w:type="dxa"/>
            <w:vMerge w:val="restart"/>
            <w:noWrap/>
            <w:vAlign w:val="center"/>
            <w:hideMark/>
          </w:tcPr>
          <w:p w14:paraId="53B206E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Cs w:val="24"/>
                <w:lang w:eastAsia="lv-LV"/>
              </w:rPr>
            </w:pPr>
            <w:r w:rsidRPr="00DC1531">
              <w:rPr>
                <w:rFonts w:ascii="Calibri" w:eastAsia="Times New Roman" w:hAnsi="Calibri" w:cs="Calibri"/>
                <w:color w:val="000000" w:themeColor="text1"/>
                <w:szCs w:val="24"/>
                <w:lang w:eastAsia="lv-LV"/>
              </w:rPr>
              <w:t> </w:t>
            </w:r>
          </w:p>
        </w:tc>
      </w:tr>
      <w:tr w:rsidR="00B57D0A" w:rsidRPr="00B57D0A" w14:paraId="56263095" w14:textId="77777777" w:rsidTr="003B0BAF">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045DDBB7"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1FC2BE8B"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0D14A3C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10,7</w:t>
            </w:r>
          </w:p>
        </w:tc>
        <w:tc>
          <w:tcPr>
            <w:tcW w:w="802" w:type="dxa"/>
            <w:vAlign w:val="center"/>
            <w:hideMark/>
          </w:tcPr>
          <w:p w14:paraId="6BDBD57E"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28,9</w:t>
            </w:r>
          </w:p>
        </w:tc>
        <w:tc>
          <w:tcPr>
            <w:tcW w:w="802" w:type="dxa"/>
            <w:vAlign w:val="center"/>
            <w:hideMark/>
          </w:tcPr>
          <w:p w14:paraId="6B9A388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170,9</w:t>
            </w:r>
          </w:p>
        </w:tc>
        <w:tc>
          <w:tcPr>
            <w:tcW w:w="728" w:type="dxa"/>
            <w:vAlign w:val="center"/>
            <w:hideMark/>
          </w:tcPr>
          <w:p w14:paraId="1678B479"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180,7</w:t>
            </w:r>
          </w:p>
        </w:tc>
        <w:tc>
          <w:tcPr>
            <w:tcW w:w="838" w:type="dxa"/>
            <w:noWrap/>
            <w:vAlign w:val="center"/>
            <w:hideMark/>
          </w:tcPr>
          <w:p w14:paraId="2FB0367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1645,4</w:t>
            </w:r>
          </w:p>
        </w:tc>
        <w:tc>
          <w:tcPr>
            <w:tcW w:w="802" w:type="dxa"/>
            <w:noWrap/>
            <w:vAlign w:val="center"/>
            <w:hideMark/>
          </w:tcPr>
          <w:p w14:paraId="16252E2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85,3</w:t>
            </w:r>
          </w:p>
        </w:tc>
        <w:tc>
          <w:tcPr>
            <w:tcW w:w="728" w:type="dxa"/>
            <w:noWrap/>
            <w:vAlign w:val="center"/>
            <w:hideMark/>
          </w:tcPr>
          <w:p w14:paraId="2B690C67"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26,6</w:t>
            </w:r>
          </w:p>
        </w:tc>
        <w:tc>
          <w:tcPr>
            <w:tcW w:w="802" w:type="dxa"/>
            <w:noWrap/>
            <w:vAlign w:val="center"/>
            <w:hideMark/>
          </w:tcPr>
          <w:p w14:paraId="780D8AA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341,7</w:t>
            </w:r>
          </w:p>
        </w:tc>
        <w:tc>
          <w:tcPr>
            <w:tcW w:w="692" w:type="dxa"/>
            <w:vMerge/>
            <w:vAlign w:val="center"/>
            <w:hideMark/>
          </w:tcPr>
          <w:p w14:paraId="3A8D348F"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Cs w:val="24"/>
                <w:lang w:eastAsia="lv-LV"/>
              </w:rPr>
            </w:pPr>
          </w:p>
        </w:tc>
      </w:tr>
      <w:tr w:rsidR="00715D05" w:rsidRPr="00B57D0A" w14:paraId="651FECA0"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1222ADC8"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5771897A"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vAlign w:val="center"/>
            <w:hideMark/>
          </w:tcPr>
          <w:p w14:paraId="39B3F38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-7,8%</w:t>
            </w:r>
          </w:p>
        </w:tc>
        <w:tc>
          <w:tcPr>
            <w:tcW w:w="802" w:type="dxa"/>
            <w:vAlign w:val="center"/>
            <w:hideMark/>
          </w:tcPr>
          <w:p w14:paraId="47922C3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-7,2%</w:t>
            </w:r>
          </w:p>
        </w:tc>
        <w:tc>
          <w:tcPr>
            <w:tcW w:w="802" w:type="dxa"/>
            <w:vAlign w:val="center"/>
            <w:hideMark/>
          </w:tcPr>
          <w:p w14:paraId="4DB7910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-0,3%</w:t>
            </w:r>
          </w:p>
        </w:tc>
        <w:tc>
          <w:tcPr>
            <w:tcW w:w="728" w:type="dxa"/>
            <w:vAlign w:val="center"/>
            <w:hideMark/>
          </w:tcPr>
          <w:p w14:paraId="164378DC"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0,0%</w:t>
            </w:r>
          </w:p>
        </w:tc>
        <w:tc>
          <w:tcPr>
            <w:tcW w:w="838" w:type="dxa"/>
            <w:vAlign w:val="center"/>
            <w:hideMark/>
          </w:tcPr>
          <w:p w14:paraId="3580560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0,8%</w:t>
            </w:r>
          </w:p>
        </w:tc>
        <w:tc>
          <w:tcPr>
            <w:tcW w:w="802" w:type="dxa"/>
            <w:vAlign w:val="center"/>
            <w:hideMark/>
          </w:tcPr>
          <w:p w14:paraId="1772318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19,6%</w:t>
            </w:r>
          </w:p>
        </w:tc>
        <w:tc>
          <w:tcPr>
            <w:tcW w:w="728" w:type="dxa"/>
            <w:vAlign w:val="center"/>
            <w:hideMark/>
          </w:tcPr>
          <w:p w14:paraId="12E2C4BD"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7,9%</w:t>
            </w:r>
          </w:p>
        </w:tc>
        <w:tc>
          <w:tcPr>
            <w:tcW w:w="802" w:type="dxa"/>
            <w:vAlign w:val="center"/>
            <w:hideMark/>
          </w:tcPr>
          <w:p w14:paraId="20A23F1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5,8%</w:t>
            </w:r>
          </w:p>
        </w:tc>
        <w:tc>
          <w:tcPr>
            <w:tcW w:w="692" w:type="dxa"/>
            <w:noWrap/>
            <w:vAlign w:val="center"/>
            <w:hideMark/>
          </w:tcPr>
          <w:p w14:paraId="0B5AD9DB" w14:textId="62A8F90F"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w:t>
            </w:r>
            <w:r w:rsidR="009A02B7" w:rsidRPr="00DC1531">
              <w:rPr>
                <w:rFonts w:eastAsia="Times New Roman" w:cs="Times New Roman"/>
                <w:i/>
                <w:iCs/>
                <w:color w:val="000000" w:themeColor="text1"/>
                <w:sz w:val="20"/>
                <w:szCs w:val="20"/>
                <w:lang w:eastAsia="lv-LV"/>
              </w:rPr>
              <w:t>9</w:t>
            </w:r>
            <w:r w:rsidRPr="00DC1531">
              <w:rPr>
                <w:rFonts w:eastAsia="Times New Roman" w:cs="Times New Roman"/>
                <w:i/>
                <w:iCs/>
                <w:color w:val="000000" w:themeColor="text1"/>
                <w:sz w:val="20"/>
                <w:szCs w:val="20"/>
                <w:lang w:eastAsia="lv-LV"/>
              </w:rPr>
              <w:t>%</w:t>
            </w:r>
          </w:p>
        </w:tc>
      </w:tr>
      <w:tr w:rsidR="00B57D0A" w:rsidRPr="00B57D0A" w14:paraId="1576B694" w14:textId="77777777" w:rsidTr="000539A1">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noWrap/>
            <w:vAlign w:val="center"/>
            <w:hideMark/>
          </w:tcPr>
          <w:p w14:paraId="1F4963AB"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2015</w:t>
            </w:r>
          </w:p>
        </w:tc>
        <w:tc>
          <w:tcPr>
            <w:tcW w:w="1814" w:type="dxa"/>
            <w:vAlign w:val="center"/>
            <w:hideMark/>
          </w:tcPr>
          <w:p w14:paraId="5D8160A0"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4764BB3B"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13,5</w:t>
            </w:r>
          </w:p>
        </w:tc>
        <w:tc>
          <w:tcPr>
            <w:tcW w:w="802" w:type="dxa"/>
            <w:vAlign w:val="center"/>
            <w:hideMark/>
          </w:tcPr>
          <w:p w14:paraId="7E6FAFDB"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32,4</w:t>
            </w:r>
          </w:p>
        </w:tc>
        <w:tc>
          <w:tcPr>
            <w:tcW w:w="802" w:type="dxa"/>
            <w:vAlign w:val="center"/>
            <w:hideMark/>
          </w:tcPr>
          <w:p w14:paraId="1DBA5434"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234,4</w:t>
            </w:r>
          </w:p>
        </w:tc>
        <w:tc>
          <w:tcPr>
            <w:tcW w:w="728" w:type="dxa"/>
            <w:vAlign w:val="center"/>
            <w:hideMark/>
          </w:tcPr>
          <w:p w14:paraId="103D1B3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173,7</w:t>
            </w:r>
          </w:p>
        </w:tc>
        <w:tc>
          <w:tcPr>
            <w:tcW w:w="838" w:type="dxa"/>
            <w:noWrap/>
            <w:vAlign w:val="center"/>
            <w:hideMark/>
          </w:tcPr>
          <w:p w14:paraId="134AF6E3"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1641,8</w:t>
            </w:r>
          </w:p>
        </w:tc>
        <w:tc>
          <w:tcPr>
            <w:tcW w:w="802" w:type="dxa"/>
            <w:noWrap/>
            <w:vAlign w:val="center"/>
            <w:hideMark/>
          </w:tcPr>
          <w:p w14:paraId="3DEE226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97,3</w:t>
            </w:r>
          </w:p>
        </w:tc>
        <w:tc>
          <w:tcPr>
            <w:tcW w:w="728" w:type="dxa"/>
            <w:noWrap/>
            <w:vAlign w:val="center"/>
            <w:hideMark/>
          </w:tcPr>
          <w:p w14:paraId="73A9BAC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29,2</w:t>
            </w:r>
          </w:p>
        </w:tc>
        <w:tc>
          <w:tcPr>
            <w:tcW w:w="802" w:type="dxa"/>
            <w:noWrap/>
            <w:vAlign w:val="center"/>
            <w:hideMark/>
          </w:tcPr>
          <w:p w14:paraId="516E5DF2"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355,0</w:t>
            </w:r>
          </w:p>
        </w:tc>
        <w:tc>
          <w:tcPr>
            <w:tcW w:w="692" w:type="dxa"/>
            <w:vMerge w:val="restart"/>
            <w:noWrap/>
            <w:vAlign w:val="center"/>
            <w:hideMark/>
          </w:tcPr>
          <w:p w14:paraId="1216F30B"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715D05" w:rsidRPr="00B57D0A" w14:paraId="6EA63163"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06470D7B"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6EDCE69F"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2B8851C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10,9</w:t>
            </w:r>
          </w:p>
        </w:tc>
        <w:tc>
          <w:tcPr>
            <w:tcW w:w="802" w:type="dxa"/>
            <w:vAlign w:val="center"/>
            <w:hideMark/>
          </w:tcPr>
          <w:p w14:paraId="27B62E6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30,6</w:t>
            </w:r>
          </w:p>
        </w:tc>
        <w:tc>
          <w:tcPr>
            <w:tcW w:w="802" w:type="dxa"/>
            <w:vAlign w:val="center"/>
            <w:hideMark/>
          </w:tcPr>
          <w:p w14:paraId="131F5A4C"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229,5</w:t>
            </w:r>
          </w:p>
        </w:tc>
        <w:tc>
          <w:tcPr>
            <w:tcW w:w="728" w:type="dxa"/>
            <w:vAlign w:val="center"/>
            <w:hideMark/>
          </w:tcPr>
          <w:p w14:paraId="34D7DB8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170,7</w:t>
            </w:r>
          </w:p>
        </w:tc>
        <w:tc>
          <w:tcPr>
            <w:tcW w:w="838" w:type="dxa"/>
            <w:noWrap/>
            <w:vAlign w:val="center"/>
            <w:hideMark/>
          </w:tcPr>
          <w:p w14:paraId="580D42D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1660,9</w:t>
            </w:r>
          </w:p>
        </w:tc>
        <w:tc>
          <w:tcPr>
            <w:tcW w:w="802" w:type="dxa"/>
            <w:noWrap/>
            <w:vAlign w:val="center"/>
            <w:hideMark/>
          </w:tcPr>
          <w:p w14:paraId="0FCA6E4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102,3</w:t>
            </w:r>
          </w:p>
        </w:tc>
        <w:tc>
          <w:tcPr>
            <w:tcW w:w="728" w:type="dxa"/>
            <w:noWrap/>
            <w:vAlign w:val="center"/>
            <w:hideMark/>
          </w:tcPr>
          <w:p w14:paraId="63F46AE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29,5</w:t>
            </w:r>
          </w:p>
        </w:tc>
        <w:tc>
          <w:tcPr>
            <w:tcW w:w="802" w:type="dxa"/>
            <w:noWrap/>
            <w:vAlign w:val="center"/>
            <w:hideMark/>
          </w:tcPr>
          <w:p w14:paraId="32B6486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386,8</w:t>
            </w:r>
          </w:p>
        </w:tc>
        <w:tc>
          <w:tcPr>
            <w:tcW w:w="692" w:type="dxa"/>
            <w:vMerge/>
            <w:vAlign w:val="center"/>
            <w:hideMark/>
          </w:tcPr>
          <w:p w14:paraId="1605915C"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p>
        </w:tc>
      </w:tr>
      <w:tr w:rsidR="00B57D0A" w:rsidRPr="00B57D0A" w14:paraId="2EE6371F" w14:textId="77777777" w:rsidTr="003B0BAF">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78C1A14A"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37559DAD"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vAlign w:val="center"/>
            <w:hideMark/>
          </w:tcPr>
          <w:p w14:paraId="6A8ED12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-18,8%</w:t>
            </w:r>
          </w:p>
        </w:tc>
        <w:tc>
          <w:tcPr>
            <w:tcW w:w="802" w:type="dxa"/>
            <w:vAlign w:val="center"/>
            <w:hideMark/>
          </w:tcPr>
          <w:p w14:paraId="03FBE207"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-5,6%</w:t>
            </w:r>
          </w:p>
        </w:tc>
        <w:tc>
          <w:tcPr>
            <w:tcW w:w="802" w:type="dxa"/>
            <w:vAlign w:val="center"/>
            <w:hideMark/>
          </w:tcPr>
          <w:p w14:paraId="711AD3D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-2,1%</w:t>
            </w:r>
          </w:p>
        </w:tc>
        <w:tc>
          <w:tcPr>
            <w:tcW w:w="728" w:type="dxa"/>
            <w:vAlign w:val="center"/>
            <w:hideMark/>
          </w:tcPr>
          <w:p w14:paraId="2D3F0E1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-1,8%</w:t>
            </w:r>
          </w:p>
        </w:tc>
        <w:tc>
          <w:tcPr>
            <w:tcW w:w="838" w:type="dxa"/>
            <w:vAlign w:val="center"/>
            <w:hideMark/>
          </w:tcPr>
          <w:p w14:paraId="670C80C3"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1,2%</w:t>
            </w:r>
          </w:p>
        </w:tc>
        <w:tc>
          <w:tcPr>
            <w:tcW w:w="802" w:type="dxa"/>
            <w:vAlign w:val="center"/>
            <w:hideMark/>
          </w:tcPr>
          <w:p w14:paraId="65B4B512"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5,1%</w:t>
            </w:r>
          </w:p>
        </w:tc>
        <w:tc>
          <w:tcPr>
            <w:tcW w:w="728" w:type="dxa"/>
            <w:vAlign w:val="center"/>
            <w:hideMark/>
          </w:tcPr>
          <w:p w14:paraId="6093538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1,1%</w:t>
            </w:r>
          </w:p>
        </w:tc>
        <w:tc>
          <w:tcPr>
            <w:tcW w:w="802" w:type="dxa"/>
            <w:vAlign w:val="center"/>
            <w:hideMark/>
          </w:tcPr>
          <w:p w14:paraId="0EF8094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8,9%</w:t>
            </w:r>
          </w:p>
        </w:tc>
        <w:tc>
          <w:tcPr>
            <w:tcW w:w="692" w:type="dxa"/>
            <w:noWrap/>
            <w:vAlign w:val="center"/>
            <w:hideMark/>
          </w:tcPr>
          <w:p w14:paraId="5C89D611" w14:textId="4F8C7C74"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w:t>
            </w:r>
            <w:r w:rsidR="009A02B7" w:rsidRPr="00DC1531">
              <w:rPr>
                <w:rFonts w:eastAsia="Times New Roman" w:cs="Times New Roman"/>
                <w:i/>
                <w:iCs/>
                <w:color w:val="000000" w:themeColor="text1"/>
                <w:sz w:val="20"/>
                <w:szCs w:val="20"/>
                <w:lang w:eastAsia="lv-LV"/>
              </w:rPr>
              <w:t>9</w:t>
            </w:r>
            <w:r w:rsidRPr="00DC1531">
              <w:rPr>
                <w:rFonts w:eastAsia="Times New Roman" w:cs="Times New Roman"/>
                <w:i/>
                <w:iCs/>
                <w:color w:val="000000" w:themeColor="text1"/>
                <w:sz w:val="20"/>
                <w:szCs w:val="20"/>
                <w:lang w:eastAsia="lv-LV"/>
              </w:rPr>
              <w:t>%</w:t>
            </w:r>
          </w:p>
        </w:tc>
      </w:tr>
      <w:tr w:rsidR="00715D05" w:rsidRPr="00B57D0A" w14:paraId="1BD12E66"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noWrap/>
            <w:vAlign w:val="center"/>
            <w:hideMark/>
          </w:tcPr>
          <w:p w14:paraId="50DD7E25"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2016</w:t>
            </w:r>
          </w:p>
        </w:tc>
        <w:tc>
          <w:tcPr>
            <w:tcW w:w="1814" w:type="dxa"/>
            <w:vAlign w:val="center"/>
            <w:hideMark/>
          </w:tcPr>
          <w:p w14:paraId="5C3D4222"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351EF36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13,5</w:t>
            </w:r>
          </w:p>
        </w:tc>
        <w:tc>
          <w:tcPr>
            <w:tcW w:w="802" w:type="dxa"/>
            <w:vAlign w:val="center"/>
            <w:hideMark/>
          </w:tcPr>
          <w:p w14:paraId="7F6BD90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35,4</w:t>
            </w:r>
          </w:p>
        </w:tc>
        <w:tc>
          <w:tcPr>
            <w:tcW w:w="802" w:type="dxa"/>
            <w:vAlign w:val="center"/>
            <w:hideMark/>
          </w:tcPr>
          <w:p w14:paraId="6772E1D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246,9</w:t>
            </w:r>
          </w:p>
        </w:tc>
        <w:tc>
          <w:tcPr>
            <w:tcW w:w="728" w:type="dxa"/>
            <w:vAlign w:val="center"/>
            <w:hideMark/>
          </w:tcPr>
          <w:p w14:paraId="3D4F341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163,4</w:t>
            </w:r>
          </w:p>
        </w:tc>
        <w:tc>
          <w:tcPr>
            <w:tcW w:w="838" w:type="dxa"/>
            <w:noWrap/>
            <w:vAlign w:val="center"/>
            <w:hideMark/>
          </w:tcPr>
          <w:p w14:paraId="228E7D00"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1689,4</w:t>
            </w:r>
          </w:p>
        </w:tc>
        <w:tc>
          <w:tcPr>
            <w:tcW w:w="802" w:type="dxa"/>
            <w:noWrap/>
            <w:vAlign w:val="center"/>
            <w:hideMark/>
          </w:tcPr>
          <w:p w14:paraId="4F5E1B4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102,3</w:t>
            </w:r>
          </w:p>
        </w:tc>
        <w:tc>
          <w:tcPr>
            <w:tcW w:w="728" w:type="dxa"/>
            <w:noWrap/>
            <w:vAlign w:val="center"/>
            <w:hideMark/>
          </w:tcPr>
          <w:p w14:paraId="6849480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31,1</w:t>
            </w:r>
          </w:p>
        </w:tc>
        <w:tc>
          <w:tcPr>
            <w:tcW w:w="802" w:type="dxa"/>
            <w:noWrap/>
            <w:vAlign w:val="center"/>
            <w:hideMark/>
          </w:tcPr>
          <w:p w14:paraId="5E5E5C6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396,3</w:t>
            </w:r>
          </w:p>
        </w:tc>
        <w:tc>
          <w:tcPr>
            <w:tcW w:w="692" w:type="dxa"/>
            <w:vMerge w:val="restart"/>
            <w:noWrap/>
            <w:vAlign w:val="center"/>
            <w:hideMark/>
          </w:tcPr>
          <w:p w14:paraId="650C16BD"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B57D0A" w:rsidRPr="00B57D0A" w14:paraId="3D91326D" w14:textId="77777777" w:rsidTr="003B0BAF">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42EDBB72"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353CEDB0"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7D775AA4"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11,1</w:t>
            </w:r>
          </w:p>
        </w:tc>
        <w:tc>
          <w:tcPr>
            <w:tcW w:w="802" w:type="dxa"/>
            <w:vAlign w:val="center"/>
            <w:hideMark/>
          </w:tcPr>
          <w:p w14:paraId="66DD4062"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34,0</w:t>
            </w:r>
          </w:p>
        </w:tc>
        <w:tc>
          <w:tcPr>
            <w:tcW w:w="802" w:type="dxa"/>
            <w:vAlign w:val="center"/>
            <w:hideMark/>
          </w:tcPr>
          <w:p w14:paraId="50FBE4B7"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239,8</w:t>
            </w:r>
          </w:p>
        </w:tc>
        <w:tc>
          <w:tcPr>
            <w:tcW w:w="728" w:type="dxa"/>
            <w:vAlign w:val="center"/>
            <w:hideMark/>
          </w:tcPr>
          <w:p w14:paraId="6A8216A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159,8</w:t>
            </w:r>
          </w:p>
        </w:tc>
        <w:tc>
          <w:tcPr>
            <w:tcW w:w="838" w:type="dxa"/>
            <w:noWrap/>
            <w:vAlign w:val="center"/>
            <w:hideMark/>
          </w:tcPr>
          <w:p w14:paraId="1BABB3CD"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1687,0</w:t>
            </w:r>
          </w:p>
        </w:tc>
        <w:tc>
          <w:tcPr>
            <w:tcW w:w="802" w:type="dxa"/>
            <w:noWrap/>
            <w:vAlign w:val="center"/>
            <w:hideMark/>
          </w:tcPr>
          <w:p w14:paraId="251D7C9E"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116,5</w:t>
            </w:r>
          </w:p>
        </w:tc>
        <w:tc>
          <w:tcPr>
            <w:tcW w:w="728" w:type="dxa"/>
            <w:noWrap/>
            <w:vAlign w:val="center"/>
            <w:hideMark/>
          </w:tcPr>
          <w:p w14:paraId="77427543"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32,8</w:t>
            </w:r>
          </w:p>
        </w:tc>
        <w:tc>
          <w:tcPr>
            <w:tcW w:w="802" w:type="dxa"/>
            <w:noWrap/>
            <w:vAlign w:val="center"/>
            <w:hideMark/>
          </w:tcPr>
          <w:p w14:paraId="4B99909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431,1</w:t>
            </w:r>
          </w:p>
        </w:tc>
        <w:tc>
          <w:tcPr>
            <w:tcW w:w="692" w:type="dxa"/>
            <w:vMerge/>
            <w:vAlign w:val="center"/>
            <w:hideMark/>
          </w:tcPr>
          <w:p w14:paraId="5D4BBCA7"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p>
        </w:tc>
      </w:tr>
      <w:tr w:rsidR="00715D05" w:rsidRPr="00B57D0A" w14:paraId="7F8A9CD8"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06485EAF"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2165264F"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vAlign w:val="center"/>
            <w:hideMark/>
          </w:tcPr>
          <w:p w14:paraId="407B6A2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-17,6%</w:t>
            </w:r>
          </w:p>
        </w:tc>
        <w:tc>
          <w:tcPr>
            <w:tcW w:w="802" w:type="dxa"/>
            <w:vAlign w:val="center"/>
            <w:hideMark/>
          </w:tcPr>
          <w:p w14:paraId="59A468FB"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-3,9%</w:t>
            </w:r>
          </w:p>
        </w:tc>
        <w:tc>
          <w:tcPr>
            <w:tcW w:w="802" w:type="dxa"/>
            <w:vAlign w:val="center"/>
            <w:hideMark/>
          </w:tcPr>
          <w:p w14:paraId="135C46F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-2,9%</w:t>
            </w:r>
          </w:p>
        </w:tc>
        <w:tc>
          <w:tcPr>
            <w:tcW w:w="728" w:type="dxa"/>
            <w:vAlign w:val="center"/>
            <w:hideMark/>
          </w:tcPr>
          <w:p w14:paraId="561B4D24"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-2,2%</w:t>
            </w:r>
          </w:p>
        </w:tc>
        <w:tc>
          <w:tcPr>
            <w:tcW w:w="838" w:type="dxa"/>
            <w:vAlign w:val="center"/>
            <w:hideMark/>
          </w:tcPr>
          <w:p w14:paraId="706B4EF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-0,1%</w:t>
            </w:r>
          </w:p>
        </w:tc>
        <w:tc>
          <w:tcPr>
            <w:tcW w:w="802" w:type="dxa"/>
            <w:vAlign w:val="center"/>
            <w:hideMark/>
          </w:tcPr>
          <w:p w14:paraId="5FC25C3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13,9%</w:t>
            </w:r>
          </w:p>
        </w:tc>
        <w:tc>
          <w:tcPr>
            <w:tcW w:w="728" w:type="dxa"/>
            <w:vAlign w:val="center"/>
            <w:hideMark/>
          </w:tcPr>
          <w:p w14:paraId="3E5859DC"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5,4%</w:t>
            </w:r>
          </w:p>
        </w:tc>
        <w:tc>
          <w:tcPr>
            <w:tcW w:w="802" w:type="dxa"/>
            <w:vAlign w:val="center"/>
            <w:hideMark/>
          </w:tcPr>
          <w:p w14:paraId="5E7C296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8,8%</w:t>
            </w:r>
          </w:p>
        </w:tc>
        <w:tc>
          <w:tcPr>
            <w:tcW w:w="692" w:type="dxa"/>
            <w:noWrap/>
            <w:vAlign w:val="center"/>
            <w:hideMark/>
          </w:tcPr>
          <w:p w14:paraId="5C4C73FC" w14:textId="6A2B6F24"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w:t>
            </w:r>
            <w:r w:rsidR="009A02B7" w:rsidRPr="00DC1531">
              <w:rPr>
                <w:rFonts w:eastAsia="Times New Roman" w:cs="Times New Roman"/>
                <w:i/>
                <w:iCs/>
                <w:color w:val="000000" w:themeColor="text1"/>
                <w:sz w:val="20"/>
                <w:szCs w:val="20"/>
                <w:lang w:eastAsia="lv-LV"/>
              </w:rPr>
              <w:t>5</w:t>
            </w:r>
            <w:r w:rsidRPr="00DC1531">
              <w:rPr>
                <w:rFonts w:eastAsia="Times New Roman" w:cs="Times New Roman"/>
                <w:i/>
                <w:iCs/>
                <w:color w:val="000000" w:themeColor="text1"/>
                <w:sz w:val="20"/>
                <w:szCs w:val="20"/>
                <w:lang w:eastAsia="lv-LV"/>
              </w:rPr>
              <w:t>%</w:t>
            </w:r>
          </w:p>
        </w:tc>
      </w:tr>
      <w:tr w:rsidR="00B57D0A" w:rsidRPr="00B57D0A" w14:paraId="6EBF6423" w14:textId="77777777" w:rsidTr="000539A1">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hideMark/>
          </w:tcPr>
          <w:p w14:paraId="370A4C82"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2017</w:t>
            </w:r>
          </w:p>
        </w:tc>
        <w:tc>
          <w:tcPr>
            <w:tcW w:w="1814" w:type="dxa"/>
            <w:vAlign w:val="center"/>
            <w:hideMark/>
          </w:tcPr>
          <w:p w14:paraId="2125DAE4"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444B112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11,7</w:t>
            </w:r>
          </w:p>
        </w:tc>
        <w:tc>
          <w:tcPr>
            <w:tcW w:w="802" w:type="dxa"/>
            <w:vAlign w:val="center"/>
            <w:hideMark/>
          </w:tcPr>
          <w:p w14:paraId="0EDCF097"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36,7</w:t>
            </w:r>
          </w:p>
        </w:tc>
        <w:tc>
          <w:tcPr>
            <w:tcW w:w="802" w:type="dxa"/>
            <w:vAlign w:val="center"/>
            <w:hideMark/>
          </w:tcPr>
          <w:p w14:paraId="4D067CEA"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257,9</w:t>
            </w:r>
          </w:p>
        </w:tc>
        <w:tc>
          <w:tcPr>
            <w:tcW w:w="728" w:type="dxa"/>
            <w:vAlign w:val="center"/>
            <w:hideMark/>
          </w:tcPr>
          <w:p w14:paraId="0CF2EF5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150,3</w:t>
            </w:r>
          </w:p>
        </w:tc>
        <w:tc>
          <w:tcPr>
            <w:tcW w:w="838" w:type="dxa"/>
            <w:noWrap/>
            <w:vAlign w:val="center"/>
            <w:hideMark/>
          </w:tcPr>
          <w:p w14:paraId="5ED5416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1756,9</w:t>
            </w:r>
          </w:p>
        </w:tc>
        <w:tc>
          <w:tcPr>
            <w:tcW w:w="802" w:type="dxa"/>
            <w:noWrap/>
            <w:vAlign w:val="center"/>
            <w:hideMark/>
          </w:tcPr>
          <w:p w14:paraId="363C353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121,9</w:t>
            </w:r>
          </w:p>
        </w:tc>
        <w:tc>
          <w:tcPr>
            <w:tcW w:w="728" w:type="dxa"/>
            <w:noWrap/>
            <w:vAlign w:val="center"/>
            <w:hideMark/>
          </w:tcPr>
          <w:p w14:paraId="3ED1419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36,1</w:t>
            </w:r>
          </w:p>
        </w:tc>
        <w:tc>
          <w:tcPr>
            <w:tcW w:w="802" w:type="dxa"/>
            <w:noWrap/>
            <w:vAlign w:val="center"/>
            <w:hideMark/>
          </w:tcPr>
          <w:p w14:paraId="7CCD03F4"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479,1</w:t>
            </w:r>
          </w:p>
        </w:tc>
        <w:tc>
          <w:tcPr>
            <w:tcW w:w="692" w:type="dxa"/>
            <w:vMerge w:val="restart"/>
            <w:noWrap/>
            <w:vAlign w:val="center"/>
            <w:hideMark/>
          </w:tcPr>
          <w:p w14:paraId="601DB54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715D05" w:rsidRPr="00B57D0A" w14:paraId="71F14576"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3F7197A3"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03D32B0D"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5727353D"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11,4</w:t>
            </w:r>
          </w:p>
        </w:tc>
        <w:tc>
          <w:tcPr>
            <w:tcW w:w="802" w:type="dxa"/>
            <w:vAlign w:val="center"/>
            <w:hideMark/>
          </w:tcPr>
          <w:p w14:paraId="163242C0"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38,4</w:t>
            </w:r>
          </w:p>
        </w:tc>
        <w:tc>
          <w:tcPr>
            <w:tcW w:w="802" w:type="dxa"/>
            <w:vAlign w:val="center"/>
            <w:hideMark/>
          </w:tcPr>
          <w:p w14:paraId="21376E3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249,6</w:t>
            </w:r>
          </w:p>
        </w:tc>
        <w:tc>
          <w:tcPr>
            <w:tcW w:w="728" w:type="dxa"/>
            <w:vAlign w:val="center"/>
            <w:hideMark/>
          </w:tcPr>
          <w:p w14:paraId="668BB26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150,3</w:t>
            </w:r>
          </w:p>
        </w:tc>
        <w:tc>
          <w:tcPr>
            <w:tcW w:w="838" w:type="dxa"/>
            <w:noWrap/>
            <w:vAlign w:val="center"/>
            <w:hideMark/>
          </w:tcPr>
          <w:p w14:paraId="184820B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1757,5</w:t>
            </w:r>
          </w:p>
        </w:tc>
        <w:tc>
          <w:tcPr>
            <w:tcW w:w="802" w:type="dxa"/>
            <w:noWrap/>
            <w:vAlign w:val="center"/>
            <w:hideMark/>
          </w:tcPr>
          <w:p w14:paraId="221CCE2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112,9</w:t>
            </w:r>
          </w:p>
        </w:tc>
        <w:tc>
          <w:tcPr>
            <w:tcW w:w="728" w:type="dxa"/>
            <w:noWrap/>
            <w:vAlign w:val="center"/>
            <w:hideMark/>
          </w:tcPr>
          <w:p w14:paraId="461D5954"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37,6</w:t>
            </w:r>
          </w:p>
        </w:tc>
        <w:tc>
          <w:tcPr>
            <w:tcW w:w="802" w:type="dxa"/>
            <w:noWrap/>
            <w:vAlign w:val="center"/>
            <w:hideMark/>
          </w:tcPr>
          <w:p w14:paraId="6EF8B6F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455,7</w:t>
            </w:r>
          </w:p>
        </w:tc>
        <w:tc>
          <w:tcPr>
            <w:tcW w:w="692" w:type="dxa"/>
            <w:vMerge/>
            <w:vAlign w:val="center"/>
            <w:hideMark/>
          </w:tcPr>
          <w:p w14:paraId="56901E8F"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p>
        </w:tc>
      </w:tr>
      <w:tr w:rsidR="00B57D0A" w:rsidRPr="00B57D0A" w14:paraId="7F12ED9F" w14:textId="77777777" w:rsidTr="003B0BAF">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5002C730"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15A05814"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vAlign w:val="center"/>
            <w:hideMark/>
          </w:tcPr>
          <w:p w14:paraId="435FB05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-3,0%</w:t>
            </w:r>
          </w:p>
        </w:tc>
        <w:tc>
          <w:tcPr>
            <w:tcW w:w="802" w:type="dxa"/>
            <w:vAlign w:val="center"/>
            <w:hideMark/>
          </w:tcPr>
          <w:p w14:paraId="48FDA2F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4,5%</w:t>
            </w:r>
          </w:p>
        </w:tc>
        <w:tc>
          <w:tcPr>
            <w:tcW w:w="802" w:type="dxa"/>
            <w:vAlign w:val="center"/>
            <w:hideMark/>
          </w:tcPr>
          <w:p w14:paraId="4562E7DA"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-3,2%</w:t>
            </w:r>
          </w:p>
        </w:tc>
        <w:tc>
          <w:tcPr>
            <w:tcW w:w="728" w:type="dxa"/>
            <w:vAlign w:val="center"/>
            <w:hideMark/>
          </w:tcPr>
          <w:p w14:paraId="7E658084"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0,0%</w:t>
            </w:r>
          </w:p>
        </w:tc>
        <w:tc>
          <w:tcPr>
            <w:tcW w:w="838" w:type="dxa"/>
            <w:vAlign w:val="center"/>
            <w:hideMark/>
          </w:tcPr>
          <w:p w14:paraId="17003E7E"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0,0%</w:t>
            </w:r>
          </w:p>
        </w:tc>
        <w:tc>
          <w:tcPr>
            <w:tcW w:w="802" w:type="dxa"/>
            <w:vAlign w:val="center"/>
            <w:hideMark/>
          </w:tcPr>
          <w:p w14:paraId="7F6A290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-7,3%</w:t>
            </w:r>
          </w:p>
        </w:tc>
        <w:tc>
          <w:tcPr>
            <w:tcW w:w="728" w:type="dxa"/>
            <w:vAlign w:val="center"/>
            <w:hideMark/>
          </w:tcPr>
          <w:p w14:paraId="26B5202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4,1%</w:t>
            </w:r>
          </w:p>
        </w:tc>
        <w:tc>
          <w:tcPr>
            <w:tcW w:w="802" w:type="dxa"/>
            <w:vAlign w:val="center"/>
            <w:hideMark/>
          </w:tcPr>
          <w:p w14:paraId="0D9E4E29"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-4,9%</w:t>
            </w:r>
          </w:p>
        </w:tc>
        <w:tc>
          <w:tcPr>
            <w:tcW w:w="692" w:type="dxa"/>
            <w:noWrap/>
            <w:vAlign w:val="center"/>
            <w:hideMark/>
          </w:tcPr>
          <w:p w14:paraId="0D2928E7" w14:textId="6D75D998"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w:t>
            </w:r>
            <w:r w:rsidR="009A02B7" w:rsidRPr="00DC1531">
              <w:rPr>
                <w:rFonts w:eastAsia="Times New Roman" w:cs="Times New Roman"/>
                <w:i/>
                <w:iCs/>
                <w:color w:val="000000" w:themeColor="text1"/>
                <w:sz w:val="20"/>
                <w:szCs w:val="20"/>
                <w:lang w:eastAsia="lv-LV"/>
              </w:rPr>
              <w:t>4</w:t>
            </w:r>
            <w:r w:rsidRPr="00DC1531">
              <w:rPr>
                <w:rFonts w:eastAsia="Times New Roman" w:cs="Times New Roman"/>
                <w:i/>
                <w:iCs/>
                <w:color w:val="000000" w:themeColor="text1"/>
                <w:sz w:val="20"/>
                <w:szCs w:val="20"/>
                <w:lang w:eastAsia="lv-LV"/>
              </w:rPr>
              <w:t>%</w:t>
            </w:r>
          </w:p>
        </w:tc>
      </w:tr>
      <w:tr w:rsidR="00715D05" w:rsidRPr="00B57D0A" w14:paraId="2479E556"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hideMark/>
          </w:tcPr>
          <w:p w14:paraId="1432E673"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2018</w:t>
            </w:r>
          </w:p>
        </w:tc>
        <w:tc>
          <w:tcPr>
            <w:tcW w:w="1814" w:type="dxa"/>
            <w:vAlign w:val="center"/>
            <w:hideMark/>
          </w:tcPr>
          <w:p w14:paraId="7FBF7CA6"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701DF95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12,6</w:t>
            </w:r>
          </w:p>
        </w:tc>
        <w:tc>
          <w:tcPr>
            <w:tcW w:w="802" w:type="dxa"/>
            <w:vAlign w:val="center"/>
            <w:hideMark/>
          </w:tcPr>
          <w:p w14:paraId="48F292E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45,3</w:t>
            </w:r>
          </w:p>
        </w:tc>
        <w:tc>
          <w:tcPr>
            <w:tcW w:w="802" w:type="dxa"/>
            <w:vAlign w:val="center"/>
            <w:hideMark/>
          </w:tcPr>
          <w:p w14:paraId="1CFBB41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290,4</w:t>
            </w:r>
          </w:p>
        </w:tc>
        <w:tc>
          <w:tcPr>
            <w:tcW w:w="728" w:type="dxa"/>
            <w:vAlign w:val="center"/>
            <w:hideMark/>
          </w:tcPr>
          <w:p w14:paraId="7F37B07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154,9</w:t>
            </w:r>
          </w:p>
        </w:tc>
        <w:tc>
          <w:tcPr>
            <w:tcW w:w="838" w:type="dxa"/>
            <w:noWrap/>
            <w:vAlign w:val="center"/>
            <w:hideMark/>
          </w:tcPr>
          <w:p w14:paraId="1679993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1916,4</w:t>
            </w:r>
          </w:p>
        </w:tc>
        <w:tc>
          <w:tcPr>
            <w:tcW w:w="802" w:type="dxa"/>
            <w:noWrap/>
            <w:vAlign w:val="center"/>
            <w:hideMark/>
          </w:tcPr>
          <w:p w14:paraId="51F8115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127,8</w:t>
            </w:r>
          </w:p>
        </w:tc>
        <w:tc>
          <w:tcPr>
            <w:tcW w:w="728" w:type="dxa"/>
            <w:noWrap/>
            <w:vAlign w:val="center"/>
            <w:hideMark/>
          </w:tcPr>
          <w:p w14:paraId="34BF586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44,1</w:t>
            </w:r>
          </w:p>
        </w:tc>
        <w:tc>
          <w:tcPr>
            <w:tcW w:w="802" w:type="dxa"/>
            <w:noWrap/>
            <w:vAlign w:val="center"/>
            <w:hideMark/>
          </w:tcPr>
          <w:p w14:paraId="2BAF610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534,0</w:t>
            </w:r>
          </w:p>
        </w:tc>
        <w:tc>
          <w:tcPr>
            <w:tcW w:w="692" w:type="dxa"/>
            <w:vMerge w:val="restart"/>
            <w:noWrap/>
            <w:vAlign w:val="center"/>
            <w:hideMark/>
          </w:tcPr>
          <w:p w14:paraId="022A1BD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B57D0A" w:rsidRPr="00B57D0A" w14:paraId="5E46740B" w14:textId="77777777" w:rsidTr="003B0BAF">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735FE7DD"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414EEF0A"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0C351FE3"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12,8</w:t>
            </w:r>
          </w:p>
        </w:tc>
        <w:tc>
          <w:tcPr>
            <w:tcW w:w="802" w:type="dxa"/>
            <w:vAlign w:val="center"/>
            <w:hideMark/>
          </w:tcPr>
          <w:p w14:paraId="6D15055A"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43,1</w:t>
            </w:r>
          </w:p>
        </w:tc>
        <w:tc>
          <w:tcPr>
            <w:tcW w:w="802" w:type="dxa"/>
            <w:vAlign w:val="center"/>
            <w:hideMark/>
          </w:tcPr>
          <w:p w14:paraId="5A7B4F3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280,6</w:t>
            </w:r>
          </w:p>
        </w:tc>
        <w:tc>
          <w:tcPr>
            <w:tcW w:w="728" w:type="dxa"/>
            <w:vAlign w:val="center"/>
            <w:hideMark/>
          </w:tcPr>
          <w:p w14:paraId="479BFFF9"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154,9</w:t>
            </w:r>
          </w:p>
        </w:tc>
        <w:tc>
          <w:tcPr>
            <w:tcW w:w="838" w:type="dxa"/>
            <w:noWrap/>
            <w:vAlign w:val="center"/>
            <w:hideMark/>
          </w:tcPr>
          <w:p w14:paraId="46B7D65D"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1903,5</w:t>
            </w:r>
          </w:p>
        </w:tc>
        <w:tc>
          <w:tcPr>
            <w:tcW w:w="802" w:type="dxa"/>
            <w:noWrap/>
            <w:vAlign w:val="center"/>
            <w:hideMark/>
          </w:tcPr>
          <w:p w14:paraId="15A77EA3"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120,0</w:t>
            </w:r>
          </w:p>
        </w:tc>
        <w:tc>
          <w:tcPr>
            <w:tcW w:w="728" w:type="dxa"/>
            <w:noWrap/>
            <w:vAlign w:val="center"/>
            <w:hideMark/>
          </w:tcPr>
          <w:p w14:paraId="55B1E65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43,4</w:t>
            </w:r>
          </w:p>
        </w:tc>
        <w:tc>
          <w:tcPr>
            <w:tcW w:w="802" w:type="dxa"/>
            <w:noWrap/>
            <w:vAlign w:val="center"/>
            <w:hideMark/>
          </w:tcPr>
          <w:p w14:paraId="24DD869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484,5</w:t>
            </w:r>
          </w:p>
        </w:tc>
        <w:tc>
          <w:tcPr>
            <w:tcW w:w="692" w:type="dxa"/>
            <w:vMerge/>
            <w:vAlign w:val="center"/>
            <w:hideMark/>
          </w:tcPr>
          <w:p w14:paraId="61824964"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p>
        </w:tc>
      </w:tr>
      <w:tr w:rsidR="00715D05" w:rsidRPr="00B57D0A" w14:paraId="14335DD2"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4FDEA75B"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2BC73456"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vAlign w:val="center"/>
            <w:hideMark/>
          </w:tcPr>
          <w:p w14:paraId="142F9EC3"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1,6%</w:t>
            </w:r>
          </w:p>
        </w:tc>
        <w:tc>
          <w:tcPr>
            <w:tcW w:w="802" w:type="dxa"/>
            <w:vAlign w:val="center"/>
            <w:hideMark/>
          </w:tcPr>
          <w:p w14:paraId="01EA5850"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-4,9%</w:t>
            </w:r>
          </w:p>
        </w:tc>
        <w:tc>
          <w:tcPr>
            <w:tcW w:w="802" w:type="dxa"/>
            <w:vAlign w:val="center"/>
            <w:hideMark/>
          </w:tcPr>
          <w:p w14:paraId="164AB4C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-3,4%</w:t>
            </w:r>
          </w:p>
        </w:tc>
        <w:tc>
          <w:tcPr>
            <w:tcW w:w="728" w:type="dxa"/>
            <w:vAlign w:val="center"/>
            <w:hideMark/>
          </w:tcPr>
          <w:p w14:paraId="4B0512B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0,0%</w:t>
            </w:r>
          </w:p>
        </w:tc>
        <w:tc>
          <w:tcPr>
            <w:tcW w:w="838" w:type="dxa"/>
            <w:vAlign w:val="center"/>
            <w:hideMark/>
          </w:tcPr>
          <w:p w14:paraId="1CAC466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-0,7%</w:t>
            </w:r>
          </w:p>
        </w:tc>
        <w:tc>
          <w:tcPr>
            <w:tcW w:w="802" w:type="dxa"/>
            <w:vAlign w:val="center"/>
            <w:hideMark/>
          </w:tcPr>
          <w:p w14:paraId="1815DFA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-6,1%</w:t>
            </w:r>
          </w:p>
        </w:tc>
        <w:tc>
          <w:tcPr>
            <w:tcW w:w="728" w:type="dxa"/>
            <w:vAlign w:val="center"/>
            <w:hideMark/>
          </w:tcPr>
          <w:p w14:paraId="1A318AF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-1,4%</w:t>
            </w:r>
          </w:p>
        </w:tc>
        <w:tc>
          <w:tcPr>
            <w:tcW w:w="802" w:type="dxa"/>
            <w:vAlign w:val="center"/>
            <w:hideMark/>
          </w:tcPr>
          <w:p w14:paraId="79AC1CC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-9,3%</w:t>
            </w:r>
          </w:p>
        </w:tc>
        <w:tc>
          <w:tcPr>
            <w:tcW w:w="692" w:type="dxa"/>
            <w:noWrap/>
            <w:vAlign w:val="center"/>
            <w:hideMark/>
          </w:tcPr>
          <w:p w14:paraId="5AD83D2E" w14:textId="5416B34F"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-2,</w:t>
            </w:r>
            <w:r w:rsidR="009A02B7" w:rsidRPr="00DC1531">
              <w:rPr>
                <w:rFonts w:eastAsia="Times New Roman" w:cs="Times New Roman"/>
                <w:i/>
                <w:iCs/>
                <w:color w:val="000000" w:themeColor="text1"/>
                <w:sz w:val="20"/>
                <w:szCs w:val="20"/>
                <w:lang w:eastAsia="lv-LV"/>
              </w:rPr>
              <w:t>8</w:t>
            </w:r>
            <w:r w:rsidRPr="00DC1531">
              <w:rPr>
                <w:rFonts w:eastAsia="Times New Roman" w:cs="Times New Roman"/>
                <w:i/>
                <w:iCs/>
                <w:color w:val="000000" w:themeColor="text1"/>
                <w:sz w:val="20"/>
                <w:szCs w:val="20"/>
                <w:lang w:eastAsia="lv-LV"/>
              </w:rPr>
              <w:t>%</w:t>
            </w:r>
          </w:p>
        </w:tc>
      </w:tr>
      <w:tr w:rsidR="00B57D0A" w:rsidRPr="00B57D0A" w14:paraId="730EABCD" w14:textId="77777777" w:rsidTr="000539A1">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vAlign w:val="center"/>
            <w:hideMark/>
          </w:tcPr>
          <w:p w14:paraId="5C38D38C"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2019</w:t>
            </w:r>
          </w:p>
        </w:tc>
        <w:tc>
          <w:tcPr>
            <w:tcW w:w="1814" w:type="dxa"/>
            <w:vAlign w:val="center"/>
            <w:hideMark/>
          </w:tcPr>
          <w:p w14:paraId="0B188AD6"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4792F993"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13,1</w:t>
            </w:r>
          </w:p>
        </w:tc>
        <w:tc>
          <w:tcPr>
            <w:tcW w:w="802" w:type="dxa"/>
            <w:noWrap/>
            <w:vAlign w:val="center"/>
            <w:hideMark/>
          </w:tcPr>
          <w:p w14:paraId="6C7D6154"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49,1</w:t>
            </w:r>
          </w:p>
        </w:tc>
        <w:tc>
          <w:tcPr>
            <w:tcW w:w="802" w:type="dxa"/>
            <w:vAlign w:val="center"/>
            <w:hideMark/>
          </w:tcPr>
          <w:p w14:paraId="210BC70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294,7</w:t>
            </w:r>
          </w:p>
        </w:tc>
        <w:tc>
          <w:tcPr>
            <w:tcW w:w="728" w:type="dxa"/>
            <w:vAlign w:val="center"/>
            <w:hideMark/>
          </w:tcPr>
          <w:p w14:paraId="5BE0418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166,6</w:t>
            </w:r>
          </w:p>
        </w:tc>
        <w:tc>
          <w:tcPr>
            <w:tcW w:w="838" w:type="dxa"/>
            <w:noWrap/>
            <w:vAlign w:val="center"/>
            <w:hideMark/>
          </w:tcPr>
          <w:p w14:paraId="453E789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2032,5</w:t>
            </w:r>
          </w:p>
        </w:tc>
        <w:tc>
          <w:tcPr>
            <w:tcW w:w="802" w:type="dxa"/>
            <w:noWrap/>
            <w:vAlign w:val="center"/>
            <w:hideMark/>
          </w:tcPr>
          <w:p w14:paraId="08A3FFB6"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130,5</w:t>
            </w:r>
          </w:p>
        </w:tc>
        <w:tc>
          <w:tcPr>
            <w:tcW w:w="728" w:type="dxa"/>
            <w:noWrap/>
            <w:vAlign w:val="center"/>
            <w:hideMark/>
          </w:tcPr>
          <w:p w14:paraId="1695A2F7"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50,0</w:t>
            </w:r>
          </w:p>
        </w:tc>
        <w:tc>
          <w:tcPr>
            <w:tcW w:w="802" w:type="dxa"/>
            <w:noWrap/>
            <w:vAlign w:val="center"/>
            <w:hideMark/>
          </w:tcPr>
          <w:p w14:paraId="059999E7"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524,7</w:t>
            </w:r>
          </w:p>
        </w:tc>
        <w:tc>
          <w:tcPr>
            <w:tcW w:w="692" w:type="dxa"/>
            <w:vMerge w:val="restart"/>
            <w:noWrap/>
            <w:vAlign w:val="center"/>
            <w:hideMark/>
          </w:tcPr>
          <w:p w14:paraId="70B1E0E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715D05" w:rsidRPr="00B57D0A" w14:paraId="02B48E14"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14E1D13C"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3624A4B8"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36CFE9FB"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13,5</w:t>
            </w:r>
          </w:p>
        </w:tc>
        <w:tc>
          <w:tcPr>
            <w:tcW w:w="802" w:type="dxa"/>
            <w:noWrap/>
            <w:vAlign w:val="center"/>
            <w:hideMark/>
          </w:tcPr>
          <w:p w14:paraId="6150126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48,6</w:t>
            </w:r>
          </w:p>
        </w:tc>
        <w:tc>
          <w:tcPr>
            <w:tcW w:w="802" w:type="dxa"/>
            <w:vAlign w:val="center"/>
            <w:hideMark/>
          </w:tcPr>
          <w:p w14:paraId="57DFF46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287,5</w:t>
            </w:r>
          </w:p>
        </w:tc>
        <w:tc>
          <w:tcPr>
            <w:tcW w:w="728" w:type="dxa"/>
            <w:vAlign w:val="center"/>
            <w:hideMark/>
          </w:tcPr>
          <w:p w14:paraId="45B00994"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166,6</w:t>
            </w:r>
          </w:p>
        </w:tc>
        <w:tc>
          <w:tcPr>
            <w:tcW w:w="838" w:type="dxa"/>
            <w:noWrap/>
            <w:vAlign w:val="center"/>
            <w:hideMark/>
          </w:tcPr>
          <w:p w14:paraId="0D6C5DC4"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2011,2</w:t>
            </w:r>
          </w:p>
        </w:tc>
        <w:tc>
          <w:tcPr>
            <w:tcW w:w="802" w:type="dxa"/>
            <w:noWrap/>
            <w:vAlign w:val="center"/>
            <w:hideMark/>
          </w:tcPr>
          <w:p w14:paraId="1155EA5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132,1</w:t>
            </w:r>
          </w:p>
        </w:tc>
        <w:tc>
          <w:tcPr>
            <w:tcW w:w="728" w:type="dxa"/>
            <w:noWrap/>
            <w:vAlign w:val="center"/>
            <w:hideMark/>
          </w:tcPr>
          <w:p w14:paraId="280CDA8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50,2</w:t>
            </w:r>
          </w:p>
        </w:tc>
        <w:tc>
          <w:tcPr>
            <w:tcW w:w="802" w:type="dxa"/>
            <w:noWrap/>
            <w:vAlign w:val="center"/>
            <w:hideMark/>
          </w:tcPr>
          <w:p w14:paraId="10289110"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529,2</w:t>
            </w:r>
          </w:p>
        </w:tc>
        <w:tc>
          <w:tcPr>
            <w:tcW w:w="692" w:type="dxa"/>
            <w:vMerge/>
            <w:vAlign w:val="center"/>
            <w:hideMark/>
          </w:tcPr>
          <w:p w14:paraId="7F51DDBD"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p>
        </w:tc>
      </w:tr>
      <w:tr w:rsidR="00B57D0A" w:rsidRPr="00B57D0A" w14:paraId="16D25E48" w14:textId="77777777" w:rsidTr="003B0BAF">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63BB56D3"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24FEDA63"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noWrap/>
            <w:vAlign w:val="center"/>
            <w:hideMark/>
          </w:tcPr>
          <w:p w14:paraId="600CCA8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3,2%</w:t>
            </w:r>
          </w:p>
        </w:tc>
        <w:tc>
          <w:tcPr>
            <w:tcW w:w="802" w:type="dxa"/>
            <w:noWrap/>
            <w:vAlign w:val="center"/>
            <w:hideMark/>
          </w:tcPr>
          <w:p w14:paraId="65C175BA"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-1,0%</w:t>
            </w:r>
          </w:p>
        </w:tc>
        <w:tc>
          <w:tcPr>
            <w:tcW w:w="802" w:type="dxa"/>
            <w:noWrap/>
            <w:vAlign w:val="center"/>
            <w:hideMark/>
          </w:tcPr>
          <w:p w14:paraId="49CE499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-2,5%</w:t>
            </w:r>
          </w:p>
        </w:tc>
        <w:tc>
          <w:tcPr>
            <w:tcW w:w="728" w:type="dxa"/>
            <w:noWrap/>
            <w:vAlign w:val="center"/>
            <w:hideMark/>
          </w:tcPr>
          <w:p w14:paraId="09EB259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0,0%</w:t>
            </w:r>
          </w:p>
        </w:tc>
        <w:tc>
          <w:tcPr>
            <w:tcW w:w="838" w:type="dxa"/>
            <w:vAlign w:val="center"/>
            <w:hideMark/>
          </w:tcPr>
          <w:p w14:paraId="1D0CE61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-1,0%</w:t>
            </w:r>
          </w:p>
        </w:tc>
        <w:tc>
          <w:tcPr>
            <w:tcW w:w="802" w:type="dxa"/>
            <w:vAlign w:val="center"/>
            <w:hideMark/>
          </w:tcPr>
          <w:p w14:paraId="12E500D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1,2%</w:t>
            </w:r>
          </w:p>
        </w:tc>
        <w:tc>
          <w:tcPr>
            <w:tcW w:w="728" w:type="dxa"/>
            <w:vAlign w:val="center"/>
            <w:hideMark/>
          </w:tcPr>
          <w:p w14:paraId="765D0553"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0,6%</w:t>
            </w:r>
          </w:p>
        </w:tc>
        <w:tc>
          <w:tcPr>
            <w:tcW w:w="802" w:type="dxa"/>
            <w:vAlign w:val="center"/>
            <w:hideMark/>
          </w:tcPr>
          <w:p w14:paraId="69A2323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0,9%</w:t>
            </w:r>
          </w:p>
        </w:tc>
        <w:tc>
          <w:tcPr>
            <w:tcW w:w="692" w:type="dxa"/>
            <w:noWrap/>
            <w:vAlign w:val="center"/>
            <w:hideMark/>
          </w:tcPr>
          <w:p w14:paraId="0E6D6BE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-0,7%</w:t>
            </w:r>
          </w:p>
        </w:tc>
      </w:tr>
      <w:tr w:rsidR="00715D05" w:rsidRPr="00B57D0A" w14:paraId="6534D060"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noWrap/>
            <w:vAlign w:val="center"/>
            <w:hideMark/>
          </w:tcPr>
          <w:p w14:paraId="1F77BB50"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2020</w:t>
            </w:r>
          </w:p>
        </w:tc>
        <w:tc>
          <w:tcPr>
            <w:tcW w:w="1814" w:type="dxa"/>
            <w:vAlign w:val="center"/>
            <w:hideMark/>
          </w:tcPr>
          <w:p w14:paraId="4F59A6A8"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3D5B568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13,6</w:t>
            </w:r>
          </w:p>
        </w:tc>
        <w:tc>
          <w:tcPr>
            <w:tcW w:w="802" w:type="dxa"/>
            <w:noWrap/>
            <w:vAlign w:val="center"/>
            <w:hideMark/>
          </w:tcPr>
          <w:p w14:paraId="7412FDD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53,8</w:t>
            </w:r>
          </w:p>
        </w:tc>
        <w:tc>
          <w:tcPr>
            <w:tcW w:w="802" w:type="dxa"/>
            <w:vAlign w:val="center"/>
            <w:hideMark/>
          </w:tcPr>
          <w:p w14:paraId="17A0EC90"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299,6</w:t>
            </w:r>
          </w:p>
        </w:tc>
        <w:tc>
          <w:tcPr>
            <w:tcW w:w="728" w:type="dxa"/>
            <w:vAlign w:val="center"/>
            <w:hideMark/>
          </w:tcPr>
          <w:p w14:paraId="13A0007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167,2</w:t>
            </w:r>
          </w:p>
        </w:tc>
        <w:tc>
          <w:tcPr>
            <w:tcW w:w="838" w:type="dxa"/>
            <w:noWrap/>
            <w:vAlign w:val="center"/>
            <w:hideMark/>
          </w:tcPr>
          <w:p w14:paraId="7C3FB3B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2192,4</w:t>
            </w:r>
          </w:p>
        </w:tc>
        <w:tc>
          <w:tcPr>
            <w:tcW w:w="802" w:type="dxa"/>
            <w:noWrap/>
            <w:vAlign w:val="center"/>
            <w:hideMark/>
          </w:tcPr>
          <w:p w14:paraId="32DF754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124,5</w:t>
            </w:r>
          </w:p>
        </w:tc>
        <w:tc>
          <w:tcPr>
            <w:tcW w:w="728" w:type="dxa"/>
            <w:noWrap/>
            <w:vAlign w:val="center"/>
            <w:hideMark/>
          </w:tcPr>
          <w:p w14:paraId="41A355B3"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56,6</w:t>
            </w:r>
          </w:p>
        </w:tc>
        <w:tc>
          <w:tcPr>
            <w:tcW w:w="802" w:type="dxa"/>
            <w:noWrap/>
            <w:vAlign w:val="center"/>
            <w:hideMark/>
          </w:tcPr>
          <w:p w14:paraId="321B883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573,3</w:t>
            </w:r>
          </w:p>
        </w:tc>
        <w:tc>
          <w:tcPr>
            <w:tcW w:w="692" w:type="dxa"/>
            <w:vMerge w:val="restart"/>
            <w:noWrap/>
            <w:vAlign w:val="center"/>
            <w:hideMark/>
          </w:tcPr>
          <w:p w14:paraId="6546B90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B57D0A" w:rsidRPr="00B57D0A" w14:paraId="5661391F" w14:textId="77777777" w:rsidTr="003B0BAF">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362AF1BB"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28885A44"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11FBB98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14,7</w:t>
            </w:r>
          </w:p>
        </w:tc>
        <w:tc>
          <w:tcPr>
            <w:tcW w:w="802" w:type="dxa"/>
            <w:noWrap/>
            <w:vAlign w:val="center"/>
            <w:hideMark/>
          </w:tcPr>
          <w:p w14:paraId="0109F75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55,7</w:t>
            </w:r>
          </w:p>
        </w:tc>
        <w:tc>
          <w:tcPr>
            <w:tcW w:w="802" w:type="dxa"/>
            <w:vAlign w:val="center"/>
            <w:hideMark/>
          </w:tcPr>
          <w:p w14:paraId="7662A962"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292,3</w:t>
            </w:r>
          </w:p>
        </w:tc>
        <w:tc>
          <w:tcPr>
            <w:tcW w:w="728" w:type="dxa"/>
            <w:vAlign w:val="center"/>
            <w:hideMark/>
          </w:tcPr>
          <w:p w14:paraId="4208FA3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167,2</w:t>
            </w:r>
          </w:p>
        </w:tc>
        <w:tc>
          <w:tcPr>
            <w:tcW w:w="838" w:type="dxa"/>
            <w:noWrap/>
            <w:vAlign w:val="center"/>
            <w:hideMark/>
          </w:tcPr>
          <w:p w14:paraId="6D738DF4"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2158,6</w:t>
            </w:r>
          </w:p>
        </w:tc>
        <w:tc>
          <w:tcPr>
            <w:tcW w:w="802" w:type="dxa"/>
            <w:noWrap/>
            <w:vAlign w:val="center"/>
            <w:hideMark/>
          </w:tcPr>
          <w:p w14:paraId="0519CD8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155,3</w:t>
            </w:r>
          </w:p>
        </w:tc>
        <w:tc>
          <w:tcPr>
            <w:tcW w:w="728" w:type="dxa"/>
            <w:noWrap/>
            <w:vAlign w:val="center"/>
            <w:hideMark/>
          </w:tcPr>
          <w:p w14:paraId="49EE0ECE"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57,4</w:t>
            </w:r>
          </w:p>
        </w:tc>
        <w:tc>
          <w:tcPr>
            <w:tcW w:w="802" w:type="dxa"/>
            <w:noWrap/>
            <w:vAlign w:val="center"/>
            <w:hideMark/>
          </w:tcPr>
          <w:p w14:paraId="4CBAC41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591,2</w:t>
            </w:r>
          </w:p>
        </w:tc>
        <w:tc>
          <w:tcPr>
            <w:tcW w:w="692" w:type="dxa"/>
            <w:vMerge/>
            <w:vAlign w:val="center"/>
            <w:hideMark/>
          </w:tcPr>
          <w:p w14:paraId="340246C1"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p>
        </w:tc>
      </w:tr>
      <w:tr w:rsidR="00715D05" w:rsidRPr="00B57D0A" w14:paraId="6A0D086C"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6AD94063"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2B8805E9"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noWrap/>
            <w:vAlign w:val="center"/>
            <w:hideMark/>
          </w:tcPr>
          <w:p w14:paraId="1C577D8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8,5%</w:t>
            </w:r>
          </w:p>
        </w:tc>
        <w:tc>
          <w:tcPr>
            <w:tcW w:w="802" w:type="dxa"/>
            <w:noWrap/>
            <w:vAlign w:val="center"/>
            <w:hideMark/>
          </w:tcPr>
          <w:p w14:paraId="6376B11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3,4%</w:t>
            </w:r>
          </w:p>
        </w:tc>
        <w:tc>
          <w:tcPr>
            <w:tcW w:w="802" w:type="dxa"/>
            <w:noWrap/>
            <w:vAlign w:val="center"/>
            <w:hideMark/>
          </w:tcPr>
          <w:p w14:paraId="5B751A3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-2,4%</w:t>
            </w:r>
          </w:p>
        </w:tc>
        <w:tc>
          <w:tcPr>
            <w:tcW w:w="728" w:type="dxa"/>
            <w:noWrap/>
            <w:vAlign w:val="center"/>
            <w:hideMark/>
          </w:tcPr>
          <w:p w14:paraId="367BC623"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0,0%</w:t>
            </w:r>
          </w:p>
        </w:tc>
        <w:tc>
          <w:tcPr>
            <w:tcW w:w="838" w:type="dxa"/>
            <w:vAlign w:val="center"/>
            <w:hideMark/>
          </w:tcPr>
          <w:p w14:paraId="456D06DB"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-1,5%</w:t>
            </w:r>
          </w:p>
        </w:tc>
        <w:tc>
          <w:tcPr>
            <w:tcW w:w="802" w:type="dxa"/>
            <w:vAlign w:val="center"/>
            <w:hideMark/>
          </w:tcPr>
          <w:p w14:paraId="02ACC6B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24,8%</w:t>
            </w:r>
          </w:p>
        </w:tc>
        <w:tc>
          <w:tcPr>
            <w:tcW w:w="728" w:type="dxa"/>
            <w:vAlign w:val="center"/>
            <w:hideMark/>
          </w:tcPr>
          <w:p w14:paraId="39512FE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1,4%</w:t>
            </w:r>
          </w:p>
        </w:tc>
        <w:tc>
          <w:tcPr>
            <w:tcW w:w="802" w:type="dxa"/>
            <w:vAlign w:val="center"/>
            <w:hideMark/>
          </w:tcPr>
          <w:p w14:paraId="7AA88D2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3,1%</w:t>
            </w:r>
          </w:p>
        </w:tc>
        <w:tc>
          <w:tcPr>
            <w:tcW w:w="692" w:type="dxa"/>
            <w:noWrap/>
            <w:vAlign w:val="center"/>
            <w:hideMark/>
          </w:tcPr>
          <w:p w14:paraId="2F3D3F1C"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0,3%</w:t>
            </w:r>
          </w:p>
        </w:tc>
      </w:tr>
      <w:tr w:rsidR="00B57D0A" w:rsidRPr="00B57D0A" w14:paraId="15BF1F7C" w14:textId="77777777" w:rsidTr="0015094C">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noWrap/>
            <w:vAlign w:val="center"/>
            <w:hideMark/>
          </w:tcPr>
          <w:p w14:paraId="435BC8E8"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2021</w:t>
            </w:r>
          </w:p>
        </w:tc>
        <w:tc>
          <w:tcPr>
            <w:tcW w:w="1814" w:type="dxa"/>
            <w:vAlign w:val="center"/>
            <w:hideMark/>
          </w:tcPr>
          <w:p w14:paraId="33373EC7"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6970319B"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16,3</w:t>
            </w:r>
          </w:p>
        </w:tc>
        <w:tc>
          <w:tcPr>
            <w:tcW w:w="802" w:type="dxa"/>
            <w:noWrap/>
            <w:vAlign w:val="center"/>
            <w:hideMark/>
          </w:tcPr>
          <w:p w14:paraId="102BF4E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58,4</w:t>
            </w:r>
          </w:p>
        </w:tc>
        <w:tc>
          <w:tcPr>
            <w:tcW w:w="802" w:type="dxa"/>
            <w:vAlign w:val="center"/>
            <w:hideMark/>
          </w:tcPr>
          <w:p w14:paraId="01601E57"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313,7</w:t>
            </w:r>
          </w:p>
        </w:tc>
        <w:tc>
          <w:tcPr>
            <w:tcW w:w="728" w:type="dxa"/>
            <w:vAlign w:val="center"/>
            <w:hideMark/>
          </w:tcPr>
          <w:p w14:paraId="5F7894D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163,2</w:t>
            </w:r>
          </w:p>
        </w:tc>
        <w:tc>
          <w:tcPr>
            <w:tcW w:w="838" w:type="dxa"/>
            <w:noWrap/>
            <w:vAlign w:val="center"/>
            <w:hideMark/>
          </w:tcPr>
          <w:p w14:paraId="2FF306E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2261,0</w:t>
            </w:r>
          </w:p>
        </w:tc>
        <w:tc>
          <w:tcPr>
            <w:tcW w:w="802" w:type="dxa"/>
            <w:noWrap/>
            <w:vAlign w:val="center"/>
            <w:hideMark/>
          </w:tcPr>
          <w:p w14:paraId="195B8D9A"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175,7</w:t>
            </w:r>
          </w:p>
        </w:tc>
        <w:tc>
          <w:tcPr>
            <w:tcW w:w="728" w:type="dxa"/>
            <w:noWrap/>
            <w:vAlign w:val="center"/>
            <w:hideMark/>
          </w:tcPr>
          <w:p w14:paraId="685418B2"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66,6</w:t>
            </w:r>
          </w:p>
        </w:tc>
        <w:tc>
          <w:tcPr>
            <w:tcW w:w="802" w:type="dxa"/>
            <w:noWrap/>
            <w:vAlign w:val="center"/>
            <w:hideMark/>
          </w:tcPr>
          <w:p w14:paraId="7D44570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636,4</w:t>
            </w:r>
          </w:p>
        </w:tc>
        <w:tc>
          <w:tcPr>
            <w:tcW w:w="692" w:type="dxa"/>
            <w:vMerge w:val="restart"/>
            <w:noWrap/>
            <w:vAlign w:val="center"/>
            <w:hideMark/>
          </w:tcPr>
          <w:p w14:paraId="41CAA23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715D05" w:rsidRPr="00B57D0A" w14:paraId="2F069075"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60278E4B"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688AC090"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2E0A550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16,3</w:t>
            </w:r>
          </w:p>
        </w:tc>
        <w:tc>
          <w:tcPr>
            <w:tcW w:w="802" w:type="dxa"/>
            <w:noWrap/>
            <w:vAlign w:val="center"/>
            <w:hideMark/>
          </w:tcPr>
          <w:p w14:paraId="5D6D3CB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61,8</w:t>
            </w:r>
          </w:p>
        </w:tc>
        <w:tc>
          <w:tcPr>
            <w:tcW w:w="802" w:type="dxa"/>
            <w:vAlign w:val="center"/>
            <w:hideMark/>
          </w:tcPr>
          <w:p w14:paraId="42BF41C0"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304,8</w:t>
            </w:r>
          </w:p>
        </w:tc>
        <w:tc>
          <w:tcPr>
            <w:tcW w:w="728" w:type="dxa"/>
            <w:vAlign w:val="center"/>
            <w:hideMark/>
          </w:tcPr>
          <w:p w14:paraId="3E4A339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163,2</w:t>
            </w:r>
          </w:p>
        </w:tc>
        <w:tc>
          <w:tcPr>
            <w:tcW w:w="838" w:type="dxa"/>
            <w:noWrap/>
            <w:vAlign w:val="center"/>
            <w:hideMark/>
          </w:tcPr>
          <w:p w14:paraId="3FAA4E0C"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2291,2</w:t>
            </w:r>
          </w:p>
        </w:tc>
        <w:tc>
          <w:tcPr>
            <w:tcW w:w="802" w:type="dxa"/>
            <w:noWrap/>
            <w:vAlign w:val="center"/>
            <w:hideMark/>
          </w:tcPr>
          <w:p w14:paraId="0380F78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121,1</w:t>
            </w:r>
          </w:p>
        </w:tc>
        <w:tc>
          <w:tcPr>
            <w:tcW w:w="728" w:type="dxa"/>
            <w:noWrap/>
            <w:vAlign w:val="center"/>
            <w:hideMark/>
          </w:tcPr>
          <w:p w14:paraId="05A5CA3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64,1</w:t>
            </w:r>
          </w:p>
        </w:tc>
        <w:tc>
          <w:tcPr>
            <w:tcW w:w="802" w:type="dxa"/>
            <w:noWrap/>
            <w:vAlign w:val="center"/>
            <w:hideMark/>
          </w:tcPr>
          <w:p w14:paraId="444B92B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701,8</w:t>
            </w:r>
          </w:p>
        </w:tc>
        <w:tc>
          <w:tcPr>
            <w:tcW w:w="692" w:type="dxa"/>
            <w:vMerge/>
            <w:vAlign w:val="center"/>
            <w:hideMark/>
          </w:tcPr>
          <w:p w14:paraId="22479407"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p>
        </w:tc>
      </w:tr>
      <w:tr w:rsidR="00B57D0A" w:rsidRPr="00B57D0A" w14:paraId="0EA8B7FA" w14:textId="77777777" w:rsidTr="0015094C">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29E0B006"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2BCD8FA7"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noWrap/>
            <w:vAlign w:val="center"/>
            <w:hideMark/>
          </w:tcPr>
          <w:p w14:paraId="080CB95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0,0%</w:t>
            </w:r>
          </w:p>
        </w:tc>
        <w:tc>
          <w:tcPr>
            <w:tcW w:w="802" w:type="dxa"/>
            <w:noWrap/>
            <w:vAlign w:val="center"/>
            <w:hideMark/>
          </w:tcPr>
          <w:p w14:paraId="6B2FC10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5,9%</w:t>
            </w:r>
          </w:p>
        </w:tc>
        <w:tc>
          <w:tcPr>
            <w:tcW w:w="802" w:type="dxa"/>
            <w:noWrap/>
            <w:vAlign w:val="center"/>
            <w:hideMark/>
          </w:tcPr>
          <w:p w14:paraId="220D3C1B"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-2,8%</w:t>
            </w:r>
          </w:p>
        </w:tc>
        <w:tc>
          <w:tcPr>
            <w:tcW w:w="728" w:type="dxa"/>
            <w:noWrap/>
            <w:vAlign w:val="center"/>
            <w:hideMark/>
          </w:tcPr>
          <w:p w14:paraId="70C7965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0,0%</w:t>
            </w:r>
          </w:p>
        </w:tc>
        <w:tc>
          <w:tcPr>
            <w:tcW w:w="838" w:type="dxa"/>
            <w:vAlign w:val="center"/>
            <w:hideMark/>
          </w:tcPr>
          <w:p w14:paraId="33E0AE0D"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1,3%</w:t>
            </w:r>
          </w:p>
        </w:tc>
        <w:tc>
          <w:tcPr>
            <w:tcW w:w="802" w:type="dxa"/>
            <w:vAlign w:val="center"/>
            <w:hideMark/>
          </w:tcPr>
          <w:p w14:paraId="4D82062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-31,1%</w:t>
            </w:r>
          </w:p>
        </w:tc>
        <w:tc>
          <w:tcPr>
            <w:tcW w:w="728" w:type="dxa"/>
            <w:vAlign w:val="center"/>
            <w:hideMark/>
          </w:tcPr>
          <w:p w14:paraId="103319C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-3,7%</w:t>
            </w:r>
          </w:p>
        </w:tc>
        <w:tc>
          <w:tcPr>
            <w:tcW w:w="802" w:type="dxa"/>
            <w:vAlign w:val="center"/>
            <w:hideMark/>
          </w:tcPr>
          <w:p w14:paraId="1370BAB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10,3%</w:t>
            </w:r>
          </w:p>
        </w:tc>
        <w:tc>
          <w:tcPr>
            <w:tcW w:w="692" w:type="dxa"/>
            <w:noWrap/>
            <w:vAlign w:val="center"/>
            <w:hideMark/>
          </w:tcPr>
          <w:p w14:paraId="66B6D22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0,9%</w:t>
            </w:r>
          </w:p>
        </w:tc>
      </w:tr>
      <w:tr w:rsidR="00715D05" w:rsidRPr="00B57D0A" w14:paraId="6718E75A"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noWrap/>
            <w:vAlign w:val="center"/>
            <w:hideMark/>
          </w:tcPr>
          <w:p w14:paraId="79A69FD3"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2022</w:t>
            </w:r>
          </w:p>
        </w:tc>
        <w:tc>
          <w:tcPr>
            <w:tcW w:w="1814" w:type="dxa"/>
            <w:vAlign w:val="center"/>
            <w:hideMark/>
          </w:tcPr>
          <w:p w14:paraId="084E4FBA"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3F553F9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16,3</w:t>
            </w:r>
          </w:p>
        </w:tc>
        <w:tc>
          <w:tcPr>
            <w:tcW w:w="802" w:type="dxa"/>
            <w:noWrap/>
            <w:vAlign w:val="center"/>
            <w:hideMark/>
          </w:tcPr>
          <w:p w14:paraId="4475D72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66,6</w:t>
            </w:r>
          </w:p>
        </w:tc>
        <w:tc>
          <w:tcPr>
            <w:tcW w:w="802" w:type="dxa"/>
            <w:vAlign w:val="center"/>
            <w:hideMark/>
          </w:tcPr>
          <w:p w14:paraId="77CBD5B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404,6</w:t>
            </w:r>
          </w:p>
        </w:tc>
        <w:tc>
          <w:tcPr>
            <w:tcW w:w="728" w:type="dxa"/>
            <w:vAlign w:val="center"/>
            <w:hideMark/>
          </w:tcPr>
          <w:p w14:paraId="61D2086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152,2</w:t>
            </w:r>
          </w:p>
        </w:tc>
        <w:tc>
          <w:tcPr>
            <w:tcW w:w="838" w:type="dxa"/>
            <w:noWrap/>
            <w:vAlign w:val="center"/>
            <w:hideMark/>
          </w:tcPr>
          <w:p w14:paraId="5198F8E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2386,1</w:t>
            </w:r>
          </w:p>
        </w:tc>
        <w:tc>
          <w:tcPr>
            <w:tcW w:w="802" w:type="dxa"/>
            <w:noWrap/>
            <w:vAlign w:val="center"/>
            <w:hideMark/>
          </w:tcPr>
          <w:p w14:paraId="7491E3E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150,6</w:t>
            </w:r>
          </w:p>
        </w:tc>
        <w:tc>
          <w:tcPr>
            <w:tcW w:w="728" w:type="dxa"/>
            <w:noWrap/>
            <w:vAlign w:val="center"/>
            <w:hideMark/>
          </w:tcPr>
          <w:p w14:paraId="1BE0E5EB"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75,3</w:t>
            </w:r>
          </w:p>
        </w:tc>
        <w:tc>
          <w:tcPr>
            <w:tcW w:w="802" w:type="dxa"/>
            <w:noWrap/>
            <w:vAlign w:val="center"/>
            <w:hideMark/>
          </w:tcPr>
          <w:p w14:paraId="1DE1297C"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739,8</w:t>
            </w:r>
          </w:p>
        </w:tc>
        <w:tc>
          <w:tcPr>
            <w:tcW w:w="692" w:type="dxa"/>
            <w:vMerge w:val="restart"/>
            <w:noWrap/>
            <w:vAlign w:val="center"/>
            <w:hideMark/>
          </w:tcPr>
          <w:p w14:paraId="62014DF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B57D0A" w:rsidRPr="00B57D0A" w14:paraId="130BD740" w14:textId="77777777" w:rsidTr="0015094C">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417053BE"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0D497705"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5667A9D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17,0</w:t>
            </w:r>
          </w:p>
        </w:tc>
        <w:tc>
          <w:tcPr>
            <w:tcW w:w="802" w:type="dxa"/>
            <w:noWrap/>
            <w:vAlign w:val="center"/>
            <w:hideMark/>
          </w:tcPr>
          <w:p w14:paraId="61ECAC8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73,7</w:t>
            </w:r>
          </w:p>
        </w:tc>
        <w:tc>
          <w:tcPr>
            <w:tcW w:w="802" w:type="dxa"/>
            <w:vAlign w:val="center"/>
            <w:hideMark/>
          </w:tcPr>
          <w:p w14:paraId="4FA45D36"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398,5</w:t>
            </w:r>
          </w:p>
        </w:tc>
        <w:tc>
          <w:tcPr>
            <w:tcW w:w="728" w:type="dxa"/>
            <w:vAlign w:val="center"/>
            <w:hideMark/>
          </w:tcPr>
          <w:p w14:paraId="6F98BF19"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152,2</w:t>
            </w:r>
          </w:p>
        </w:tc>
        <w:tc>
          <w:tcPr>
            <w:tcW w:w="838" w:type="dxa"/>
            <w:noWrap/>
            <w:vAlign w:val="center"/>
            <w:hideMark/>
          </w:tcPr>
          <w:p w14:paraId="51E8242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2560,0</w:t>
            </w:r>
          </w:p>
        </w:tc>
        <w:tc>
          <w:tcPr>
            <w:tcW w:w="802" w:type="dxa"/>
            <w:noWrap/>
            <w:vAlign w:val="center"/>
            <w:hideMark/>
          </w:tcPr>
          <w:p w14:paraId="51BFF8F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143,0</w:t>
            </w:r>
          </w:p>
        </w:tc>
        <w:tc>
          <w:tcPr>
            <w:tcW w:w="728" w:type="dxa"/>
            <w:noWrap/>
            <w:vAlign w:val="center"/>
            <w:hideMark/>
          </w:tcPr>
          <w:p w14:paraId="4CBEB47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75,4</w:t>
            </w:r>
          </w:p>
        </w:tc>
        <w:tc>
          <w:tcPr>
            <w:tcW w:w="802" w:type="dxa"/>
            <w:noWrap/>
            <w:vAlign w:val="center"/>
            <w:hideMark/>
          </w:tcPr>
          <w:p w14:paraId="4B1DC41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778,5</w:t>
            </w:r>
          </w:p>
        </w:tc>
        <w:tc>
          <w:tcPr>
            <w:tcW w:w="692" w:type="dxa"/>
            <w:vMerge/>
            <w:vAlign w:val="center"/>
            <w:hideMark/>
          </w:tcPr>
          <w:p w14:paraId="4FF8B385"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p>
        </w:tc>
      </w:tr>
      <w:tr w:rsidR="00715D05" w:rsidRPr="00B57D0A" w14:paraId="2CF87CCF"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484D753C"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5E976778"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noWrap/>
            <w:vAlign w:val="center"/>
            <w:hideMark/>
          </w:tcPr>
          <w:p w14:paraId="71695D4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4,7%</w:t>
            </w:r>
          </w:p>
        </w:tc>
        <w:tc>
          <w:tcPr>
            <w:tcW w:w="802" w:type="dxa"/>
            <w:noWrap/>
            <w:vAlign w:val="center"/>
            <w:hideMark/>
          </w:tcPr>
          <w:p w14:paraId="722C6234"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10,6%</w:t>
            </w:r>
          </w:p>
        </w:tc>
        <w:tc>
          <w:tcPr>
            <w:tcW w:w="802" w:type="dxa"/>
            <w:noWrap/>
            <w:vAlign w:val="center"/>
            <w:hideMark/>
          </w:tcPr>
          <w:p w14:paraId="2BC0570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-1,5%</w:t>
            </w:r>
          </w:p>
        </w:tc>
        <w:tc>
          <w:tcPr>
            <w:tcW w:w="728" w:type="dxa"/>
            <w:noWrap/>
            <w:vAlign w:val="center"/>
            <w:hideMark/>
          </w:tcPr>
          <w:p w14:paraId="0CD6B3C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0,0%</w:t>
            </w:r>
          </w:p>
        </w:tc>
        <w:tc>
          <w:tcPr>
            <w:tcW w:w="838" w:type="dxa"/>
            <w:vAlign w:val="center"/>
            <w:hideMark/>
          </w:tcPr>
          <w:p w14:paraId="23BBC125"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7,3%</w:t>
            </w:r>
          </w:p>
        </w:tc>
        <w:tc>
          <w:tcPr>
            <w:tcW w:w="802" w:type="dxa"/>
            <w:vAlign w:val="center"/>
            <w:hideMark/>
          </w:tcPr>
          <w:p w14:paraId="74ED78D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-5,0%</w:t>
            </w:r>
          </w:p>
        </w:tc>
        <w:tc>
          <w:tcPr>
            <w:tcW w:w="728" w:type="dxa"/>
            <w:vAlign w:val="center"/>
            <w:hideMark/>
          </w:tcPr>
          <w:p w14:paraId="5541A61F"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0,2%</w:t>
            </w:r>
          </w:p>
        </w:tc>
        <w:tc>
          <w:tcPr>
            <w:tcW w:w="802" w:type="dxa"/>
            <w:vAlign w:val="center"/>
            <w:hideMark/>
          </w:tcPr>
          <w:p w14:paraId="528EE12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5,2%</w:t>
            </w:r>
          </w:p>
        </w:tc>
        <w:tc>
          <w:tcPr>
            <w:tcW w:w="692" w:type="dxa"/>
            <w:noWrap/>
            <w:vAlign w:val="center"/>
            <w:hideMark/>
          </w:tcPr>
          <w:p w14:paraId="4E618D75" w14:textId="2B87F9F3"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w:t>
            </w:r>
            <w:r w:rsidR="009A02B7" w:rsidRPr="00DC1531">
              <w:rPr>
                <w:rFonts w:eastAsia="Times New Roman" w:cs="Times New Roman"/>
                <w:i/>
                <w:iCs/>
                <w:color w:val="000000" w:themeColor="text1"/>
                <w:sz w:val="20"/>
                <w:szCs w:val="20"/>
                <w:lang w:eastAsia="lv-LV"/>
              </w:rPr>
              <w:t>4</w:t>
            </w:r>
            <w:r w:rsidRPr="00DC1531">
              <w:rPr>
                <w:rFonts w:eastAsia="Times New Roman" w:cs="Times New Roman"/>
                <w:i/>
                <w:iCs/>
                <w:color w:val="000000" w:themeColor="text1"/>
                <w:sz w:val="20"/>
                <w:szCs w:val="20"/>
                <w:lang w:eastAsia="lv-LV"/>
              </w:rPr>
              <w:t>%</w:t>
            </w:r>
          </w:p>
        </w:tc>
      </w:tr>
      <w:tr w:rsidR="00B57D0A" w:rsidRPr="00B57D0A" w14:paraId="51694EA9" w14:textId="77777777" w:rsidTr="0015094C">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noWrap/>
            <w:vAlign w:val="center"/>
            <w:hideMark/>
          </w:tcPr>
          <w:p w14:paraId="3B858373"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2023</w:t>
            </w:r>
          </w:p>
        </w:tc>
        <w:tc>
          <w:tcPr>
            <w:tcW w:w="1814" w:type="dxa"/>
            <w:vAlign w:val="center"/>
            <w:hideMark/>
          </w:tcPr>
          <w:p w14:paraId="0C10ADD2"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p>
        </w:tc>
        <w:tc>
          <w:tcPr>
            <w:tcW w:w="802" w:type="dxa"/>
            <w:noWrap/>
            <w:vAlign w:val="center"/>
            <w:hideMark/>
          </w:tcPr>
          <w:p w14:paraId="76E8F8FF"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18,9</w:t>
            </w:r>
          </w:p>
        </w:tc>
        <w:tc>
          <w:tcPr>
            <w:tcW w:w="802" w:type="dxa"/>
            <w:noWrap/>
            <w:vAlign w:val="center"/>
            <w:hideMark/>
          </w:tcPr>
          <w:p w14:paraId="62A5592D"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89,2</w:t>
            </w:r>
          </w:p>
        </w:tc>
        <w:tc>
          <w:tcPr>
            <w:tcW w:w="802" w:type="dxa"/>
            <w:vAlign w:val="center"/>
            <w:hideMark/>
          </w:tcPr>
          <w:p w14:paraId="7C5B0E0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408,6</w:t>
            </w:r>
          </w:p>
        </w:tc>
        <w:tc>
          <w:tcPr>
            <w:tcW w:w="728" w:type="dxa"/>
            <w:vAlign w:val="center"/>
            <w:hideMark/>
          </w:tcPr>
          <w:p w14:paraId="4C352377"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172,8</w:t>
            </w:r>
          </w:p>
        </w:tc>
        <w:tc>
          <w:tcPr>
            <w:tcW w:w="838" w:type="dxa"/>
            <w:vAlign w:val="center"/>
            <w:hideMark/>
          </w:tcPr>
          <w:p w14:paraId="2D9E63AC"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2915,8</w:t>
            </w:r>
          </w:p>
        </w:tc>
        <w:tc>
          <w:tcPr>
            <w:tcW w:w="802" w:type="dxa"/>
            <w:vAlign w:val="center"/>
            <w:hideMark/>
          </w:tcPr>
          <w:p w14:paraId="3062965A"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172,6</w:t>
            </w:r>
          </w:p>
        </w:tc>
        <w:tc>
          <w:tcPr>
            <w:tcW w:w="728" w:type="dxa"/>
            <w:vAlign w:val="center"/>
            <w:hideMark/>
          </w:tcPr>
          <w:p w14:paraId="512EBE8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94,5</w:t>
            </w:r>
          </w:p>
        </w:tc>
        <w:tc>
          <w:tcPr>
            <w:tcW w:w="802" w:type="dxa"/>
            <w:vAlign w:val="center"/>
            <w:hideMark/>
          </w:tcPr>
          <w:p w14:paraId="094F437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865,1</w:t>
            </w:r>
          </w:p>
        </w:tc>
        <w:tc>
          <w:tcPr>
            <w:tcW w:w="692" w:type="dxa"/>
            <w:vMerge w:val="restart"/>
            <w:noWrap/>
            <w:vAlign w:val="center"/>
            <w:hideMark/>
          </w:tcPr>
          <w:p w14:paraId="40DBF596"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715D05" w:rsidRPr="00B57D0A" w14:paraId="482AF034"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4FFB9B0F"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02787D59"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636D6C3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18,9</w:t>
            </w:r>
          </w:p>
        </w:tc>
        <w:tc>
          <w:tcPr>
            <w:tcW w:w="802" w:type="dxa"/>
            <w:noWrap/>
            <w:vAlign w:val="center"/>
            <w:hideMark/>
          </w:tcPr>
          <w:p w14:paraId="77DD4C40"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87,2</w:t>
            </w:r>
          </w:p>
        </w:tc>
        <w:tc>
          <w:tcPr>
            <w:tcW w:w="802" w:type="dxa"/>
            <w:vAlign w:val="center"/>
            <w:hideMark/>
          </w:tcPr>
          <w:p w14:paraId="7FC3350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453,7</w:t>
            </w:r>
          </w:p>
        </w:tc>
        <w:tc>
          <w:tcPr>
            <w:tcW w:w="728" w:type="dxa"/>
            <w:vAlign w:val="center"/>
            <w:hideMark/>
          </w:tcPr>
          <w:p w14:paraId="7ED6181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172,8</w:t>
            </w:r>
          </w:p>
        </w:tc>
        <w:tc>
          <w:tcPr>
            <w:tcW w:w="838" w:type="dxa"/>
            <w:vAlign w:val="center"/>
            <w:hideMark/>
          </w:tcPr>
          <w:p w14:paraId="766746B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2913,6</w:t>
            </w:r>
          </w:p>
        </w:tc>
        <w:tc>
          <w:tcPr>
            <w:tcW w:w="802" w:type="dxa"/>
            <w:vAlign w:val="center"/>
            <w:hideMark/>
          </w:tcPr>
          <w:p w14:paraId="7311511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157,3</w:t>
            </w:r>
          </w:p>
        </w:tc>
        <w:tc>
          <w:tcPr>
            <w:tcW w:w="728" w:type="dxa"/>
            <w:vAlign w:val="center"/>
            <w:hideMark/>
          </w:tcPr>
          <w:p w14:paraId="7A5FF0FC"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88,5</w:t>
            </w:r>
          </w:p>
        </w:tc>
        <w:tc>
          <w:tcPr>
            <w:tcW w:w="802" w:type="dxa"/>
            <w:vAlign w:val="center"/>
            <w:hideMark/>
          </w:tcPr>
          <w:p w14:paraId="4DACDE7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793,2</w:t>
            </w:r>
          </w:p>
        </w:tc>
        <w:tc>
          <w:tcPr>
            <w:tcW w:w="692" w:type="dxa"/>
            <w:vMerge/>
            <w:vAlign w:val="center"/>
            <w:hideMark/>
          </w:tcPr>
          <w:p w14:paraId="7BDF8339"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p>
        </w:tc>
      </w:tr>
      <w:tr w:rsidR="00B57D0A" w:rsidRPr="00B57D0A" w14:paraId="5DEC3BD8" w14:textId="77777777" w:rsidTr="0015094C">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25D96ECF"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217CB199"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noWrap/>
            <w:vAlign w:val="center"/>
            <w:hideMark/>
          </w:tcPr>
          <w:p w14:paraId="47B60F7A"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0,0%</w:t>
            </w:r>
          </w:p>
        </w:tc>
        <w:tc>
          <w:tcPr>
            <w:tcW w:w="802" w:type="dxa"/>
            <w:noWrap/>
            <w:vAlign w:val="center"/>
            <w:hideMark/>
          </w:tcPr>
          <w:p w14:paraId="2E7C8D7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-2,2%</w:t>
            </w:r>
          </w:p>
        </w:tc>
        <w:tc>
          <w:tcPr>
            <w:tcW w:w="802" w:type="dxa"/>
            <w:noWrap/>
            <w:vAlign w:val="center"/>
            <w:hideMark/>
          </w:tcPr>
          <w:p w14:paraId="7B4B04E2"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11,1%</w:t>
            </w:r>
          </w:p>
        </w:tc>
        <w:tc>
          <w:tcPr>
            <w:tcW w:w="728" w:type="dxa"/>
            <w:noWrap/>
            <w:vAlign w:val="center"/>
            <w:hideMark/>
          </w:tcPr>
          <w:p w14:paraId="08075455"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0,0%</w:t>
            </w:r>
          </w:p>
        </w:tc>
        <w:tc>
          <w:tcPr>
            <w:tcW w:w="838" w:type="dxa"/>
            <w:vAlign w:val="center"/>
            <w:hideMark/>
          </w:tcPr>
          <w:p w14:paraId="1C3AE8AB"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-0,1%</w:t>
            </w:r>
          </w:p>
        </w:tc>
        <w:tc>
          <w:tcPr>
            <w:tcW w:w="802" w:type="dxa"/>
            <w:vAlign w:val="center"/>
            <w:hideMark/>
          </w:tcPr>
          <w:p w14:paraId="1AFCACE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-8,9%</w:t>
            </w:r>
          </w:p>
        </w:tc>
        <w:tc>
          <w:tcPr>
            <w:tcW w:w="728" w:type="dxa"/>
            <w:vAlign w:val="center"/>
            <w:hideMark/>
          </w:tcPr>
          <w:p w14:paraId="6A821061"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-6,3%</w:t>
            </w:r>
          </w:p>
        </w:tc>
        <w:tc>
          <w:tcPr>
            <w:tcW w:w="802" w:type="dxa"/>
            <w:vAlign w:val="center"/>
            <w:hideMark/>
          </w:tcPr>
          <w:p w14:paraId="1ABB39C0"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-8,3%</w:t>
            </w:r>
          </w:p>
        </w:tc>
        <w:tc>
          <w:tcPr>
            <w:tcW w:w="692" w:type="dxa"/>
            <w:noWrap/>
            <w:vAlign w:val="center"/>
            <w:hideMark/>
          </w:tcPr>
          <w:p w14:paraId="1BA32C6E"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-1,1%</w:t>
            </w:r>
          </w:p>
        </w:tc>
      </w:tr>
      <w:tr w:rsidR="00715D05" w:rsidRPr="00B57D0A" w14:paraId="11358CDB"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restart"/>
            <w:noWrap/>
            <w:vAlign w:val="center"/>
            <w:hideMark/>
          </w:tcPr>
          <w:p w14:paraId="4AC0BD09" w14:textId="77777777" w:rsidR="00A676E0" w:rsidRPr="00DC1531" w:rsidRDefault="00A676E0" w:rsidP="00A676E0">
            <w:pPr>
              <w:jc w:val="center"/>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2024</w:t>
            </w:r>
          </w:p>
        </w:tc>
        <w:tc>
          <w:tcPr>
            <w:tcW w:w="1814" w:type="dxa"/>
            <w:vAlign w:val="center"/>
            <w:hideMark/>
          </w:tcPr>
          <w:p w14:paraId="5F20EDDD" w14:textId="714409EB"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Plāns</w:t>
            </w:r>
            <w:r w:rsidRPr="00DC1531">
              <w:rPr>
                <w:rFonts w:eastAsia="Times New Roman" w:cs="Times New Roman"/>
                <w:color w:val="000000" w:themeColor="text1"/>
                <w:szCs w:val="24"/>
                <w:lang w:eastAsia="lv-LV"/>
              </w:rPr>
              <w:t>*</w:t>
            </w:r>
            <w:r w:rsidR="0037370C" w:rsidRPr="00DC1531">
              <w:rPr>
                <w:rFonts w:eastAsia="Times New Roman" w:cs="Times New Roman"/>
                <w:color w:val="000000" w:themeColor="text1"/>
                <w:szCs w:val="24"/>
                <w:lang w:eastAsia="lv-LV"/>
              </w:rPr>
              <w:t>*</w:t>
            </w:r>
          </w:p>
        </w:tc>
        <w:tc>
          <w:tcPr>
            <w:tcW w:w="802" w:type="dxa"/>
            <w:noWrap/>
            <w:vAlign w:val="center"/>
            <w:hideMark/>
          </w:tcPr>
          <w:p w14:paraId="0D52313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18,9</w:t>
            </w:r>
          </w:p>
        </w:tc>
        <w:tc>
          <w:tcPr>
            <w:tcW w:w="802" w:type="dxa"/>
            <w:vAlign w:val="center"/>
            <w:hideMark/>
          </w:tcPr>
          <w:p w14:paraId="253612F3"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98,5</w:t>
            </w:r>
          </w:p>
        </w:tc>
        <w:tc>
          <w:tcPr>
            <w:tcW w:w="802" w:type="dxa"/>
            <w:vAlign w:val="center"/>
            <w:hideMark/>
          </w:tcPr>
          <w:p w14:paraId="2681A834"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427,5</w:t>
            </w:r>
          </w:p>
        </w:tc>
        <w:tc>
          <w:tcPr>
            <w:tcW w:w="728" w:type="dxa"/>
            <w:vAlign w:val="center"/>
            <w:hideMark/>
          </w:tcPr>
          <w:p w14:paraId="571EA80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185,3</w:t>
            </w:r>
          </w:p>
        </w:tc>
        <w:tc>
          <w:tcPr>
            <w:tcW w:w="838" w:type="dxa"/>
            <w:noWrap/>
            <w:vAlign w:val="center"/>
            <w:hideMark/>
          </w:tcPr>
          <w:p w14:paraId="4E203BC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3171,3</w:t>
            </w:r>
          </w:p>
        </w:tc>
        <w:tc>
          <w:tcPr>
            <w:tcW w:w="802" w:type="dxa"/>
            <w:noWrap/>
            <w:vAlign w:val="center"/>
            <w:hideMark/>
          </w:tcPr>
          <w:p w14:paraId="45A12B9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174,5</w:t>
            </w:r>
          </w:p>
        </w:tc>
        <w:tc>
          <w:tcPr>
            <w:tcW w:w="728" w:type="dxa"/>
            <w:noWrap/>
            <w:vAlign w:val="center"/>
            <w:hideMark/>
          </w:tcPr>
          <w:p w14:paraId="5311F67A"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106,2</w:t>
            </w:r>
          </w:p>
        </w:tc>
        <w:tc>
          <w:tcPr>
            <w:tcW w:w="802" w:type="dxa"/>
            <w:noWrap/>
            <w:vAlign w:val="center"/>
            <w:hideMark/>
          </w:tcPr>
          <w:p w14:paraId="7329901E"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864,4</w:t>
            </w:r>
          </w:p>
        </w:tc>
        <w:tc>
          <w:tcPr>
            <w:tcW w:w="692" w:type="dxa"/>
            <w:vMerge w:val="restart"/>
            <w:noWrap/>
            <w:vAlign w:val="center"/>
            <w:hideMark/>
          </w:tcPr>
          <w:p w14:paraId="1C8ABB0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 </w:t>
            </w:r>
          </w:p>
        </w:tc>
      </w:tr>
      <w:tr w:rsidR="00B57D0A" w:rsidRPr="00B57D0A" w14:paraId="49544BE5" w14:textId="77777777" w:rsidTr="0015094C">
        <w:trPr>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4E695F76"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3B800AA8"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Izpilde</w:t>
            </w:r>
          </w:p>
        </w:tc>
        <w:tc>
          <w:tcPr>
            <w:tcW w:w="802" w:type="dxa"/>
            <w:noWrap/>
            <w:vAlign w:val="center"/>
            <w:hideMark/>
          </w:tcPr>
          <w:p w14:paraId="3A25B23D"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19,9</w:t>
            </w:r>
          </w:p>
        </w:tc>
        <w:tc>
          <w:tcPr>
            <w:tcW w:w="802" w:type="dxa"/>
            <w:noWrap/>
            <w:vAlign w:val="center"/>
            <w:hideMark/>
          </w:tcPr>
          <w:p w14:paraId="53339484"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96,7</w:t>
            </w:r>
          </w:p>
        </w:tc>
        <w:tc>
          <w:tcPr>
            <w:tcW w:w="802" w:type="dxa"/>
            <w:vAlign w:val="center"/>
            <w:hideMark/>
          </w:tcPr>
          <w:p w14:paraId="7CD57B4B"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424,3</w:t>
            </w:r>
          </w:p>
        </w:tc>
        <w:tc>
          <w:tcPr>
            <w:tcW w:w="728" w:type="dxa"/>
            <w:noWrap/>
            <w:vAlign w:val="center"/>
            <w:hideMark/>
          </w:tcPr>
          <w:p w14:paraId="24E7E94E"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ascii="TimesNewRoman" w:eastAsia="Times New Roman" w:hAnsi="TimesNewRoman" w:cs="Times New Roman"/>
                <w:color w:val="000000" w:themeColor="text1"/>
                <w:sz w:val="20"/>
                <w:szCs w:val="20"/>
                <w:lang w:eastAsia="lv-LV"/>
              </w:rPr>
            </w:pPr>
            <w:r w:rsidRPr="00DC1531">
              <w:rPr>
                <w:rFonts w:ascii="TimesNewRoman" w:eastAsia="Times New Roman" w:hAnsi="TimesNewRoman" w:cs="Times New Roman"/>
                <w:color w:val="000000" w:themeColor="text1"/>
                <w:sz w:val="20"/>
                <w:szCs w:val="20"/>
                <w:lang w:eastAsia="lv-LV"/>
              </w:rPr>
              <w:t>181,2</w:t>
            </w:r>
          </w:p>
        </w:tc>
        <w:tc>
          <w:tcPr>
            <w:tcW w:w="838" w:type="dxa"/>
            <w:noWrap/>
            <w:vAlign w:val="center"/>
            <w:hideMark/>
          </w:tcPr>
          <w:p w14:paraId="6FEE0EF4"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3142,9</w:t>
            </w:r>
          </w:p>
        </w:tc>
        <w:tc>
          <w:tcPr>
            <w:tcW w:w="802" w:type="dxa"/>
            <w:noWrap/>
            <w:vAlign w:val="center"/>
            <w:hideMark/>
          </w:tcPr>
          <w:p w14:paraId="1AC09AA2"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190,6</w:t>
            </w:r>
          </w:p>
        </w:tc>
        <w:tc>
          <w:tcPr>
            <w:tcW w:w="728" w:type="dxa"/>
            <w:noWrap/>
            <w:vAlign w:val="center"/>
            <w:hideMark/>
          </w:tcPr>
          <w:p w14:paraId="69F8F338"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97,1</w:t>
            </w:r>
          </w:p>
        </w:tc>
        <w:tc>
          <w:tcPr>
            <w:tcW w:w="802" w:type="dxa"/>
            <w:noWrap/>
            <w:vAlign w:val="center"/>
            <w:hideMark/>
          </w:tcPr>
          <w:p w14:paraId="0E97984B" w14:textId="77777777" w:rsidR="00A676E0" w:rsidRPr="00DC1531" w:rsidRDefault="00A676E0" w:rsidP="00A676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849,1</w:t>
            </w:r>
          </w:p>
        </w:tc>
        <w:tc>
          <w:tcPr>
            <w:tcW w:w="692" w:type="dxa"/>
            <w:vMerge/>
            <w:vAlign w:val="center"/>
            <w:hideMark/>
          </w:tcPr>
          <w:p w14:paraId="68BA2CC4" w14:textId="77777777" w:rsidR="00A676E0" w:rsidRPr="00DC1531" w:rsidRDefault="00A676E0" w:rsidP="00A676E0">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p>
        </w:tc>
      </w:tr>
      <w:tr w:rsidR="00715D05" w:rsidRPr="00B57D0A" w14:paraId="391E2408" w14:textId="77777777" w:rsidTr="000539A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72" w:type="dxa"/>
            <w:vMerge/>
            <w:vAlign w:val="center"/>
            <w:hideMark/>
          </w:tcPr>
          <w:p w14:paraId="41F07139" w14:textId="77777777" w:rsidR="00A676E0" w:rsidRPr="00DC1531" w:rsidRDefault="00A676E0" w:rsidP="00A676E0">
            <w:pPr>
              <w:rPr>
                <w:rFonts w:eastAsia="Times New Roman" w:cs="Times New Roman"/>
                <w:color w:val="000000" w:themeColor="text1"/>
                <w:sz w:val="20"/>
                <w:szCs w:val="20"/>
                <w:lang w:eastAsia="lv-LV"/>
              </w:rPr>
            </w:pPr>
          </w:p>
        </w:tc>
        <w:tc>
          <w:tcPr>
            <w:tcW w:w="1814" w:type="dxa"/>
            <w:vAlign w:val="center"/>
            <w:hideMark/>
          </w:tcPr>
          <w:p w14:paraId="40347A2A" w14:textId="77777777" w:rsidR="00A676E0" w:rsidRPr="00DC1531" w:rsidRDefault="00A676E0" w:rsidP="00A676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DC1531">
              <w:rPr>
                <w:rFonts w:eastAsia="Times New Roman" w:cs="Times New Roman"/>
                <w:color w:val="000000" w:themeColor="text1"/>
                <w:sz w:val="20"/>
                <w:szCs w:val="20"/>
                <w:lang w:eastAsia="lv-LV"/>
              </w:rPr>
              <w:t>Novirze no plāna %</w:t>
            </w:r>
          </w:p>
        </w:tc>
        <w:tc>
          <w:tcPr>
            <w:tcW w:w="802" w:type="dxa"/>
            <w:noWrap/>
            <w:vAlign w:val="center"/>
            <w:hideMark/>
          </w:tcPr>
          <w:p w14:paraId="383F6AA9"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5,0%</w:t>
            </w:r>
          </w:p>
        </w:tc>
        <w:tc>
          <w:tcPr>
            <w:tcW w:w="802" w:type="dxa"/>
            <w:noWrap/>
            <w:vAlign w:val="center"/>
            <w:hideMark/>
          </w:tcPr>
          <w:p w14:paraId="73EBA138"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-1,8%</w:t>
            </w:r>
          </w:p>
        </w:tc>
        <w:tc>
          <w:tcPr>
            <w:tcW w:w="802" w:type="dxa"/>
            <w:noWrap/>
            <w:vAlign w:val="center"/>
            <w:hideMark/>
          </w:tcPr>
          <w:p w14:paraId="3194DAA7"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-0,7%</w:t>
            </w:r>
          </w:p>
        </w:tc>
        <w:tc>
          <w:tcPr>
            <w:tcW w:w="728" w:type="dxa"/>
            <w:noWrap/>
            <w:vAlign w:val="center"/>
            <w:hideMark/>
          </w:tcPr>
          <w:p w14:paraId="36951581"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ascii="TimesNewRoman" w:eastAsia="Times New Roman" w:hAnsi="TimesNewRoman" w:cs="Times New Roman"/>
                <w:i/>
                <w:iCs/>
                <w:color w:val="000000" w:themeColor="text1"/>
                <w:sz w:val="20"/>
                <w:szCs w:val="20"/>
                <w:lang w:eastAsia="lv-LV"/>
              </w:rPr>
            </w:pPr>
            <w:r w:rsidRPr="00DC1531">
              <w:rPr>
                <w:rFonts w:ascii="TimesNewRoman" w:eastAsia="Times New Roman" w:hAnsi="TimesNewRoman" w:cs="Times New Roman"/>
                <w:i/>
                <w:iCs/>
                <w:color w:val="000000" w:themeColor="text1"/>
                <w:sz w:val="20"/>
                <w:szCs w:val="20"/>
                <w:lang w:eastAsia="lv-LV"/>
              </w:rPr>
              <w:t>-2,2%</w:t>
            </w:r>
          </w:p>
        </w:tc>
        <w:tc>
          <w:tcPr>
            <w:tcW w:w="838" w:type="dxa"/>
            <w:vAlign w:val="center"/>
            <w:hideMark/>
          </w:tcPr>
          <w:p w14:paraId="1066D1BB"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-0,9%</w:t>
            </w:r>
          </w:p>
        </w:tc>
        <w:tc>
          <w:tcPr>
            <w:tcW w:w="802" w:type="dxa"/>
            <w:vAlign w:val="center"/>
            <w:hideMark/>
          </w:tcPr>
          <w:p w14:paraId="53889A92"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9,2%</w:t>
            </w:r>
          </w:p>
        </w:tc>
        <w:tc>
          <w:tcPr>
            <w:tcW w:w="728" w:type="dxa"/>
            <w:vAlign w:val="center"/>
            <w:hideMark/>
          </w:tcPr>
          <w:p w14:paraId="3A9EB040"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-8,6%</w:t>
            </w:r>
          </w:p>
        </w:tc>
        <w:tc>
          <w:tcPr>
            <w:tcW w:w="802" w:type="dxa"/>
            <w:vAlign w:val="center"/>
            <w:hideMark/>
          </w:tcPr>
          <w:p w14:paraId="74DC5F96" w14:textId="77777777"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-1,8%</w:t>
            </w:r>
          </w:p>
        </w:tc>
        <w:tc>
          <w:tcPr>
            <w:tcW w:w="692" w:type="dxa"/>
            <w:noWrap/>
            <w:vAlign w:val="center"/>
            <w:hideMark/>
          </w:tcPr>
          <w:p w14:paraId="454C039D" w14:textId="296C403D" w:rsidR="00A676E0" w:rsidRPr="00DC1531" w:rsidRDefault="00A676E0" w:rsidP="00A676E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DC1531">
              <w:rPr>
                <w:rFonts w:eastAsia="Times New Roman" w:cs="Times New Roman"/>
                <w:i/>
                <w:iCs/>
                <w:color w:val="000000" w:themeColor="text1"/>
                <w:sz w:val="20"/>
                <w:szCs w:val="20"/>
                <w:lang w:eastAsia="lv-LV"/>
              </w:rPr>
              <w:t>-0,</w:t>
            </w:r>
            <w:r w:rsidR="009A02B7" w:rsidRPr="00DC1531">
              <w:rPr>
                <w:rFonts w:eastAsia="Times New Roman" w:cs="Times New Roman"/>
                <w:i/>
                <w:iCs/>
                <w:color w:val="000000" w:themeColor="text1"/>
                <w:sz w:val="20"/>
                <w:szCs w:val="20"/>
                <w:lang w:eastAsia="lv-LV"/>
              </w:rPr>
              <w:t>8</w:t>
            </w:r>
            <w:r w:rsidRPr="00DC1531">
              <w:rPr>
                <w:rFonts w:eastAsia="Times New Roman" w:cs="Times New Roman"/>
                <w:i/>
                <w:iCs/>
                <w:color w:val="000000" w:themeColor="text1"/>
                <w:sz w:val="20"/>
                <w:szCs w:val="20"/>
                <w:lang w:eastAsia="lv-LV"/>
              </w:rPr>
              <w:t>%</w:t>
            </w:r>
          </w:p>
        </w:tc>
      </w:tr>
    </w:tbl>
    <w:p w14:paraId="2D12710E" w14:textId="5CBD9C02" w:rsidR="0037370C" w:rsidRPr="00DC1531" w:rsidRDefault="0037370C" w:rsidP="0015094C">
      <w:pPr>
        <w:shd w:val="clear" w:color="auto" w:fill="FFFFFF" w:themeFill="background1"/>
        <w:spacing w:after="0" w:line="240" w:lineRule="auto"/>
        <w:jc w:val="both"/>
        <w:rPr>
          <w:rFonts w:ascii="Times New Roman" w:hAnsi="Times New Roman"/>
          <w:i/>
          <w:iCs/>
          <w:sz w:val="20"/>
          <w:szCs w:val="20"/>
          <w:vertAlign w:val="superscript"/>
          <w:lang w:eastAsia="lv-LV"/>
        </w:rPr>
      </w:pPr>
      <w:r w:rsidRPr="00DC1531">
        <w:rPr>
          <w:rFonts w:ascii="Times New Roman" w:hAnsi="Times New Roman"/>
          <w:i/>
          <w:iCs/>
          <w:sz w:val="20"/>
          <w:szCs w:val="20"/>
          <w:lang w:eastAsia="lv-LV"/>
        </w:rPr>
        <w:t>*programmas izdevumi netiek ņemti vērā pie</w:t>
      </w:r>
      <w:r w:rsidR="006D7997">
        <w:rPr>
          <w:rFonts w:ascii="Times New Roman" w:hAnsi="Times New Roman"/>
          <w:i/>
          <w:iCs/>
          <w:sz w:val="20"/>
          <w:szCs w:val="20"/>
          <w:lang w:eastAsia="lv-LV"/>
        </w:rPr>
        <w:t xml:space="preserve"> “</w:t>
      </w:r>
      <w:r w:rsidRPr="00DC1531">
        <w:rPr>
          <w:rFonts w:ascii="Times New Roman" w:hAnsi="Times New Roman"/>
          <w:i/>
          <w:iCs/>
          <w:sz w:val="20"/>
          <w:szCs w:val="20"/>
          <w:lang w:eastAsia="lv-LV"/>
        </w:rPr>
        <w:t>vidējā izpilde gadā”</w:t>
      </w:r>
      <w:r>
        <w:rPr>
          <w:rFonts w:ascii="Times New Roman" w:hAnsi="Times New Roman"/>
          <w:i/>
          <w:iCs/>
          <w:sz w:val="20"/>
          <w:szCs w:val="20"/>
          <w:lang w:eastAsia="lv-LV"/>
        </w:rPr>
        <w:t xml:space="preserve"> (</w:t>
      </w:r>
      <w:r w:rsidRPr="00DC1531">
        <w:rPr>
          <w:rFonts w:ascii="Times New Roman" w:hAnsi="Times New Roman"/>
          <w:i/>
          <w:iCs/>
          <w:sz w:val="20"/>
          <w:szCs w:val="20"/>
          <w:lang w:eastAsia="lv-LV"/>
        </w:rPr>
        <w:t>transferti no valsts pamatbudžeta uz valsts speciālo budžetu</w:t>
      </w:r>
      <w:r>
        <w:rPr>
          <w:rFonts w:ascii="Times New Roman" w:hAnsi="Times New Roman"/>
          <w:i/>
          <w:iCs/>
          <w:sz w:val="20"/>
          <w:szCs w:val="20"/>
          <w:lang w:eastAsia="lv-LV"/>
        </w:rPr>
        <w:t>)</w:t>
      </w:r>
    </w:p>
    <w:p w14:paraId="1128983C" w14:textId="4F3B32A3" w:rsidR="00A676E0" w:rsidRDefault="0037370C" w:rsidP="0037370C">
      <w:pPr>
        <w:shd w:val="clear" w:color="auto" w:fill="FFFFFF" w:themeFill="background1"/>
        <w:spacing w:after="0" w:line="240" w:lineRule="auto"/>
        <w:jc w:val="both"/>
        <w:rPr>
          <w:rFonts w:ascii="Times New Roman" w:hAnsi="Times New Roman" w:cs="Times New Roman"/>
          <w:i/>
          <w:iCs/>
          <w:sz w:val="20"/>
          <w:szCs w:val="20"/>
          <w:lang w:eastAsia="lv-LV"/>
        </w:rPr>
      </w:pPr>
      <w:r>
        <w:rPr>
          <w:rFonts w:ascii="Times New Roman" w:hAnsi="Times New Roman" w:cs="Times New Roman"/>
          <w:i/>
          <w:iCs/>
          <w:sz w:val="20"/>
          <w:szCs w:val="20"/>
          <w:vertAlign w:val="superscript"/>
          <w:lang w:eastAsia="lv-LV"/>
        </w:rPr>
        <w:t>*</w:t>
      </w:r>
      <w:r w:rsidR="00A676E0" w:rsidRPr="469479B5">
        <w:rPr>
          <w:rFonts w:ascii="Times New Roman" w:hAnsi="Times New Roman" w:cs="Times New Roman"/>
          <w:i/>
          <w:iCs/>
          <w:sz w:val="20"/>
          <w:szCs w:val="20"/>
          <w:vertAlign w:val="superscript"/>
          <w:lang w:eastAsia="lv-LV"/>
        </w:rPr>
        <w:t>*</w:t>
      </w:r>
      <w:r w:rsidR="00A676E0" w:rsidRPr="469479B5">
        <w:rPr>
          <w:rFonts w:ascii="Times New Roman" w:hAnsi="Times New Roman" w:cs="Times New Roman"/>
          <w:i/>
          <w:iCs/>
          <w:sz w:val="20"/>
          <w:szCs w:val="20"/>
          <w:lang w:eastAsia="lv-LV"/>
        </w:rPr>
        <w:t>saskaņā ar likumu “Par valsts budžetu 202</w:t>
      </w:r>
      <w:r w:rsidR="00A676E0">
        <w:rPr>
          <w:rFonts w:ascii="Times New Roman" w:hAnsi="Times New Roman" w:cs="Times New Roman"/>
          <w:i/>
          <w:iCs/>
          <w:sz w:val="20"/>
          <w:szCs w:val="20"/>
          <w:lang w:eastAsia="lv-LV"/>
        </w:rPr>
        <w:t>4</w:t>
      </w:r>
      <w:r w:rsidR="00A676E0" w:rsidRPr="469479B5">
        <w:rPr>
          <w:rFonts w:ascii="Times New Roman" w:hAnsi="Times New Roman" w:cs="Times New Roman"/>
          <w:i/>
          <w:iCs/>
          <w:sz w:val="20"/>
          <w:szCs w:val="20"/>
          <w:lang w:eastAsia="lv-LV"/>
        </w:rPr>
        <w:t>. gadam un budžeta ietvaru 202</w:t>
      </w:r>
      <w:r w:rsidR="00A676E0">
        <w:rPr>
          <w:rFonts w:ascii="Times New Roman" w:hAnsi="Times New Roman" w:cs="Times New Roman"/>
          <w:i/>
          <w:iCs/>
          <w:sz w:val="20"/>
          <w:szCs w:val="20"/>
          <w:lang w:eastAsia="lv-LV"/>
        </w:rPr>
        <w:t>4</w:t>
      </w:r>
      <w:r w:rsidR="00A676E0" w:rsidRPr="469479B5">
        <w:rPr>
          <w:rFonts w:ascii="Times New Roman" w:hAnsi="Times New Roman" w:cs="Times New Roman"/>
          <w:i/>
          <w:iCs/>
          <w:sz w:val="20"/>
          <w:szCs w:val="20"/>
          <w:lang w:eastAsia="lv-LV"/>
        </w:rPr>
        <w:t>., 202</w:t>
      </w:r>
      <w:r w:rsidR="00A676E0">
        <w:rPr>
          <w:rFonts w:ascii="Times New Roman" w:hAnsi="Times New Roman" w:cs="Times New Roman"/>
          <w:i/>
          <w:iCs/>
          <w:sz w:val="20"/>
          <w:szCs w:val="20"/>
          <w:lang w:eastAsia="lv-LV"/>
        </w:rPr>
        <w:t>5</w:t>
      </w:r>
      <w:r w:rsidR="00A676E0" w:rsidRPr="469479B5">
        <w:rPr>
          <w:rFonts w:ascii="Times New Roman" w:hAnsi="Times New Roman" w:cs="Times New Roman"/>
          <w:i/>
          <w:iCs/>
          <w:sz w:val="20"/>
          <w:szCs w:val="20"/>
          <w:lang w:eastAsia="lv-LV"/>
        </w:rPr>
        <w:t>. un 202</w:t>
      </w:r>
      <w:r w:rsidR="00A676E0">
        <w:rPr>
          <w:rFonts w:ascii="Times New Roman" w:hAnsi="Times New Roman" w:cs="Times New Roman"/>
          <w:i/>
          <w:iCs/>
          <w:sz w:val="20"/>
          <w:szCs w:val="20"/>
          <w:lang w:eastAsia="lv-LV"/>
        </w:rPr>
        <w:t>6</w:t>
      </w:r>
      <w:r w:rsidR="00A676E0" w:rsidRPr="469479B5">
        <w:rPr>
          <w:rFonts w:ascii="Times New Roman" w:hAnsi="Times New Roman" w:cs="Times New Roman"/>
          <w:i/>
          <w:iCs/>
          <w:sz w:val="20"/>
          <w:szCs w:val="20"/>
          <w:lang w:eastAsia="lv-LV"/>
        </w:rPr>
        <w:t>. gadam”, bez veiktajām izmaiņām ar FM rīkojumiem</w:t>
      </w:r>
    </w:p>
    <w:p w14:paraId="768C39A7" w14:textId="77777777" w:rsidR="0037370C" w:rsidRDefault="0037370C" w:rsidP="0037370C">
      <w:pPr>
        <w:shd w:val="clear" w:color="auto" w:fill="FFFFFF" w:themeFill="background1"/>
        <w:spacing w:after="0" w:line="240" w:lineRule="auto"/>
        <w:jc w:val="both"/>
        <w:rPr>
          <w:rFonts w:ascii="Times New Roman" w:hAnsi="Times New Roman" w:cs="Times New Roman"/>
          <w:i/>
          <w:iCs/>
          <w:sz w:val="20"/>
          <w:szCs w:val="20"/>
          <w:lang w:eastAsia="lv-LV"/>
        </w:rPr>
      </w:pPr>
    </w:p>
    <w:p w14:paraId="393591F7" w14:textId="0EF705E4" w:rsidR="00A54B9F" w:rsidRDefault="0037370C" w:rsidP="00A54B9F">
      <w:pPr>
        <w:shd w:val="clear" w:color="auto" w:fill="FFFFFF" w:themeFill="background1"/>
        <w:spacing w:after="0" w:line="240" w:lineRule="auto"/>
        <w:ind w:firstLine="720"/>
        <w:jc w:val="both"/>
        <w:rPr>
          <w:rFonts w:ascii="Times New Roman" w:hAnsi="Times New Roman" w:cs="Times New Roman"/>
          <w:sz w:val="24"/>
          <w:szCs w:val="24"/>
        </w:rPr>
      </w:pPr>
      <w:r w:rsidRPr="00DC1531">
        <w:rPr>
          <w:rFonts w:ascii="Times New Roman" w:hAnsi="Times New Roman" w:cs="Times New Roman"/>
          <w:sz w:val="24"/>
          <w:szCs w:val="24"/>
        </w:rPr>
        <w:t>Valsts pamatbudžeta un speciālā budžeta sociālo pabalstu un pensiju izdevumu plānotās vērtības no 2014. gada līdz 2024. gadam vidēji ir pieaugušas 2,7 reizes. Tomēr pieaugums virs vidējā</w:t>
      </w:r>
      <w:r w:rsidR="00AF1D5A">
        <w:rPr>
          <w:rFonts w:ascii="Times New Roman" w:hAnsi="Times New Roman" w:cs="Times New Roman"/>
          <w:sz w:val="24"/>
          <w:szCs w:val="24"/>
        </w:rPr>
        <w:t xml:space="preserve"> </w:t>
      </w:r>
      <w:r w:rsidRPr="00DC1531">
        <w:rPr>
          <w:rFonts w:ascii="Times New Roman" w:hAnsi="Times New Roman" w:cs="Times New Roman"/>
          <w:sz w:val="24"/>
          <w:szCs w:val="24"/>
        </w:rPr>
        <w:t xml:space="preserve">līmeņa ir vērojams </w:t>
      </w:r>
      <w:r w:rsidR="00AF1D5A" w:rsidRPr="00F23336">
        <w:rPr>
          <w:rFonts w:ascii="Times New Roman" w:hAnsi="Times New Roman" w:cs="Times New Roman"/>
          <w:sz w:val="24"/>
          <w:szCs w:val="24"/>
        </w:rPr>
        <w:t>darba negadījumu speciālajā budžetā (4,3 reizes)</w:t>
      </w:r>
      <w:r w:rsidR="00AF1D5A">
        <w:rPr>
          <w:rFonts w:ascii="Times New Roman" w:hAnsi="Times New Roman" w:cs="Times New Roman"/>
          <w:sz w:val="24"/>
          <w:szCs w:val="24"/>
        </w:rPr>
        <w:t xml:space="preserve"> un</w:t>
      </w:r>
      <w:r w:rsidR="00AF1D5A" w:rsidRPr="002D3A75">
        <w:rPr>
          <w:rFonts w:ascii="Times New Roman" w:hAnsi="Times New Roman" w:cs="Times New Roman"/>
          <w:sz w:val="24"/>
          <w:szCs w:val="24"/>
        </w:rPr>
        <w:t xml:space="preserve"> </w:t>
      </w:r>
      <w:r w:rsidRPr="00DC1531">
        <w:rPr>
          <w:rFonts w:ascii="Times New Roman" w:hAnsi="Times New Roman" w:cs="Times New Roman"/>
          <w:sz w:val="24"/>
          <w:szCs w:val="24"/>
        </w:rPr>
        <w:t>izdienas pensijām (3,2 reizes</w:t>
      </w:r>
      <w:r w:rsidR="00AF1D5A">
        <w:rPr>
          <w:rFonts w:ascii="Times New Roman" w:hAnsi="Times New Roman" w:cs="Times New Roman"/>
          <w:sz w:val="24"/>
          <w:szCs w:val="24"/>
        </w:rPr>
        <w:t>). D</w:t>
      </w:r>
      <w:r w:rsidR="00AF1D5A" w:rsidRPr="002D3A75">
        <w:rPr>
          <w:rFonts w:ascii="Times New Roman" w:hAnsi="Times New Roman" w:cs="Times New Roman"/>
          <w:sz w:val="24"/>
          <w:szCs w:val="24"/>
        </w:rPr>
        <w:t>arba negadījumu speciālā budžeta pieaugums saistāms</w:t>
      </w:r>
      <w:r w:rsidR="000539A1">
        <w:rPr>
          <w:rFonts w:ascii="Times New Roman" w:hAnsi="Times New Roman" w:cs="Times New Roman"/>
          <w:sz w:val="24"/>
          <w:szCs w:val="24"/>
        </w:rPr>
        <w:t xml:space="preserve"> ar</w:t>
      </w:r>
      <w:r w:rsidR="00AF1D5A" w:rsidRPr="002D3A75">
        <w:rPr>
          <w:rFonts w:ascii="Times New Roman" w:hAnsi="Times New Roman" w:cs="Times New Roman"/>
          <w:sz w:val="24"/>
          <w:szCs w:val="24"/>
        </w:rPr>
        <w:t xml:space="preserve"> pakalpojumu saņēmēju skaita palielinājumu</w:t>
      </w:r>
      <w:r w:rsidR="00AF1D5A">
        <w:rPr>
          <w:rFonts w:ascii="Times New Roman" w:hAnsi="Times New Roman" w:cs="Times New Roman"/>
          <w:sz w:val="24"/>
          <w:szCs w:val="24"/>
        </w:rPr>
        <w:t>,</w:t>
      </w:r>
      <w:r w:rsidR="00AF1D5A" w:rsidRPr="002D3A75">
        <w:rPr>
          <w:rFonts w:ascii="Times New Roman" w:hAnsi="Times New Roman" w:cs="Times New Roman"/>
          <w:sz w:val="24"/>
          <w:szCs w:val="24"/>
        </w:rPr>
        <w:t xml:space="preserve"> vidējo apdrošināšanas iemaksu algu pieaugumu un atlīdzību indeksāciju.</w:t>
      </w:r>
      <w:r w:rsidR="00AF1D5A">
        <w:rPr>
          <w:rFonts w:ascii="Times New Roman" w:hAnsi="Times New Roman" w:cs="Times New Roman"/>
          <w:sz w:val="24"/>
          <w:szCs w:val="24"/>
        </w:rPr>
        <w:t xml:space="preserve"> </w:t>
      </w:r>
      <w:bookmarkStart w:id="68" w:name="_Hlk205277261"/>
      <w:r w:rsidRPr="00DC1531">
        <w:rPr>
          <w:rFonts w:ascii="Times New Roman" w:hAnsi="Times New Roman" w:cs="Times New Roman"/>
          <w:sz w:val="24"/>
          <w:szCs w:val="24"/>
        </w:rPr>
        <w:t xml:space="preserve">Pieaugumu izdienas pensiju plānotajiem izdevumiem ietekmējis atlīdzības pieaugums publiskajā sektorā, pensiju indeksācija un paplašinātais izdienas pensiju saņēmēju loks. </w:t>
      </w:r>
      <w:bookmarkEnd w:id="68"/>
    </w:p>
    <w:p w14:paraId="31A9059E" w14:textId="5F6C3323" w:rsidR="000B3B08" w:rsidRDefault="6029174C" w:rsidP="00597FA9">
      <w:pPr>
        <w:spacing w:after="100" w:afterAutospacing="1"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Tabulā Nr.</w:t>
      </w:r>
      <w:r w:rsidR="43B306BB" w:rsidRPr="469479B5">
        <w:rPr>
          <w:rFonts w:ascii="Times New Roman" w:hAnsi="Times New Roman" w:cs="Times New Roman"/>
          <w:sz w:val="24"/>
          <w:szCs w:val="24"/>
        </w:rPr>
        <w:t>2.4.2</w:t>
      </w:r>
      <w:r w:rsidRPr="469479B5">
        <w:rPr>
          <w:rFonts w:ascii="Times New Roman" w:hAnsi="Times New Roman" w:cs="Times New Roman"/>
          <w:sz w:val="24"/>
          <w:szCs w:val="24"/>
        </w:rPr>
        <w:t xml:space="preserve"> ir atspoguļota sociālās apdrošināšanas iemaksu dinamika speciālajā budžetā.</w:t>
      </w:r>
      <w:r w:rsidR="667ACCA0" w:rsidRPr="469479B5">
        <w:rPr>
          <w:rFonts w:ascii="Times New Roman" w:hAnsi="Times New Roman" w:cs="Times New Roman"/>
          <w:sz w:val="24"/>
          <w:szCs w:val="24"/>
        </w:rPr>
        <w:t xml:space="preserve"> </w:t>
      </w:r>
      <w:r w:rsidR="667ACCA0" w:rsidRPr="469479B5">
        <w:rPr>
          <w:rFonts w:ascii="Times New Roman" w:eastAsia="Times New Roman" w:hAnsi="Times New Roman" w:cs="Times New Roman"/>
          <w:sz w:val="24"/>
          <w:szCs w:val="24"/>
        </w:rPr>
        <w:t>No 2014.</w:t>
      </w:r>
      <w:r w:rsidR="5569E1D2" w:rsidRPr="469479B5">
        <w:rPr>
          <w:rFonts w:ascii="Times New Roman" w:eastAsia="Times New Roman" w:hAnsi="Times New Roman" w:cs="Times New Roman"/>
          <w:sz w:val="24"/>
          <w:szCs w:val="24"/>
        </w:rPr>
        <w:t xml:space="preserve"> </w:t>
      </w:r>
      <w:r w:rsidR="667ACCA0" w:rsidRPr="469479B5">
        <w:rPr>
          <w:rFonts w:ascii="Times New Roman" w:eastAsia="Times New Roman" w:hAnsi="Times New Roman" w:cs="Times New Roman"/>
          <w:sz w:val="24"/>
          <w:szCs w:val="24"/>
        </w:rPr>
        <w:t>gada līdz 2016.</w:t>
      </w:r>
      <w:r w:rsidR="26DE1A6F" w:rsidRPr="469479B5">
        <w:rPr>
          <w:rFonts w:ascii="Times New Roman" w:eastAsia="Times New Roman" w:hAnsi="Times New Roman" w:cs="Times New Roman"/>
          <w:sz w:val="24"/>
          <w:szCs w:val="24"/>
        </w:rPr>
        <w:t xml:space="preserve"> </w:t>
      </w:r>
      <w:r w:rsidR="667ACCA0" w:rsidRPr="469479B5">
        <w:rPr>
          <w:rFonts w:ascii="Times New Roman" w:eastAsia="Times New Roman" w:hAnsi="Times New Roman" w:cs="Times New Roman"/>
          <w:sz w:val="24"/>
          <w:szCs w:val="24"/>
        </w:rPr>
        <w:t>gadam faktiskās</w:t>
      </w:r>
      <w:r w:rsidR="00955A6F">
        <w:rPr>
          <w:rFonts w:ascii="Times New Roman" w:eastAsia="Times New Roman" w:hAnsi="Times New Roman" w:cs="Times New Roman"/>
          <w:sz w:val="24"/>
          <w:szCs w:val="24"/>
        </w:rPr>
        <w:t xml:space="preserve"> sociālās apdrošināšanas</w:t>
      </w:r>
      <w:r w:rsidR="667ACCA0" w:rsidRPr="469479B5">
        <w:rPr>
          <w:rFonts w:ascii="Times New Roman" w:eastAsia="Times New Roman" w:hAnsi="Times New Roman" w:cs="Times New Roman"/>
          <w:sz w:val="24"/>
          <w:szCs w:val="24"/>
        </w:rPr>
        <w:t xml:space="preserve"> iemaksas bija zemākas kā plānotās</w:t>
      </w:r>
      <w:r w:rsidR="00955A6F">
        <w:rPr>
          <w:rFonts w:ascii="Times New Roman" w:hAnsi="Times New Roman" w:cs="Times New Roman"/>
          <w:sz w:val="24"/>
          <w:szCs w:val="24"/>
        </w:rPr>
        <w:t>, savukārt no</w:t>
      </w:r>
      <w:r w:rsidRPr="469479B5">
        <w:rPr>
          <w:rFonts w:ascii="Times New Roman" w:hAnsi="Times New Roman" w:cs="Times New Roman"/>
          <w:sz w:val="24"/>
          <w:szCs w:val="24"/>
        </w:rPr>
        <w:t xml:space="preserve"> 2017.</w:t>
      </w:r>
      <w:r w:rsidR="5E98A426"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līdz 2019.</w:t>
      </w:r>
      <w:r w:rsidR="5E98A426"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gadam sociālo apdrošināšanas iemaksu apjoms</w:t>
      </w:r>
      <w:r w:rsidR="1C8BF8F0" w:rsidRPr="469479B5">
        <w:rPr>
          <w:rFonts w:ascii="Times New Roman" w:hAnsi="Times New Roman" w:cs="Times New Roman"/>
          <w:sz w:val="24"/>
          <w:szCs w:val="24"/>
        </w:rPr>
        <w:t xml:space="preserve"> </w:t>
      </w:r>
      <w:r w:rsidR="00C90D4C">
        <w:rPr>
          <w:rFonts w:ascii="Times New Roman" w:hAnsi="Times New Roman" w:cs="Times New Roman"/>
          <w:sz w:val="24"/>
          <w:szCs w:val="24"/>
        </w:rPr>
        <w:t xml:space="preserve">nebūtiski </w:t>
      </w:r>
      <w:r w:rsidRPr="469479B5">
        <w:rPr>
          <w:rFonts w:ascii="Times New Roman" w:hAnsi="Times New Roman" w:cs="Times New Roman"/>
          <w:sz w:val="24"/>
          <w:szCs w:val="24"/>
        </w:rPr>
        <w:t>pārsniedza plānoto apjomu. Ja 2020.</w:t>
      </w:r>
      <w:r w:rsidR="7988F73C" w:rsidRPr="469479B5">
        <w:rPr>
          <w:rFonts w:ascii="Times New Roman" w:hAnsi="Times New Roman" w:cs="Times New Roman"/>
          <w:sz w:val="24"/>
          <w:szCs w:val="24"/>
        </w:rPr>
        <w:t xml:space="preserve"> </w:t>
      </w:r>
      <w:r w:rsidRPr="469479B5">
        <w:rPr>
          <w:rFonts w:ascii="Times New Roman" w:hAnsi="Times New Roman" w:cs="Times New Roman"/>
          <w:sz w:val="24"/>
          <w:szCs w:val="24"/>
        </w:rPr>
        <w:t>gadā, sākoties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izplatībai, būtiski saruka sociālās apdrošināšanas iemaksas</w:t>
      </w:r>
      <w:r w:rsidR="00211C37">
        <w:rPr>
          <w:rFonts w:ascii="Times New Roman" w:hAnsi="Times New Roman" w:cs="Times New Roman"/>
          <w:sz w:val="24"/>
          <w:szCs w:val="24"/>
        </w:rPr>
        <w:t xml:space="preserve"> un tās nesasniedza plānoto apmēru</w:t>
      </w:r>
      <w:r w:rsidRPr="469479B5">
        <w:rPr>
          <w:rFonts w:ascii="Times New Roman" w:hAnsi="Times New Roman" w:cs="Times New Roman"/>
          <w:sz w:val="24"/>
          <w:szCs w:val="24"/>
        </w:rPr>
        <w:t>, tad 2021.</w:t>
      </w:r>
      <w:r w:rsidR="0AEDCFD3" w:rsidRPr="469479B5">
        <w:rPr>
          <w:rFonts w:ascii="Times New Roman" w:hAnsi="Times New Roman" w:cs="Times New Roman"/>
          <w:sz w:val="24"/>
          <w:szCs w:val="24"/>
        </w:rPr>
        <w:t xml:space="preserve"> </w:t>
      </w:r>
      <w:r w:rsidRPr="469479B5">
        <w:rPr>
          <w:rFonts w:ascii="Times New Roman" w:hAnsi="Times New Roman" w:cs="Times New Roman"/>
          <w:sz w:val="24"/>
          <w:szCs w:val="24"/>
        </w:rPr>
        <w:t>gadā, sagatavojot prognozes lielas nenoteiktības apstākļos, plānotais sociālo apdrošināšanas iemaksu apjoms bija būtiski zemāks kā faktiski saņemtais. Ekonomiskā aktivitāte strauji atkopās pēc krituma 2020.</w:t>
      </w:r>
      <w:r w:rsidR="0803A0A8"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gadā, nodrošinot sociālo apdrošināšanas iemaksu virsplāna izpildi </w:t>
      </w:r>
      <w:r w:rsidR="40CFE2F9" w:rsidRPr="469479B5">
        <w:rPr>
          <w:rFonts w:ascii="Times New Roman" w:hAnsi="Times New Roman" w:cs="Times New Roman"/>
          <w:sz w:val="24"/>
          <w:szCs w:val="24"/>
        </w:rPr>
        <w:t>2022.</w:t>
      </w:r>
      <w:r w:rsidR="3B1A5233" w:rsidRPr="469479B5">
        <w:rPr>
          <w:rFonts w:ascii="Times New Roman" w:hAnsi="Times New Roman" w:cs="Times New Roman"/>
          <w:sz w:val="24"/>
          <w:szCs w:val="24"/>
        </w:rPr>
        <w:t xml:space="preserve"> </w:t>
      </w:r>
      <w:r w:rsidR="40CFE2F9" w:rsidRPr="469479B5">
        <w:rPr>
          <w:rFonts w:ascii="Times New Roman" w:hAnsi="Times New Roman" w:cs="Times New Roman"/>
          <w:sz w:val="24"/>
          <w:szCs w:val="24"/>
        </w:rPr>
        <w:t>gadā, augstas inflācijas apstākļos, faktiskās sociālās apdrošināšanas iemaksas būtiski pārsniedza plānotās</w:t>
      </w:r>
      <w:r w:rsidR="12DA1A31" w:rsidRPr="469479B5">
        <w:rPr>
          <w:rFonts w:ascii="Times New Roman" w:hAnsi="Times New Roman" w:cs="Times New Roman"/>
          <w:sz w:val="24"/>
          <w:szCs w:val="24"/>
        </w:rPr>
        <w:t>, savukārt 2023. gadā faktiskās sociālās apdrošināšanas iemaksas gandrīz sakrita ar plānoto apjomu</w:t>
      </w:r>
      <w:r w:rsidR="40CFE2F9" w:rsidRPr="469479B5">
        <w:rPr>
          <w:rFonts w:ascii="Times New Roman" w:hAnsi="Times New Roman" w:cs="Times New Roman"/>
          <w:sz w:val="24"/>
          <w:szCs w:val="24"/>
        </w:rPr>
        <w:t>.</w:t>
      </w:r>
      <w:r w:rsidR="64DFB0CD" w:rsidRPr="469479B5">
        <w:rPr>
          <w:rFonts w:ascii="Times New Roman" w:hAnsi="Times New Roman" w:cs="Times New Roman"/>
          <w:sz w:val="24"/>
          <w:szCs w:val="24"/>
        </w:rPr>
        <w:t xml:space="preserve"> </w:t>
      </w:r>
      <w:r w:rsidR="00B72F33">
        <w:rPr>
          <w:rFonts w:ascii="Times New Roman" w:hAnsi="Times New Roman" w:cs="Times New Roman"/>
          <w:sz w:val="24"/>
          <w:szCs w:val="24"/>
        </w:rPr>
        <w:t>Tomēr 2024. gadā atkal vērojamas zemākas sociālās apdrošināšanas iemaksas speciālajā budžetā kā sākotnēji tika plānots.</w:t>
      </w:r>
      <w:r w:rsidR="00C90D4C">
        <w:rPr>
          <w:rFonts w:ascii="Times New Roman" w:hAnsi="Times New Roman" w:cs="Times New Roman"/>
          <w:sz w:val="24"/>
          <w:szCs w:val="24"/>
        </w:rPr>
        <w:t xml:space="preserve"> </w:t>
      </w:r>
    </w:p>
    <w:p w14:paraId="233A4CC3" w14:textId="1045C11A" w:rsidR="003E4182" w:rsidRPr="003E4182" w:rsidRDefault="003E4182" w:rsidP="00615755">
      <w:pPr>
        <w:spacing w:after="0" w:line="240" w:lineRule="auto"/>
        <w:jc w:val="right"/>
        <w:rPr>
          <w:rFonts w:ascii="Times New Roman" w:eastAsiaTheme="minorHAnsi" w:hAnsi="Times New Roman" w:cs="Times New Roman"/>
          <w:b/>
          <w:sz w:val="24"/>
          <w:szCs w:val="20"/>
        </w:rPr>
      </w:pPr>
      <w:r w:rsidRPr="002023AF">
        <w:rPr>
          <w:rFonts w:ascii="Times New Roman" w:eastAsiaTheme="minorHAnsi" w:hAnsi="Times New Roman" w:cs="Times New Roman"/>
          <w:b/>
          <w:sz w:val="24"/>
          <w:szCs w:val="20"/>
        </w:rPr>
        <w:t xml:space="preserve">Tabula Nr.2.4.2 Sociālās apdrošināšanas iemaksas speciālajā budžetā, milj. </w:t>
      </w:r>
      <w:r w:rsidRPr="002023AF">
        <w:rPr>
          <w:rFonts w:ascii="Times New Roman" w:eastAsiaTheme="minorHAnsi" w:hAnsi="Times New Roman" w:cs="Times New Roman"/>
          <w:b/>
          <w:i/>
          <w:sz w:val="24"/>
          <w:szCs w:val="20"/>
        </w:rPr>
        <w:t>euro</w:t>
      </w:r>
      <w:r w:rsidRPr="002023AF">
        <w:rPr>
          <w:rFonts w:ascii="Times New Roman" w:eastAsiaTheme="minorHAnsi" w:hAnsi="Times New Roman" w:cs="Times New Roman"/>
          <w:b/>
          <w:sz w:val="24"/>
          <w:szCs w:val="20"/>
        </w:rPr>
        <w:t xml:space="preserve"> </w:t>
      </w:r>
    </w:p>
    <w:tbl>
      <w:tblPr>
        <w:tblStyle w:val="GridTable6Colorful-Accent11"/>
        <w:tblpPr w:leftFromText="180" w:rightFromText="180" w:vertAnchor="text" w:horzAnchor="margin" w:tblpXSpec="center" w:tblpY="335"/>
        <w:tblW w:w="10060" w:type="dxa"/>
        <w:tblLook w:val="04A0" w:firstRow="1" w:lastRow="0" w:firstColumn="1" w:lastColumn="0" w:noHBand="0" w:noVBand="1"/>
      </w:tblPr>
      <w:tblGrid>
        <w:gridCol w:w="1435"/>
        <w:gridCol w:w="785"/>
        <w:gridCol w:w="785"/>
        <w:gridCol w:w="785"/>
        <w:gridCol w:w="794"/>
        <w:gridCol w:w="785"/>
        <w:gridCol w:w="785"/>
        <w:gridCol w:w="785"/>
        <w:gridCol w:w="785"/>
        <w:gridCol w:w="785"/>
        <w:gridCol w:w="785"/>
        <w:gridCol w:w="766"/>
      </w:tblGrid>
      <w:tr w:rsidR="00B06F79" w:rsidRPr="00003996" w14:paraId="4F86F901" w14:textId="77777777" w:rsidTr="00853CA4">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34" w:type="dxa"/>
            <w:noWrap/>
            <w:vAlign w:val="center"/>
            <w:hideMark/>
          </w:tcPr>
          <w:p w14:paraId="1BDE2F8E" w14:textId="77777777" w:rsidR="00B06F79" w:rsidRPr="00940337" w:rsidRDefault="00B06F79" w:rsidP="00615755">
            <w:pP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Gads/rādītājs</w:t>
            </w:r>
          </w:p>
        </w:tc>
        <w:tc>
          <w:tcPr>
            <w:tcW w:w="787" w:type="dxa"/>
            <w:vAlign w:val="center"/>
          </w:tcPr>
          <w:p w14:paraId="35D328AA" w14:textId="77777777" w:rsidR="00B06F79" w:rsidRPr="00940337"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2014</w:t>
            </w:r>
          </w:p>
        </w:tc>
        <w:tc>
          <w:tcPr>
            <w:tcW w:w="787" w:type="dxa"/>
            <w:vAlign w:val="center"/>
          </w:tcPr>
          <w:p w14:paraId="00CBBF94" w14:textId="77777777" w:rsidR="00B06F79" w:rsidRPr="00940337"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2015</w:t>
            </w:r>
          </w:p>
        </w:tc>
        <w:tc>
          <w:tcPr>
            <w:tcW w:w="787" w:type="dxa"/>
            <w:vAlign w:val="center"/>
          </w:tcPr>
          <w:p w14:paraId="23813EA0" w14:textId="77777777" w:rsidR="00B06F79" w:rsidRPr="00940337"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2016</w:t>
            </w:r>
          </w:p>
        </w:tc>
        <w:tc>
          <w:tcPr>
            <w:tcW w:w="794" w:type="dxa"/>
            <w:noWrap/>
            <w:vAlign w:val="center"/>
            <w:hideMark/>
          </w:tcPr>
          <w:p w14:paraId="304C39E6" w14:textId="77777777" w:rsidR="00B06F79" w:rsidRPr="00940337"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2017</w:t>
            </w:r>
          </w:p>
        </w:tc>
        <w:tc>
          <w:tcPr>
            <w:tcW w:w="787" w:type="dxa"/>
            <w:vAlign w:val="center"/>
          </w:tcPr>
          <w:p w14:paraId="7755ED41" w14:textId="77777777" w:rsidR="00B06F79" w:rsidRPr="00005705"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2018</w:t>
            </w:r>
          </w:p>
        </w:tc>
        <w:tc>
          <w:tcPr>
            <w:tcW w:w="787" w:type="dxa"/>
            <w:vAlign w:val="center"/>
          </w:tcPr>
          <w:p w14:paraId="367BBDC1" w14:textId="77777777" w:rsidR="00B06F79" w:rsidRPr="00005705"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2019</w:t>
            </w:r>
          </w:p>
        </w:tc>
        <w:tc>
          <w:tcPr>
            <w:tcW w:w="787" w:type="dxa"/>
            <w:vAlign w:val="center"/>
          </w:tcPr>
          <w:p w14:paraId="442B5CF8" w14:textId="77777777" w:rsidR="00B06F79" w:rsidRPr="00005705"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2020</w:t>
            </w:r>
          </w:p>
        </w:tc>
        <w:tc>
          <w:tcPr>
            <w:tcW w:w="787" w:type="dxa"/>
            <w:vAlign w:val="center"/>
          </w:tcPr>
          <w:p w14:paraId="4E9A775A" w14:textId="77777777" w:rsidR="00B06F79" w:rsidRPr="00005705"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2021</w:t>
            </w:r>
          </w:p>
        </w:tc>
        <w:tc>
          <w:tcPr>
            <w:tcW w:w="787" w:type="dxa"/>
            <w:vAlign w:val="center"/>
          </w:tcPr>
          <w:p w14:paraId="16E188B2" w14:textId="77777777" w:rsidR="00B06F79" w:rsidRPr="00005705"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2022</w:t>
            </w:r>
          </w:p>
        </w:tc>
        <w:tc>
          <w:tcPr>
            <w:tcW w:w="787" w:type="dxa"/>
            <w:vAlign w:val="center"/>
          </w:tcPr>
          <w:p w14:paraId="6545D5B3" w14:textId="77777777" w:rsidR="00B06F79" w:rsidRPr="00005705" w:rsidRDefault="00B06F79"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2023</w:t>
            </w:r>
          </w:p>
        </w:tc>
        <w:tc>
          <w:tcPr>
            <w:tcW w:w="749" w:type="dxa"/>
            <w:vAlign w:val="center"/>
          </w:tcPr>
          <w:p w14:paraId="43242758" w14:textId="7A15C506" w:rsidR="00B06F79" w:rsidRPr="00005705" w:rsidRDefault="00853CA4" w:rsidP="003E418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2024</w:t>
            </w:r>
          </w:p>
        </w:tc>
      </w:tr>
      <w:tr w:rsidR="00955A6F" w:rsidRPr="00003996" w14:paraId="5BA23E4E" w14:textId="77777777" w:rsidTr="00853CA4">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34" w:type="dxa"/>
            <w:noWrap/>
            <w:vAlign w:val="center"/>
            <w:hideMark/>
          </w:tcPr>
          <w:p w14:paraId="080B75E1" w14:textId="77777777" w:rsidR="00B06F79" w:rsidRPr="00940337" w:rsidRDefault="00B06F79" w:rsidP="003E4182">
            <w:pP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787" w:type="dxa"/>
            <w:vAlign w:val="center"/>
          </w:tcPr>
          <w:p w14:paraId="3AB5FC66" w14:textId="77777777" w:rsidR="00B06F79" w:rsidRPr="00003996"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469479B5">
              <w:rPr>
                <w:rFonts w:eastAsia="Times New Roman" w:cs="Times New Roman"/>
                <w:color w:val="000000" w:themeColor="text1"/>
                <w:sz w:val="20"/>
                <w:szCs w:val="20"/>
                <w:lang w:eastAsia="lv-LV"/>
              </w:rPr>
              <w:t>1984,7</w:t>
            </w:r>
          </w:p>
        </w:tc>
        <w:tc>
          <w:tcPr>
            <w:tcW w:w="787" w:type="dxa"/>
            <w:vAlign w:val="center"/>
          </w:tcPr>
          <w:p w14:paraId="72A0AFB7" w14:textId="77777777" w:rsidR="00B06F79" w:rsidRPr="00003996"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469479B5">
              <w:rPr>
                <w:rFonts w:eastAsia="Times New Roman" w:cs="Times New Roman"/>
                <w:color w:val="000000" w:themeColor="text1"/>
                <w:sz w:val="20"/>
                <w:szCs w:val="20"/>
                <w:lang w:eastAsia="lv-LV"/>
              </w:rPr>
              <w:t>2070,6</w:t>
            </w:r>
          </w:p>
        </w:tc>
        <w:tc>
          <w:tcPr>
            <w:tcW w:w="787" w:type="dxa"/>
            <w:vAlign w:val="center"/>
          </w:tcPr>
          <w:p w14:paraId="1981F771" w14:textId="77777777" w:rsidR="00B06F79" w:rsidRPr="00003996"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469479B5">
              <w:rPr>
                <w:rFonts w:eastAsia="Times New Roman" w:cs="Times New Roman"/>
                <w:color w:val="000000" w:themeColor="text1"/>
                <w:sz w:val="20"/>
                <w:szCs w:val="20"/>
                <w:lang w:eastAsia="lv-LV"/>
              </w:rPr>
              <w:t>2108,9</w:t>
            </w:r>
          </w:p>
        </w:tc>
        <w:tc>
          <w:tcPr>
            <w:tcW w:w="794" w:type="dxa"/>
            <w:noWrap/>
            <w:vAlign w:val="center"/>
            <w:hideMark/>
          </w:tcPr>
          <w:p w14:paraId="29FE7C8C" w14:textId="77777777" w:rsidR="00B06F79" w:rsidRPr="00003996"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469479B5">
              <w:rPr>
                <w:rFonts w:eastAsia="Times New Roman" w:cs="Times New Roman"/>
                <w:color w:val="000000" w:themeColor="text1"/>
                <w:sz w:val="20"/>
                <w:szCs w:val="20"/>
                <w:lang w:eastAsia="lv-LV"/>
              </w:rPr>
              <w:t>2244,1</w:t>
            </w:r>
          </w:p>
        </w:tc>
        <w:tc>
          <w:tcPr>
            <w:tcW w:w="787" w:type="dxa"/>
            <w:vAlign w:val="center"/>
          </w:tcPr>
          <w:p w14:paraId="22FCE02D" w14:textId="77777777" w:rsidR="00B06F79" w:rsidRPr="469479B5"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A0E0A">
              <w:rPr>
                <w:rFonts w:eastAsia="Times New Roman" w:cs="Times New Roman"/>
                <w:color w:val="000000" w:themeColor="text1"/>
                <w:sz w:val="20"/>
                <w:szCs w:val="20"/>
                <w:lang w:eastAsia="lv-LV"/>
              </w:rPr>
              <w:t>2527,5</w:t>
            </w:r>
          </w:p>
        </w:tc>
        <w:tc>
          <w:tcPr>
            <w:tcW w:w="787" w:type="dxa"/>
            <w:vAlign w:val="center"/>
          </w:tcPr>
          <w:p w14:paraId="5A30E59A" w14:textId="77777777" w:rsidR="00B06F79" w:rsidRPr="469479B5"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2727,1</w:t>
            </w:r>
          </w:p>
        </w:tc>
        <w:tc>
          <w:tcPr>
            <w:tcW w:w="787" w:type="dxa"/>
            <w:vAlign w:val="center"/>
          </w:tcPr>
          <w:p w14:paraId="20E53B2F" w14:textId="77777777" w:rsidR="00B06F79" w:rsidRPr="469479B5"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2957,7</w:t>
            </w:r>
          </w:p>
        </w:tc>
        <w:tc>
          <w:tcPr>
            <w:tcW w:w="787" w:type="dxa"/>
            <w:vAlign w:val="center"/>
          </w:tcPr>
          <w:p w14:paraId="151C45AE" w14:textId="77777777" w:rsidR="00B06F79" w:rsidRPr="00005705"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2840,4</w:t>
            </w:r>
          </w:p>
        </w:tc>
        <w:tc>
          <w:tcPr>
            <w:tcW w:w="787" w:type="dxa"/>
            <w:vAlign w:val="center"/>
          </w:tcPr>
          <w:p w14:paraId="78A9E240" w14:textId="77777777" w:rsidR="00B06F79" w:rsidRPr="00005705"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3133,3</w:t>
            </w:r>
          </w:p>
        </w:tc>
        <w:tc>
          <w:tcPr>
            <w:tcW w:w="787" w:type="dxa"/>
            <w:vAlign w:val="center"/>
          </w:tcPr>
          <w:p w14:paraId="28599A60" w14:textId="77777777" w:rsidR="00B06F79" w:rsidRPr="00005705" w:rsidRDefault="00B06F79"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3858,1</w:t>
            </w:r>
          </w:p>
        </w:tc>
        <w:tc>
          <w:tcPr>
            <w:tcW w:w="749" w:type="dxa"/>
            <w:vAlign w:val="center"/>
          </w:tcPr>
          <w:p w14:paraId="108428B9" w14:textId="1E9AB543" w:rsidR="00B06F79" w:rsidRPr="00005705" w:rsidRDefault="00955A6F" w:rsidP="003E418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4387,4</w:t>
            </w:r>
          </w:p>
        </w:tc>
      </w:tr>
      <w:tr w:rsidR="00B06F79" w:rsidRPr="00003996" w14:paraId="3537CDBE" w14:textId="77777777" w:rsidTr="00853CA4">
        <w:trPr>
          <w:trHeight w:val="422"/>
        </w:trPr>
        <w:tc>
          <w:tcPr>
            <w:cnfStyle w:val="001000000000" w:firstRow="0" w:lastRow="0" w:firstColumn="1" w:lastColumn="0" w:oddVBand="0" w:evenVBand="0" w:oddHBand="0" w:evenHBand="0" w:firstRowFirstColumn="0" w:firstRowLastColumn="0" w:lastRowFirstColumn="0" w:lastRowLastColumn="0"/>
            <w:tcW w:w="1434" w:type="dxa"/>
            <w:noWrap/>
            <w:vAlign w:val="center"/>
            <w:hideMark/>
          </w:tcPr>
          <w:p w14:paraId="7A3D0CF3" w14:textId="77777777" w:rsidR="00B06F79" w:rsidRPr="00940337" w:rsidRDefault="00B06F79" w:rsidP="00B06F79">
            <w:pPr>
              <w:spacing w:before="40" w:after="4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787" w:type="dxa"/>
            <w:vAlign w:val="center"/>
          </w:tcPr>
          <w:p w14:paraId="1326C595" w14:textId="77777777" w:rsidR="00B06F79" w:rsidRPr="00940337"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1976,1</w:t>
            </w:r>
          </w:p>
        </w:tc>
        <w:tc>
          <w:tcPr>
            <w:tcW w:w="787" w:type="dxa"/>
            <w:vAlign w:val="center"/>
          </w:tcPr>
          <w:p w14:paraId="5176AFFB" w14:textId="77777777" w:rsidR="00B06F79" w:rsidRPr="00940337"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2048,7</w:t>
            </w:r>
          </w:p>
        </w:tc>
        <w:tc>
          <w:tcPr>
            <w:tcW w:w="787" w:type="dxa"/>
            <w:vAlign w:val="center"/>
          </w:tcPr>
          <w:p w14:paraId="514A1BA1" w14:textId="77777777" w:rsidR="00B06F79" w:rsidRPr="00940337"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2104,9</w:t>
            </w:r>
          </w:p>
        </w:tc>
        <w:tc>
          <w:tcPr>
            <w:tcW w:w="794" w:type="dxa"/>
            <w:noWrap/>
            <w:vAlign w:val="center"/>
            <w:hideMark/>
          </w:tcPr>
          <w:p w14:paraId="2312DB76" w14:textId="77777777" w:rsidR="00B06F79" w:rsidRPr="00940337"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2257,0</w:t>
            </w:r>
          </w:p>
        </w:tc>
        <w:tc>
          <w:tcPr>
            <w:tcW w:w="787" w:type="dxa"/>
            <w:vAlign w:val="center"/>
          </w:tcPr>
          <w:p w14:paraId="257A0DE4" w14:textId="77777777" w:rsidR="00B06F79" w:rsidRPr="00005705"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A0E0A">
              <w:rPr>
                <w:rFonts w:eastAsia="Times New Roman" w:cs="Times New Roman"/>
                <w:color w:val="000000" w:themeColor="text1"/>
                <w:sz w:val="20"/>
                <w:szCs w:val="20"/>
                <w:lang w:eastAsia="lv-LV"/>
              </w:rPr>
              <w:t>2543,2</w:t>
            </w:r>
          </w:p>
        </w:tc>
        <w:tc>
          <w:tcPr>
            <w:tcW w:w="787" w:type="dxa"/>
            <w:vAlign w:val="center"/>
          </w:tcPr>
          <w:p w14:paraId="5673BD5E" w14:textId="77777777" w:rsidR="00B06F79" w:rsidRPr="00005705"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2795,0</w:t>
            </w:r>
          </w:p>
        </w:tc>
        <w:tc>
          <w:tcPr>
            <w:tcW w:w="787" w:type="dxa"/>
            <w:vAlign w:val="center"/>
          </w:tcPr>
          <w:p w14:paraId="31349B50" w14:textId="77777777" w:rsidR="00B06F79" w:rsidRPr="00005705"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2815,9</w:t>
            </w:r>
          </w:p>
        </w:tc>
        <w:tc>
          <w:tcPr>
            <w:tcW w:w="787" w:type="dxa"/>
            <w:vAlign w:val="center"/>
          </w:tcPr>
          <w:p w14:paraId="4A370F93" w14:textId="77777777" w:rsidR="00B06F79" w:rsidRPr="00005705"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3018,0</w:t>
            </w:r>
          </w:p>
        </w:tc>
        <w:tc>
          <w:tcPr>
            <w:tcW w:w="787" w:type="dxa"/>
            <w:vAlign w:val="center"/>
          </w:tcPr>
          <w:p w14:paraId="3D5D4721" w14:textId="77777777" w:rsidR="00B06F79" w:rsidRPr="00005705"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3539,5</w:t>
            </w:r>
          </w:p>
        </w:tc>
        <w:tc>
          <w:tcPr>
            <w:tcW w:w="787" w:type="dxa"/>
            <w:vAlign w:val="center"/>
          </w:tcPr>
          <w:p w14:paraId="3E7E96D4" w14:textId="77777777" w:rsidR="00B06F79" w:rsidRPr="00005705" w:rsidRDefault="00B06F79"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3883,6</w:t>
            </w:r>
          </w:p>
        </w:tc>
        <w:tc>
          <w:tcPr>
            <w:tcW w:w="749" w:type="dxa"/>
            <w:vAlign w:val="center"/>
          </w:tcPr>
          <w:p w14:paraId="196D14B1" w14:textId="367A1464" w:rsidR="00B06F79" w:rsidRPr="00005705" w:rsidRDefault="00955A6F" w:rsidP="00B06F79">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4244,7</w:t>
            </w:r>
          </w:p>
        </w:tc>
      </w:tr>
      <w:tr w:rsidR="00955A6F" w:rsidRPr="00003996" w14:paraId="0C795B2C" w14:textId="77777777" w:rsidTr="00853CA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434" w:type="dxa"/>
            <w:noWrap/>
            <w:vAlign w:val="center"/>
            <w:hideMark/>
          </w:tcPr>
          <w:p w14:paraId="38DCBDC7" w14:textId="77777777" w:rsidR="00B06F79" w:rsidRPr="00940337" w:rsidRDefault="00B06F79" w:rsidP="00B06F79">
            <w:pPr>
              <w:spacing w:before="40" w:after="4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787" w:type="dxa"/>
            <w:vAlign w:val="center"/>
          </w:tcPr>
          <w:p w14:paraId="07694746" w14:textId="77777777" w:rsidR="00B06F79" w:rsidRPr="00940337"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-0,4%</w:t>
            </w:r>
          </w:p>
        </w:tc>
        <w:tc>
          <w:tcPr>
            <w:tcW w:w="787" w:type="dxa"/>
            <w:vAlign w:val="center"/>
          </w:tcPr>
          <w:p w14:paraId="6CE002F2" w14:textId="77777777" w:rsidR="00B06F79" w:rsidRPr="00940337"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-1,1%</w:t>
            </w:r>
          </w:p>
        </w:tc>
        <w:tc>
          <w:tcPr>
            <w:tcW w:w="787" w:type="dxa"/>
            <w:vAlign w:val="center"/>
          </w:tcPr>
          <w:p w14:paraId="68DDF8CB" w14:textId="77777777" w:rsidR="00B06F79" w:rsidRPr="00940337"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-0,2%</w:t>
            </w:r>
          </w:p>
        </w:tc>
        <w:tc>
          <w:tcPr>
            <w:tcW w:w="794" w:type="dxa"/>
            <w:noWrap/>
            <w:vAlign w:val="center"/>
            <w:hideMark/>
          </w:tcPr>
          <w:p w14:paraId="269E7FC1" w14:textId="77777777" w:rsidR="00B06F79" w:rsidRPr="00940337"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0,6%</w:t>
            </w:r>
          </w:p>
        </w:tc>
        <w:tc>
          <w:tcPr>
            <w:tcW w:w="787" w:type="dxa"/>
            <w:vAlign w:val="center"/>
          </w:tcPr>
          <w:p w14:paraId="2997DA31" w14:textId="77777777" w:rsidR="00B06F79" w:rsidRPr="00005705"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0A0E0A">
              <w:rPr>
                <w:rFonts w:eastAsia="Times New Roman" w:cs="Times New Roman"/>
                <w:i/>
                <w:iCs/>
                <w:color w:val="000000" w:themeColor="text1"/>
                <w:sz w:val="20"/>
                <w:szCs w:val="20"/>
                <w:lang w:eastAsia="lv-LV"/>
              </w:rPr>
              <w:t>0,6%</w:t>
            </w:r>
          </w:p>
        </w:tc>
        <w:tc>
          <w:tcPr>
            <w:tcW w:w="787" w:type="dxa"/>
            <w:vAlign w:val="center"/>
          </w:tcPr>
          <w:p w14:paraId="419A63CA" w14:textId="77777777" w:rsidR="00B06F79" w:rsidRPr="00005705"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005705">
              <w:rPr>
                <w:rFonts w:eastAsia="Times New Roman" w:cs="Times New Roman"/>
                <w:i/>
                <w:iCs/>
                <w:color w:val="000000" w:themeColor="text1"/>
                <w:sz w:val="20"/>
                <w:szCs w:val="20"/>
                <w:lang w:eastAsia="lv-LV"/>
              </w:rPr>
              <w:t>2,5%</w:t>
            </w:r>
          </w:p>
        </w:tc>
        <w:tc>
          <w:tcPr>
            <w:tcW w:w="787" w:type="dxa"/>
            <w:vAlign w:val="center"/>
          </w:tcPr>
          <w:p w14:paraId="5AF31BFD" w14:textId="77777777" w:rsidR="00B06F79" w:rsidRPr="00005705"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005705">
              <w:rPr>
                <w:rFonts w:eastAsia="Times New Roman" w:cs="Times New Roman"/>
                <w:i/>
                <w:iCs/>
                <w:color w:val="000000" w:themeColor="text1"/>
                <w:sz w:val="20"/>
                <w:szCs w:val="20"/>
                <w:lang w:eastAsia="lv-LV"/>
              </w:rPr>
              <w:t>-4,8%</w:t>
            </w:r>
          </w:p>
        </w:tc>
        <w:tc>
          <w:tcPr>
            <w:tcW w:w="787" w:type="dxa"/>
            <w:vAlign w:val="center"/>
          </w:tcPr>
          <w:p w14:paraId="3B85B06C" w14:textId="77777777" w:rsidR="00B06F79" w:rsidRPr="00005705"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005705">
              <w:rPr>
                <w:rFonts w:eastAsia="Times New Roman" w:cs="Times New Roman"/>
                <w:i/>
                <w:iCs/>
                <w:color w:val="000000" w:themeColor="text1"/>
                <w:sz w:val="20"/>
                <w:szCs w:val="20"/>
                <w:lang w:eastAsia="lv-LV"/>
              </w:rPr>
              <w:t>6,3%</w:t>
            </w:r>
          </w:p>
        </w:tc>
        <w:tc>
          <w:tcPr>
            <w:tcW w:w="787" w:type="dxa"/>
            <w:vAlign w:val="center"/>
          </w:tcPr>
          <w:p w14:paraId="12CDEE36" w14:textId="77777777" w:rsidR="00B06F79" w:rsidRPr="00005705"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005705">
              <w:rPr>
                <w:rFonts w:eastAsia="Times New Roman" w:cs="Times New Roman"/>
                <w:i/>
                <w:iCs/>
                <w:color w:val="000000" w:themeColor="text1"/>
                <w:sz w:val="20"/>
                <w:szCs w:val="20"/>
                <w:lang w:eastAsia="lv-LV"/>
              </w:rPr>
              <w:t>13,0%</w:t>
            </w:r>
          </w:p>
        </w:tc>
        <w:tc>
          <w:tcPr>
            <w:tcW w:w="787" w:type="dxa"/>
            <w:vAlign w:val="center"/>
          </w:tcPr>
          <w:p w14:paraId="01385255" w14:textId="77777777" w:rsidR="00B06F79" w:rsidRPr="00005705" w:rsidRDefault="00B06F79"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005705">
              <w:rPr>
                <w:rFonts w:eastAsia="Times New Roman" w:cs="Times New Roman"/>
                <w:i/>
                <w:iCs/>
                <w:color w:val="000000" w:themeColor="text1"/>
                <w:sz w:val="20"/>
                <w:szCs w:val="20"/>
                <w:lang w:eastAsia="lv-LV"/>
              </w:rPr>
              <w:t>0,7%</w:t>
            </w:r>
          </w:p>
        </w:tc>
        <w:tc>
          <w:tcPr>
            <w:tcW w:w="749" w:type="dxa"/>
            <w:vAlign w:val="center"/>
          </w:tcPr>
          <w:p w14:paraId="68BB29A5" w14:textId="62E975C3" w:rsidR="00B06F79" w:rsidRPr="00005705" w:rsidRDefault="00955A6F" w:rsidP="00B06F79">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Pr>
                <w:rFonts w:eastAsia="Times New Roman" w:cs="Times New Roman"/>
                <w:i/>
                <w:iCs/>
                <w:color w:val="000000" w:themeColor="text1"/>
                <w:sz w:val="20"/>
                <w:szCs w:val="20"/>
                <w:lang w:eastAsia="lv-LV"/>
              </w:rPr>
              <w:t>-3,3%</w:t>
            </w:r>
          </w:p>
        </w:tc>
      </w:tr>
    </w:tbl>
    <w:p w14:paraId="1A5B3DE1" w14:textId="6B13918F" w:rsidR="00F12A45" w:rsidRPr="002023AF" w:rsidRDefault="00F12A45" w:rsidP="00DD5A8A">
      <w:pPr>
        <w:spacing w:before="120" w:after="100" w:afterAutospacing="1" w:line="240" w:lineRule="auto"/>
        <w:ind w:firstLine="709"/>
        <w:jc w:val="both"/>
        <w:rPr>
          <w:rFonts w:ascii="Times New Roman" w:hAnsi="Times New Roman" w:cs="Times New Roman"/>
          <w:b/>
          <w:bCs/>
          <w:sz w:val="24"/>
          <w:szCs w:val="24"/>
          <w:lang w:eastAsia="lv-LV"/>
        </w:rPr>
      </w:pPr>
      <w:r w:rsidRPr="002023AF">
        <w:rPr>
          <w:rFonts w:ascii="Times New Roman" w:hAnsi="Times New Roman" w:cs="Times New Roman"/>
          <w:sz w:val="24"/>
          <w:szCs w:val="24"/>
          <w:lang w:eastAsia="lv-LV"/>
        </w:rPr>
        <w:t xml:space="preserve">Ņemot vērā sociālās apdrošināšanas iemaksu </w:t>
      </w:r>
      <w:r w:rsidR="00AB086E" w:rsidRPr="002023AF">
        <w:rPr>
          <w:rFonts w:ascii="Times New Roman" w:hAnsi="Times New Roman" w:cs="Times New Roman"/>
          <w:sz w:val="24"/>
          <w:szCs w:val="24"/>
          <w:lang w:eastAsia="lv-LV"/>
        </w:rPr>
        <w:t xml:space="preserve">un izdevumu </w:t>
      </w:r>
      <w:r w:rsidRPr="002023AF">
        <w:rPr>
          <w:rFonts w:ascii="Times New Roman" w:hAnsi="Times New Roman" w:cs="Times New Roman"/>
          <w:sz w:val="24"/>
          <w:szCs w:val="24"/>
          <w:lang w:eastAsia="lv-LV"/>
        </w:rPr>
        <w:t>datus, šajā deklarācijā risks tiek uzskatīts par simetrisku</w:t>
      </w:r>
      <w:r w:rsidR="00AE5FC2" w:rsidRPr="002023AF">
        <w:rPr>
          <w:rFonts w:ascii="Times New Roman" w:hAnsi="Times New Roman" w:cs="Times New Roman"/>
          <w:sz w:val="24"/>
          <w:szCs w:val="24"/>
          <w:lang w:eastAsia="lv-LV"/>
        </w:rPr>
        <w:t xml:space="preserve"> </w:t>
      </w:r>
      <w:r w:rsidR="00AE5FC2" w:rsidRPr="002023AF">
        <w:rPr>
          <w:rFonts w:ascii="Times New Roman" w:eastAsiaTheme="minorHAnsi" w:hAnsi="Times New Roman" w:cs="Times New Roman"/>
          <w:sz w:val="24"/>
        </w:rPr>
        <w:t xml:space="preserve">un </w:t>
      </w:r>
      <w:r w:rsidR="00AE5FC2" w:rsidRPr="002023AF">
        <w:rPr>
          <w:rFonts w:ascii="Times New Roman" w:eastAsiaTheme="minorHAnsi" w:hAnsi="Times New Roman" w:cs="Times New Roman"/>
          <w:b/>
          <w:bCs/>
          <w:sz w:val="24"/>
          <w:szCs w:val="20"/>
        </w:rPr>
        <w:t>fiskālā nodrošinājuma rezerve šim riskam netiek veidota</w:t>
      </w:r>
      <w:r w:rsidRPr="002023AF">
        <w:rPr>
          <w:rFonts w:ascii="Times New Roman" w:hAnsi="Times New Roman" w:cs="Times New Roman"/>
          <w:b/>
          <w:bCs/>
          <w:sz w:val="24"/>
          <w:szCs w:val="24"/>
          <w:lang w:eastAsia="lv-LV"/>
        </w:rPr>
        <w:t>.</w:t>
      </w:r>
    </w:p>
    <w:p w14:paraId="7AFD72E4" w14:textId="77777777" w:rsidR="00822D84" w:rsidRPr="00980D91" w:rsidRDefault="00822D84" w:rsidP="009A521C">
      <w:pPr>
        <w:pStyle w:val="Heading2"/>
        <w:numPr>
          <w:ilvl w:val="1"/>
          <w:numId w:val="4"/>
        </w:numPr>
        <w:tabs>
          <w:tab w:val="left" w:pos="3261"/>
          <w:tab w:val="left" w:pos="5103"/>
          <w:tab w:val="left" w:pos="5245"/>
        </w:tabs>
        <w:spacing w:before="120" w:after="120" w:line="240" w:lineRule="auto"/>
        <w:ind w:left="567" w:hanging="555"/>
        <w:rPr>
          <w:rFonts w:cs="Times New Roman"/>
          <w:color w:val="auto"/>
          <w:szCs w:val="24"/>
        </w:rPr>
      </w:pPr>
      <w:bookmarkStart w:id="69" w:name="_Toc405371079"/>
      <w:bookmarkStart w:id="70" w:name="_Toc536779064"/>
      <w:bookmarkStart w:id="71" w:name="_Toc205554412"/>
      <w:bookmarkStart w:id="72" w:name="_Hlk204800411"/>
      <w:r w:rsidRPr="00980D91">
        <w:rPr>
          <w:rFonts w:cs="Times New Roman"/>
          <w:color w:val="auto"/>
          <w:szCs w:val="24"/>
        </w:rPr>
        <w:t>Kārtējo maksājumu Eiropas Savienības budžetā un starptautiskai sadarbībai pieaugums</w:t>
      </w:r>
      <w:bookmarkEnd w:id="69"/>
      <w:bookmarkEnd w:id="70"/>
      <w:bookmarkEnd w:id="71"/>
    </w:p>
    <w:bookmarkEnd w:id="72"/>
    <w:p w14:paraId="682D8D16" w14:textId="5F28477B" w:rsidR="00A93036" w:rsidRDefault="00A93036" w:rsidP="00A93036">
      <w:pPr>
        <w:spacing w:after="0" w:line="240" w:lineRule="auto"/>
        <w:ind w:firstLine="720"/>
        <w:jc w:val="both"/>
        <w:rPr>
          <w:rFonts w:ascii="Times New Roman" w:hAnsi="Times New Roman"/>
          <w:sz w:val="24"/>
          <w:szCs w:val="24"/>
        </w:rPr>
      </w:pPr>
      <w:r w:rsidRPr="002023AF">
        <w:rPr>
          <w:rFonts w:ascii="Times New Roman" w:hAnsi="Times New Roman"/>
          <w:sz w:val="24"/>
          <w:szCs w:val="24"/>
        </w:rPr>
        <w:t xml:space="preserve">Fiskālais risks iestājas gadījumā, ja kārtējo maksājumu ES budžetā nodrošināšanai ir nepieciešams veikt apropriācijas palielināšanu, kā rezultātā rodas negatīva ietekme uz vispārējās valdības budžeta bilanci. Savukārt, ja notiek apropriācijas samazināšana, tad </w:t>
      </w:r>
      <w:r w:rsidR="009D6109" w:rsidRPr="002023AF">
        <w:rPr>
          <w:rFonts w:ascii="Times New Roman" w:hAnsi="Times New Roman"/>
          <w:sz w:val="24"/>
          <w:szCs w:val="24"/>
        </w:rPr>
        <w:t xml:space="preserve">tai </w:t>
      </w:r>
      <w:r w:rsidRPr="002023AF">
        <w:rPr>
          <w:rFonts w:ascii="Times New Roman" w:hAnsi="Times New Roman"/>
          <w:sz w:val="24"/>
          <w:szCs w:val="24"/>
        </w:rPr>
        <w:t xml:space="preserve">ir pozitīva ietekme uz vispārējās valdības budžeta bilanci. </w:t>
      </w:r>
    </w:p>
    <w:p w14:paraId="6A645C97" w14:textId="77777777" w:rsidR="000A0E0A" w:rsidRPr="002023AF" w:rsidRDefault="000A0E0A" w:rsidP="0054591B">
      <w:pPr>
        <w:spacing w:after="0" w:line="240" w:lineRule="auto"/>
        <w:jc w:val="both"/>
        <w:rPr>
          <w:rFonts w:ascii="Times New Roman" w:hAnsi="Times New Roman"/>
          <w:sz w:val="24"/>
          <w:szCs w:val="24"/>
        </w:rPr>
      </w:pPr>
    </w:p>
    <w:p w14:paraId="368A735D" w14:textId="77777777" w:rsidR="00A93036" w:rsidRPr="002023AF" w:rsidRDefault="00A93036" w:rsidP="00A93036">
      <w:pPr>
        <w:spacing w:after="0" w:line="240" w:lineRule="auto"/>
        <w:ind w:firstLine="720"/>
        <w:jc w:val="both"/>
        <w:rPr>
          <w:rFonts w:ascii="Times New Roman" w:hAnsi="Times New Roman"/>
          <w:sz w:val="24"/>
          <w:szCs w:val="24"/>
        </w:rPr>
      </w:pPr>
      <w:r w:rsidRPr="002023AF">
        <w:rPr>
          <w:rFonts w:ascii="Times New Roman" w:hAnsi="Times New Roman"/>
          <w:sz w:val="24"/>
          <w:szCs w:val="24"/>
        </w:rPr>
        <w:t>Iemaksu ES budžetā apmēru ietekmē šādi faktori:</w:t>
      </w:r>
    </w:p>
    <w:p w14:paraId="78787F9D" w14:textId="461A03C5" w:rsidR="00A93036" w:rsidRPr="002023AF" w:rsidRDefault="00A93036" w:rsidP="00A93036">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ES budžeta kopapjoms, kas nosaka izdevumu apmēru</w:t>
      </w:r>
      <w:r w:rsidR="00604F97" w:rsidRPr="002023AF">
        <w:rPr>
          <w:rFonts w:ascii="Times New Roman" w:hAnsi="Times New Roman"/>
          <w:sz w:val="24"/>
          <w:szCs w:val="24"/>
        </w:rPr>
        <w:t xml:space="preserve">, </w:t>
      </w:r>
      <w:r w:rsidRPr="002023AF">
        <w:rPr>
          <w:rFonts w:ascii="Times New Roman" w:hAnsi="Times New Roman"/>
          <w:sz w:val="24"/>
          <w:szCs w:val="24"/>
        </w:rPr>
        <w:t>un ES budžeta grozījumi, ar kuru palīdzību ES budžeta kopapjoms var tikt mainīts. Ja ES budžeta izdevumi pieaug, iemaksas ES budžetā arī palielinās un otrādi;</w:t>
      </w:r>
    </w:p>
    <w:p w14:paraId="41C49927" w14:textId="77777777" w:rsidR="00A93036" w:rsidRPr="002023AF" w:rsidRDefault="00A93036" w:rsidP="00A93036">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ES budžeta grozījumu apstiprināšanas gaita. Ja ES budžeta grozījumi tiek apstiprināti tekošā gada beigās, tie var faktiski (pēc naudas plūsmas) ietekmēt nākamā gada maksājumus ES budžetā;</w:t>
      </w:r>
    </w:p>
    <w:p w14:paraId="2E345565" w14:textId="334CD982" w:rsidR="00A93036" w:rsidRPr="002023AF" w:rsidRDefault="00A93036" w:rsidP="00CA6102">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 xml:space="preserve">Latvijas </w:t>
      </w:r>
      <w:r w:rsidR="00CA6102" w:rsidRPr="002023AF">
        <w:rPr>
          <w:rFonts w:ascii="Times New Roman" w:hAnsi="Times New Roman"/>
          <w:sz w:val="24"/>
          <w:szCs w:val="24"/>
        </w:rPr>
        <w:t xml:space="preserve">un citu ES dalībvalstu </w:t>
      </w:r>
      <w:r w:rsidRPr="002023AF">
        <w:rPr>
          <w:rFonts w:ascii="Times New Roman" w:hAnsi="Times New Roman"/>
          <w:sz w:val="24"/>
          <w:szCs w:val="24"/>
        </w:rPr>
        <w:t xml:space="preserve">izaugsmes </w:t>
      </w:r>
      <w:r w:rsidR="00604F97" w:rsidRPr="002023AF">
        <w:rPr>
          <w:rFonts w:ascii="Times New Roman" w:hAnsi="Times New Roman"/>
          <w:sz w:val="24"/>
          <w:szCs w:val="24"/>
        </w:rPr>
        <w:t xml:space="preserve">un citi ekonomiskie </w:t>
      </w:r>
      <w:r w:rsidRPr="002023AF">
        <w:rPr>
          <w:rFonts w:ascii="Times New Roman" w:hAnsi="Times New Roman"/>
          <w:sz w:val="24"/>
          <w:szCs w:val="24"/>
        </w:rPr>
        <w:t xml:space="preserve">rādītāji un to izmaiņas, ņemot vērā, ka ES izdevumus dalībvalstis finansē </w:t>
      </w:r>
      <w:r w:rsidR="001A5806" w:rsidRPr="002023AF">
        <w:rPr>
          <w:rFonts w:ascii="Times New Roman" w:hAnsi="Times New Roman"/>
          <w:sz w:val="24"/>
          <w:szCs w:val="24"/>
        </w:rPr>
        <w:t xml:space="preserve">galvenokārt </w:t>
      </w:r>
      <w:r w:rsidRPr="002023AF">
        <w:rPr>
          <w:rFonts w:ascii="Times New Roman" w:hAnsi="Times New Roman"/>
          <w:sz w:val="24"/>
          <w:szCs w:val="24"/>
        </w:rPr>
        <w:t>proporcionāli to labklājības līmenim</w:t>
      </w:r>
      <w:r w:rsidR="00CA6102" w:rsidRPr="002023AF">
        <w:rPr>
          <w:rFonts w:ascii="Times New Roman" w:hAnsi="Times New Roman"/>
          <w:sz w:val="24"/>
          <w:szCs w:val="24"/>
        </w:rPr>
        <w:t>. Pašu resursu bāzes, kas ir pamats, lai aprēķinātu dalībvalstu iemaksas ES budžetā, reizi gadā tiek pārskatītas un atjaunotas, pielāgojot tās jaunākajām ekonomikas prognozēm. Vienlaikus jāņem vērā, ka</w:t>
      </w:r>
      <w:r w:rsidR="00F64903" w:rsidRPr="002023AF">
        <w:rPr>
          <w:rFonts w:ascii="Times New Roman" w:hAnsi="Times New Roman"/>
          <w:sz w:val="24"/>
          <w:szCs w:val="24"/>
        </w:rPr>
        <w:t xml:space="preserve"> </w:t>
      </w:r>
      <w:r w:rsidR="00CA6102" w:rsidRPr="002023AF">
        <w:rPr>
          <w:rFonts w:ascii="Times New Roman" w:hAnsi="Times New Roman"/>
          <w:sz w:val="24"/>
          <w:szCs w:val="24"/>
        </w:rPr>
        <w:t>TPR apmērs atkarīgs no faktiski iekasētiem līdzekļiem;</w:t>
      </w:r>
    </w:p>
    <w:p w14:paraId="28BCD092" w14:textId="113A219C" w:rsidR="00A93036" w:rsidRPr="002023AF" w:rsidRDefault="00A93036" w:rsidP="00A93036">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 xml:space="preserve">citu ES budžeta ieņēmumu apmērs (iekasētās soda naudas, kavējumu procenti, iepriekšējā gada ES budžeta izpildes pārpalikums u.tml.), jo ES budžets tiek finansēts </w:t>
      </w:r>
      <w:r w:rsidR="001A5806" w:rsidRPr="002023AF">
        <w:rPr>
          <w:rFonts w:ascii="Times New Roman" w:hAnsi="Times New Roman"/>
          <w:sz w:val="24"/>
          <w:szCs w:val="24"/>
        </w:rPr>
        <w:t>ne tikai</w:t>
      </w:r>
      <w:r w:rsidRPr="002023AF">
        <w:rPr>
          <w:rFonts w:ascii="Times New Roman" w:hAnsi="Times New Roman"/>
          <w:sz w:val="24"/>
          <w:szCs w:val="24"/>
        </w:rPr>
        <w:t xml:space="preserve"> ar dalībvalstu iemaksām. Ja citi ES budžeta ieņēmumi pieaug, iemaksas ES budžetā samazinās;</w:t>
      </w:r>
    </w:p>
    <w:p w14:paraId="6A9B4B28" w14:textId="3A2DA0B2" w:rsidR="0092276B" w:rsidRPr="002023AF" w:rsidRDefault="00A93036" w:rsidP="0092276B">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korekcijas maksājuma apmērs, kas tiek veikts, balstoties uz faktiskajiem PVN un NKI bāzes apjomiem par iepriekšējiem saimnieciskajiem gadiem. Tam var būt gan iemaksas samazinoša, gan iemaksas palielinoša ietekme atkarībā no tā, kāda ir faktisko un prognozēto PVN un NKI bā</w:t>
      </w:r>
      <w:r w:rsidR="00CA6102" w:rsidRPr="002023AF">
        <w:rPr>
          <w:rFonts w:ascii="Times New Roman" w:hAnsi="Times New Roman"/>
          <w:sz w:val="24"/>
          <w:szCs w:val="24"/>
        </w:rPr>
        <w:t>z</w:t>
      </w:r>
      <w:r w:rsidRPr="002023AF">
        <w:rPr>
          <w:rFonts w:ascii="Times New Roman" w:hAnsi="Times New Roman"/>
          <w:sz w:val="24"/>
          <w:szCs w:val="24"/>
        </w:rPr>
        <w:t>u atšķirība</w:t>
      </w:r>
      <w:r w:rsidR="00365894" w:rsidRPr="002023AF">
        <w:rPr>
          <w:rFonts w:ascii="Times New Roman" w:hAnsi="Times New Roman"/>
          <w:sz w:val="24"/>
          <w:szCs w:val="24"/>
        </w:rPr>
        <w:t>;</w:t>
      </w:r>
    </w:p>
    <w:p w14:paraId="673042A9" w14:textId="77777777" w:rsidR="00365894" w:rsidRPr="002023AF" w:rsidRDefault="00365894" w:rsidP="00365894">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soda procentu maksājumi par pašu resursiem, kas darīti pieejami ES budžetam ar kavējumiem. Potenciālos soda procentu maksājumus nav iespējams paredzēt uz priekšu un priekšlaicīgi iestrādāt iemaksu prognozēs, tāpēc tiem ir tieša un palielinoša ietekme uz kārtējiem maksājumiem ES budžetā;</w:t>
      </w:r>
    </w:p>
    <w:p w14:paraId="40A6D723" w14:textId="76BDE492" w:rsidR="00365894" w:rsidRPr="002023AF" w:rsidRDefault="00365894" w:rsidP="00F56613">
      <w:pPr>
        <w:pStyle w:val="ListParagraph"/>
        <w:numPr>
          <w:ilvl w:val="0"/>
          <w:numId w:val="2"/>
        </w:numPr>
        <w:ind w:left="709"/>
        <w:rPr>
          <w:rFonts w:ascii="Times New Roman" w:eastAsiaTheme="minorHAnsi" w:hAnsi="Times New Roman"/>
        </w:rPr>
      </w:pPr>
      <w:r w:rsidRPr="002023AF">
        <w:rPr>
          <w:rFonts w:ascii="Times New Roman" w:hAnsi="Times New Roman"/>
          <w:sz w:val="24"/>
          <w:szCs w:val="24"/>
        </w:rPr>
        <w:t>nestandarta TPR maksājumi saistībā ar atklātiem pārkāpumiem un juridiskām sekām, kas izriet no tiesvedībām starp dalībvalstīm un ES institūcijām. Līdzīgi kā soda procentu maksājumus arī šāda veida maksājumus nav iespējams iepriekš paredzēt, tāpēc tiem ir tieša un palielinoša ietekme uz kārtējiem maksājumiem ES budžetā.</w:t>
      </w:r>
    </w:p>
    <w:p w14:paraId="4C271E5D" w14:textId="3828FB08" w:rsidR="000A0E0A" w:rsidRPr="007756BC" w:rsidRDefault="3FBD02A3" w:rsidP="007756BC">
      <w:pPr>
        <w:spacing w:before="240" w:line="240" w:lineRule="auto"/>
        <w:ind w:firstLine="709"/>
        <w:jc w:val="both"/>
        <w:rPr>
          <w:rFonts w:ascii="Times New Roman" w:hAnsi="Times New Roman"/>
          <w:b/>
          <w:bCs/>
          <w:sz w:val="24"/>
          <w:szCs w:val="24"/>
        </w:rPr>
      </w:pPr>
      <w:r w:rsidRPr="469479B5">
        <w:rPr>
          <w:rFonts w:ascii="Times New Roman" w:hAnsi="Times New Roman"/>
          <w:sz w:val="24"/>
          <w:szCs w:val="24"/>
        </w:rPr>
        <w:t>Ņemot vērā iepriekš minētos faktorus, kas ietekmē kārtējos maksājumus ES budžetā, fiskālajam riskam ir jābūt simetriskam. Tomēr faktiskās novirzes, kas attēlotas tabulā Nr.2.5.1, norāda uz sistēmiska rakstura novirzēm, kas vairākus gadus pēc kārtas saglabā vienu noteiktu virzienu –</w:t>
      </w:r>
      <w:r w:rsidR="00087F58">
        <w:rPr>
          <w:rFonts w:ascii="Times New Roman" w:hAnsi="Times New Roman"/>
          <w:sz w:val="24"/>
          <w:szCs w:val="24"/>
        </w:rPr>
        <w:t xml:space="preserve"> </w:t>
      </w:r>
      <w:r w:rsidRPr="469479B5">
        <w:rPr>
          <w:rFonts w:ascii="Times New Roman" w:hAnsi="Times New Roman"/>
          <w:sz w:val="24"/>
          <w:szCs w:val="24"/>
        </w:rPr>
        <w:t>laika periods no 2011.</w:t>
      </w:r>
      <w:r w:rsidR="5B4FFD57" w:rsidRPr="469479B5">
        <w:rPr>
          <w:rFonts w:ascii="Times New Roman" w:hAnsi="Times New Roman" w:cs="Times New Roman"/>
          <w:b/>
          <w:bCs/>
          <w:sz w:val="24"/>
          <w:szCs w:val="24"/>
        </w:rPr>
        <w:t xml:space="preserve"> </w:t>
      </w:r>
      <w:r w:rsidRPr="469479B5">
        <w:rPr>
          <w:rFonts w:ascii="Times New Roman" w:hAnsi="Times New Roman"/>
          <w:sz w:val="24"/>
          <w:szCs w:val="24"/>
        </w:rPr>
        <w:t>gada līdz 2014.</w:t>
      </w:r>
      <w:r w:rsidR="763F4075" w:rsidRPr="469479B5">
        <w:rPr>
          <w:rFonts w:ascii="Times New Roman" w:hAnsi="Times New Roman"/>
          <w:sz w:val="24"/>
          <w:szCs w:val="24"/>
        </w:rPr>
        <w:t xml:space="preserve"> </w:t>
      </w:r>
      <w:r w:rsidRPr="469479B5">
        <w:rPr>
          <w:rFonts w:ascii="Times New Roman" w:hAnsi="Times New Roman"/>
          <w:sz w:val="24"/>
          <w:szCs w:val="24"/>
        </w:rPr>
        <w:t>gadam iezīmē augstākus faktiskos izdevumus nekā tika iepriekš prognozēts</w:t>
      </w:r>
      <w:r w:rsidR="0054591B">
        <w:rPr>
          <w:rFonts w:ascii="Times New Roman" w:hAnsi="Times New Roman"/>
          <w:sz w:val="24"/>
          <w:szCs w:val="24"/>
        </w:rPr>
        <w:t>, t</w:t>
      </w:r>
      <w:r w:rsidRPr="469479B5">
        <w:rPr>
          <w:rFonts w:ascii="Times New Roman" w:hAnsi="Times New Roman"/>
          <w:sz w:val="24"/>
          <w:szCs w:val="24"/>
        </w:rPr>
        <w:t>urpretī laika periods no 2015.</w:t>
      </w:r>
      <w:r w:rsidR="645D2C92" w:rsidRPr="469479B5">
        <w:rPr>
          <w:rFonts w:ascii="Times New Roman" w:hAnsi="Times New Roman"/>
          <w:sz w:val="24"/>
          <w:szCs w:val="24"/>
        </w:rPr>
        <w:t xml:space="preserve"> </w:t>
      </w:r>
      <w:r w:rsidRPr="469479B5">
        <w:rPr>
          <w:rFonts w:ascii="Times New Roman" w:hAnsi="Times New Roman"/>
          <w:sz w:val="24"/>
          <w:szCs w:val="24"/>
        </w:rPr>
        <w:t>gada līdz 2018.</w:t>
      </w:r>
      <w:r w:rsidR="4F9CAB15" w:rsidRPr="469479B5">
        <w:rPr>
          <w:rFonts w:ascii="Times New Roman" w:hAnsi="Times New Roman"/>
          <w:sz w:val="24"/>
          <w:szCs w:val="24"/>
        </w:rPr>
        <w:t xml:space="preserve"> </w:t>
      </w:r>
      <w:r w:rsidRPr="469479B5">
        <w:rPr>
          <w:rFonts w:ascii="Times New Roman" w:hAnsi="Times New Roman"/>
          <w:sz w:val="24"/>
          <w:szCs w:val="24"/>
        </w:rPr>
        <w:t>gadam ir bijis raksturīgs ar zemāku izdevumu apmēru nekā prognozēts. 2019.</w:t>
      </w:r>
      <w:r w:rsidR="2A01712F" w:rsidRPr="469479B5">
        <w:rPr>
          <w:rFonts w:ascii="Times New Roman" w:hAnsi="Times New Roman"/>
          <w:sz w:val="24"/>
          <w:szCs w:val="24"/>
        </w:rPr>
        <w:t xml:space="preserve"> </w:t>
      </w:r>
      <w:r w:rsidRPr="469479B5">
        <w:rPr>
          <w:rFonts w:ascii="Times New Roman" w:hAnsi="Times New Roman"/>
          <w:sz w:val="24"/>
          <w:szCs w:val="24"/>
        </w:rPr>
        <w:t xml:space="preserve">gada iemaksas atkal maina virzienu, proti, faktiskie izdevumi bija augstāki nekā sākotnēji tika prognozēts un tāda pati tendence saglabājās </w:t>
      </w:r>
      <w:r w:rsidR="0054591B">
        <w:rPr>
          <w:rFonts w:ascii="Times New Roman" w:hAnsi="Times New Roman"/>
          <w:sz w:val="24"/>
          <w:szCs w:val="24"/>
        </w:rPr>
        <w:t xml:space="preserve">līdz 2023. gadam, </w:t>
      </w:r>
      <w:r w:rsidR="00C66B0D">
        <w:rPr>
          <w:rFonts w:ascii="Times New Roman" w:hAnsi="Times New Roman"/>
          <w:sz w:val="24"/>
          <w:szCs w:val="24"/>
        </w:rPr>
        <w:t>savukārt 2024. gadā kārtējie maksājumi ES budžetā bijuši zemāki kā sākotnēji prognozēts</w:t>
      </w:r>
      <w:r w:rsidR="1F7974A5" w:rsidRPr="469479B5">
        <w:rPr>
          <w:rFonts w:ascii="Times New Roman" w:hAnsi="Times New Roman"/>
          <w:sz w:val="24"/>
          <w:szCs w:val="24"/>
        </w:rPr>
        <w:t>.</w:t>
      </w:r>
      <w:r w:rsidR="6F654DAC" w:rsidRPr="469479B5">
        <w:rPr>
          <w:rFonts w:ascii="Times New Roman" w:hAnsi="Times New Roman"/>
          <w:sz w:val="24"/>
          <w:szCs w:val="24"/>
        </w:rPr>
        <w:t xml:space="preserve"> </w:t>
      </w:r>
      <w:r w:rsidR="58C4E7A5" w:rsidRPr="469479B5">
        <w:rPr>
          <w:rFonts w:ascii="Times New Roman" w:hAnsi="Times New Roman"/>
          <w:sz w:val="24"/>
          <w:szCs w:val="24"/>
        </w:rPr>
        <w:t>Tā kā iemaksu apmērs</w:t>
      </w:r>
      <w:r w:rsidR="74932440" w:rsidRPr="469479B5">
        <w:rPr>
          <w:rFonts w:ascii="Times New Roman" w:hAnsi="Times New Roman"/>
          <w:sz w:val="24"/>
          <w:szCs w:val="24"/>
        </w:rPr>
        <w:t>, galvenokārt,</w:t>
      </w:r>
      <w:r w:rsidR="58C4E7A5" w:rsidRPr="469479B5">
        <w:rPr>
          <w:rFonts w:ascii="Times New Roman" w:hAnsi="Times New Roman"/>
          <w:sz w:val="24"/>
          <w:szCs w:val="24"/>
        </w:rPr>
        <w:t xml:space="preserve"> ir saistīts ar IKP, pastāv korelācija starp novirzēm iemaksu apjomā un novirzēm IKP prognozēs. Var secināt, ka ekonomikas lejupslīdes gados pastāv tendence nenovērtēt ekonomikas sabremzēšanās tempu, bet ekonomikas augšupejas periodā nenovērtēt izaugsmes apmēru. Šie faktori daļēji skaidro sistēmiskā rakstura novirzes iemaksu apjomā. Vienlaicīgi, tie apstiprina pieņēmumu, ka ekonomikas cikla periodā fiskālais risks ir simetrisks. Līdz ar to tiek saglabāts pieņēmums, ka varbūtība kārtējiem maksājumiem</w:t>
      </w:r>
      <w:r w:rsidR="211B866D" w:rsidRPr="469479B5">
        <w:rPr>
          <w:rFonts w:ascii="Times New Roman" w:hAnsi="Times New Roman"/>
          <w:sz w:val="24"/>
          <w:szCs w:val="24"/>
        </w:rPr>
        <w:t xml:space="preserve"> ES budžetā</w:t>
      </w:r>
      <w:r w:rsidR="58C4E7A5" w:rsidRPr="469479B5">
        <w:rPr>
          <w:rFonts w:ascii="Times New Roman" w:hAnsi="Times New Roman"/>
          <w:sz w:val="24"/>
          <w:szCs w:val="24"/>
        </w:rPr>
        <w:t xml:space="preserve"> būt virs vai zem prognozētās vērtības, ir </w:t>
      </w:r>
      <w:r w:rsidR="6772E4AC" w:rsidRPr="469479B5">
        <w:rPr>
          <w:rFonts w:ascii="Times New Roman" w:hAnsi="Times New Roman"/>
          <w:sz w:val="24"/>
          <w:szCs w:val="24"/>
        </w:rPr>
        <w:t xml:space="preserve">apmēram </w:t>
      </w:r>
      <w:r w:rsidR="58C4E7A5" w:rsidRPr="469479B5">
        <w:rPr>
          <w:rFonts w:ascii="Times New Roman" w:hAnsi="Times New Roman"/>
          <w:sz w:val="24"/>
          <w:szCs w:val="24"/>
        </w:rPr>
        <w:t xml:space="preserve">50% un fiskālā ietekme ilgtermiņā ir tuva nullei. Līdz ar to fiskālais risks, kas attiecas uz kārtējiem maksājumiem ES budžetā, </w:t>
      </w:r>
      <w:r w:rsidR="58C4E7A5" w:rsidRPr="469479B5">
        <w:rPr>
          <w:rFonts w:ascii="Times New Roman" w:hAnsi="Times New Roman"/>
          <w:b/>
          <w:bCs/>
          <w:sz w:val="24"/>
          <w:szCs w:val="24"/>
        </w:rPr>
        <w:t xml:space="preserve">netiek </w:t>
      </w:r>
      <w:r w:rsidR="58C4E7A5" w:rsidRPr="469479B5">
        <w:rPr>
          <w:rFonts w:ascii="Times New Roman" w:hAnsi="Times New Roman" w:cs="Times New Roman"/>
          <w:b/>
          <w:bCs/>
          <w:sz w:val="24"/>
          <w:szCs w:val="24"/>
        </w:rPr>
        <w:t>ietverts fiskālā nodrošinājuma rezerves aprēķinā</w:t>
      </w:r>
      <w:r w:rsidR="58C4E7A5" w:rsidRPr="469479B5">
        <w:rPr>
          <w:rFonts w:ascii="Times New Roman" w:hAnsi="Times New Roman"/>
          <w:b/>
          <w:bCs/>
          <w:sz w:val="24"/>
          <w:szCs w:val="24"/>
        </w:rPr>
        <w:t>.</w:t>
      </w:r>
    </w:p>
    <w:p w14:paraId="28C049CC" w14:textId="538FD314" w:rsidR="00A93036" w:rsidRDefault="69E75A04" w:rsidP="00940337">
      <w:pPr>
        <w:spacing w:before="240" w:line="240" w:lineRule="auto"/>
        <w:ind w:firstLine="709"/>
        <w:jc w:val="right"/>
        <w:rPr>
          <w:rFonts w:ascii="Times New Roman" w:hAnsi="Times New Roman"/>
          <w:b/>
          <w:bCs/>
          <w:i/>
          <w:iCs/>
          <w:sz w:val="24"/>
          <w:szCs w:val="24"/>
        </w:rPr>
      </w:pPr>
      <w:r w:rsidRPr="469479B5">
        <w:rPr>
          <w:rFonts w:ascii="Times New Roman" w:hAnsi="Times New Roman"/>
          <w:b/>
          <w:bCs/>
          <w:sz w:val="24"/>
          <w:szCs w:val="24"/>
        </w:rPr>
        <w:t>T</w:t>
      </w:r>
      <w:r w:rsidR="62921F11" w:rsidRPr="469479B5">
        <w:rPr>
          <w:rFonts w:ascii="Times New Roman" w:hAnsi="Times New Roman"/>
          <w:b/>
          <w:bCs/>
          <w:sz w:val="24"/>
          <w:szCs w:val="24"/>
        </w:rPr>
        <w:t>abula Nr.</w:t>
      </w:r>
      <w:r w:rsidR="43B306BB" w:rsidRPr="469479B5">
        <w:rPr>
          <w:rFonts w:ascii="Times New Roman" w:hAnsi="Times New Roman"/>
          <w:b/>
          <w:bCs/>
          <w:sz w:val="24"/>
          <w:szCs w:val="24"/>
        </w:rPr>
        <w:t>2.5.1</w:t>
      </w:r>
      <w:r w:rsidR="105B1F98" w:rsidRPr="469479B5">
        <w:rPr>
          <w:rFonts w:ascii="Times New Roman" w:hAnsi="Times New Roman"/>
          <w:b/>
          <w:bCs/>
          <w:sz w:val="24"/>
          <w:szCs w:val="24"/>
        </w:rPr>
        <w:t xml:space="preserve"> </w:t>
      </w:r>
      <w:r w:rsidR="62921F11" w:rsidRPr="469479B5">
        <w:rPr>
          <w:rFonts w:ascii="Times New Roman" w:hAnsi="Times New Roman"/>
          <w:b/>
          <w:bCs/>
          <w:sz w:val="24"/>
          <w:szCs w:val="24"/>
        </w:rPr>
        <w:t>Kārtējie maksājumi ES budžetā</w:t>
      </w:r>
    </w:p>
    <w:tbl>
      <w:tblPr>
        <w:tblStyle w:val="GridTable6Colorful-Accent11"/>
        <w:tblW w:w="4429" w:type="pct"/>
        <w:jc w:val="center"/>
        <w:tblLook w:val="04A0" w:firstRow="1" w:lastRow="0" w:firstColumn="1" w:lastColumn="0" w:noHBand="0" w:noVBand="1"/>
      </w:tblPr>
      <w:tblGrid>
        <w:gridCol w:w="1515"/>
        <w:gridCol w:w="1817"/>
        <w:gridCol w:w="1816"/>
        <w:gridCol w:w="1816"/>
        <w:gridCol w:w="1816"/>
      </w:tblGrid>
      <w:tr w:rsidR="002023AF" w:rsidRPr="009A02B7" w14:paraId="4075362A" w14:textId="77777777" w:rsidTr="00982E36">
        <w:trPr>
          <w:cnfStyle w:val="100000000000" w:firstRow="1" w:lastRow="0" w:firstColumn="0" w:lastColumn="0" w:oddVBand="0" w:evenVBand="0" w:oddHBand="0"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hideMark/>
          </w:tcPr>
          <w:p w14:paraId="47021EA9" w14:textId="77777777" w:rsidR="002023AF" w:rsidRPr="000539A1" w:rsidRDefault="3FBD02A3" w:rsidP="469479B5">
            <w:pPr>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 </w:t>
            </w:r>
          </w:p>
        </w:tc>
        <w:tc>
          <w:tcPr>
            <w:tcW w:w="1817" w:type="dxa"/>
            <w:noWrap/>
            <w:vAlign w:val="center"/>
            <w:hideMark/>
          </w:tcPr>
          <w:p w14:paraId="375F210F" w14:textId="52DE37CD" w:rsidR="002023AF" w:rsidRPr="000539A1" w:rsidRDefault="3FBD02A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lv-LV"/>
              </w:rPr>
            </w:pPr>
            <w:r w:rsidRPr="000539A1">
              <w:rPr>
                <w:rFonts w:eastAsia="Times New Roman" w:cs="Times New Roman"/>
                <w:color w:val="000000" w:themeColor="text1"/>
                <w:sz w:val="20"/>
                <w:szCs w:val="20"/>
                <w:lang w:eastAsia="lv-LV"/>
              </w:rPr>
              <w:t>Plāns</w:t>
            </w:r>
            <w:r w:rsidR="00982E36" w:rsidRPr="000539A1">
              <w:rPr>
                <w:rFonts w:eastAsia="Times New Roman" w:cs="Times New Roman"/>
                <w:color w:val="000000" w:themeColor="text1"/>
                <w:sz w:val="20"/>
                <w:szCs w:val="20"/>
                <w:lang w:eastAsia="lv-LV"/>
              </w:rPr>
              <w:t xml:space="preserve">, milj. </w:t>
            </w:r>
            <w:r w:rsidR="00982E36" w:rsidRPr="000539A1">
              <w:rPr>
                <w:rFonts w:eastAsia="Times New Roman" w:cs="Times New Roman"/>
                <w:i/>
                <w:iCs/>
                <w:color w:val="000000" w:themeColor="text1"/>
                <w:sz w:val="20"/>
                <w:szCs w:val="20"/>
                <w:lang w:eastAsia="lv-LV"/>
              </w:rPr>
              <w:t>euro</w:t>
            </w:r>
          </w:p>
        </w:tc>
        <w:tc>
          <w:tcPr>
            <w:tcW w:w="1816" w:type="dxa"/>
            <w:noWrap/>
            <w:vAlign w:val="center"/>
            <w:hideMark/>
          </w:tcPr>
          <w:p w14:paraId="57840E92" w14:textId="2CE5DE0B" w:rsidR="002023AF" w:rsidRPr="000539A1" w:rsidRDefault="3FBD02A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lv-LV"/>
              </w:rPr>
            </w:pPr>
            <w:r w:rsidRPr="000539A1">
              <w:rPr>
                <w:rFonts w:eastAsia="Times New Roman" w:cs="Times New Roman"/>
                <w:color w:val="000000" w:themeColor="text1"/>
                <w:sz w:val="20"/>
                <w:szCs w:val="20"/>
                <w:lang w:eastAsia="lv-LV"/>
              </w:rPr>
              <w:t>Fakts</w:t>
            </w:r>
            <w:r w:rsidR="00982E36" w:rsidRPr="000539A1">
              <w:rPr>
                <w:rFonts w:eastAsia="Times New Roman" w:cs="Times New Roman"/>
                <w:color w:val="000000" w:themeColor="text1"/>
                <w:sz w:val="20"/>
                <w:szCs w:val="20"/>
                <w:lang w:eastAsia="lv-LV"/>
              </w:rPr>
              <w:t xml:space="preserve">, milj. </w:t>
            </w:r>
            <w:r w:rsidR="00982E36" w:rsidRPr="000539A1">
              <w:rPr>
                <w:rFonts w:eastAsia="Times New Roman" w:cs="Times New Roman"/>
                <w:i/>
                <w:iCs/>
                <w:color w:val="000000" w:themeColor="text1"/>
                <w:sz w:val="20"/>
                <w:szCs w:val="20"/>
                <w:lang w:eastAsia="lv-LV"/>
              </w:rPr>
              <w:t>euro</w:t>
            </w:r>
          </w:p>
        </w:tc>
        <w:tc>
          <w:tcPr>
            <w:tcW w:w="1816" w:type="dxa"/>
            <w:noWrap/>
            <w:vAlign w:val="center"/>
            <w:hideMark/>
          </w:tcPr>
          <w:p w14:paraId="002FD3E1" w14:textId="0CDE613C" w:rsidR="002023AF" w:rsidRPr="000539A1" w:rsidRDefault="3FBD02A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lv-LV"/>
              </w:rPr>
            </w:pPr>
            <w:r w:rsidRPr="000539A1">
              <w:rPr>
                <w:rFonts w:eastAsia="Times New Roman" w:cs="Times New Roman"/>
                <w:color w:val="000000" w:themeColor="text1"/>
                <w:sz w:val="20"/>
                <w:szCs w:val="20"/>
                <w:lang w:eastAsia="lv-LV"/>
              </w:rPr>
              <w:t xml:space="preserve">Izmaiņas, milj. </w:t>
            </w:r>
            <w:r w:rsidRPr="000539A1">
              <w:rPr>
                <w:rFonts w:eastAsia="Times New Roman" w:cs="Times New Roman"/>
                <w:i/>
                <w:iCs/>
                <w:color w:val="000000" w:themeColor="text1"/>
                <w:sz w:val="20"/>
                <w:szCs w:val="20"/>
                <w:lang w:eastAsia="lv-LV"/>
              </w:rPr>
              <w:t>euro</w:t>
            </w:r>
          </w:p>
        </w:tc>
        <w:tc>
          <w:tcPr>
            <w:tcW w:w="1816" w:type="dxa"/>
            <w:noWrap/>
            <w:vAlign w:val="center"/>
            <w:hideMark/>
          </w:tcPr>
          <w:p w14:paraId="45E0143D" w14:textId="7D6A7585" w:rsidR="002023AF" w:rsidRPr="000539A1" w:rsidRDefault="3FBD02A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lv-LV"/>
              </w:rPr>
            </w:pPr>
            <w:r w:rsidRPr="000539A1">
              <w:rPr>
                <w:rFonts w:eastAsia="Times New Roman" w:cs="Times New Roman"/>
                <w:color w:val="000000" w:themeColor="text1"/>
                <w:sz w:val="20"/>
                <w:szCs w:val="20"/>
                <w:lang w:eastAsia="lv-LV"/>
              </w:rPr>
              <w:t>Izpilde</w:t>
            </w:r>
          </w:p>
        </w:tc>
      </w:tr>
      <w:tr w:rsidR="00C66B0D" w:rsidRPr="009A02B7" w14:paraId="36857D9B" w14:textId="77777777" w:rsidTr="00535E6D">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6CBB1892" w14:textId="168C2CC0" w:rsidR="00C66B0D" w:rsidRPr="000539A1" w:rsidRDefault="00C66B0D" w:rsidP="00C66B0D">
            <w:pPr>
              <w:jc w:val="center"/>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2011</w:t>
            </w:r>
          </w:p>
        </w:tc>
        <w:tc>
          <w:tcPr>
            <w:tcW w:w="1817" w:type="dxa"/>
            <w:noWrap/>
            <w:vAlign w:val="center"/>
          </w:tcPr>
          <w:p w14:paraId="60AA8349" w14:textId="0A02618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185,0</w:t>
            </w:r>
          </w:p>
        </w:tc>
        <w:tc>
          <w:tcPr>
            <w:tcW w:w="1816" w:type="dxa"/>
            <w:noWrap/>
            <w:vAlign w:val="center"/>
          </w:tcPr>
          <w:p w14:paraId="087B773E" w14:textId="1864253A"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185,1</w:t>
            </w:r>
          </w:p>
        </w:tc>
        <w:tc>
          <w:tcPr>
            <w:tcW w:w="1816" w:type="dxa"/>
            <w:noWrap/>
            <w:vAlign w:val="center"/>
          </w:tcPr>
          <w:p w14:paraId="039A3256" w14:textId="54F4E9DA"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0,1</w:t>
            </w:r>
          </w:p>
        </w:tc>
        <w:tc>
          <w:tcPr>
            <w:tcW w:w="1816" w:type="dxa"/>
            <w:noWrap/>
            <w:vAlign w:val="center"/>
          </w:tcPr>
          <w:p w14:paraId="4D89B22E" w14:textId="4B99E792" w:rsidR="00C66B0D" w:rsidRPr="008515F2"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8515F2">
              <w:rPr>
                <w:rFonts w:eastAsia="Times New Roman" w:cs="Times New Roman"/>
                <w:i/>
                <w:iCs/>
                <w:color w:val="000000" w:themeColor="text1"/>
                <w:sz w:val="20"/>
                <w:szCs w:val="20"/>
                <w:lang w:eastAsia="lv-LV"/>
              </w:rPr>
              <w:t>100,1</w:t>
            </w:r>
            <w:r w:rsidR="000539A1" w:rsidRPr="008515F2">
              <w:rPr>
                <w:rFonts w:eastAsia="Times New Roman" w:cs="Times New Roman"/>
                <w:i/>
                <w:iCs/>
                <w:color w:val="000000" w:themeColor="text1"/>
                <w:sz w:val="20"/>
                <w:szCs w:val="20"/>
                <w:lang w:eastAsia="lv-LV"/>
              </w:rPr>
              <w:t>%</w:t>
            </w:r>
          </w:p>
        </w:tc>
      </w:tr>
      <w:tr w:rsidR="00C66B0D" w:rsidRPr="009A02B7" w14:paraId="09178F31" w14:textId="77777777" w:rsidTr="00535E6D">
        <w:trPr>
          <w:trHeight w:val="166"/>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12648638" w14:textId="25C24334" w:rsidR="00C66B0D" w:rsidRPr="000539A1" w:rsidRDefault="00C66B0D" w:rsidP="00C66B0D">
            <w:pPr>
              <w:jc w:val="center"/>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2012</w:t>
            </w:r>
          </w:p>
        </w:tc>
        <w:tc>
          <w:tcPr>
            <w:tcW w:w="1817" w:type="dxa"/>
            <w:noWrap/>
            <w:vAlign w:val="center"/>
          </w:tcPr>
          <w:p w14:paraId="357DD987" w14:textId="57F4930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197,6</w:t>
            </w:r>
          </w:p>
        </w:tc>
        <w:tc>
          <w:tcPr>
            <w:tcW w:w="1816" w:type="dxa"/>
            <w:noWrap/>
            <w:vAlign w:val="center"/>
          </w:tcPr>
          <w:p w14:paraId="380ED8F3" w14:textId="5CB9492F"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220,1</w:t>
            </w:r>
          </w:p>
        </w:tc>
        <w:tc>
          <w:tcPr>
            <w:tcW w:w="1816" w:type="dxa"/>
            <w:noWrap/>
            <w:vAlign w:val="center"/>
          </w:tcPr>
          <w:p w14:paraId="2CA5B201" w14:textId="4B398184"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22,4</w:t>
            </w:r>
          </w:p>
        </w:tc>
        <w:tc>
          <w:tcPr>
            <w:tcW w:w="1816" w:type="dxa"/>
            <w:noWrap/>
            <w:vAlign w:val="center"/>
          </w:tcPr>
          <w:p w14:paraId="6BAA8E07" w14:textId="294659A7" w:rsidR="00C66B0D" w:rsidRPr="008515F2"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8515F2">
              <w:rPr>
                <w:rFonts w:eastAsia="Times New Roman" w:cs="Times New Roman"/>
                <w:i/>
                <w:iCs/>
                <w:color w:val="000000" w:themeColor="text1"/>
                <w:sz w:val="20"/>
                <w:szCs w:val="20"/>
                <w:lang w:eastAsia="lv-LV"/>
              </w:rPr>
              <w:t>111,4</w:t>
            </w:r>
            <w:r w:rsidR="000539A1" w:rsidRPr="008515F2">
              <w:rPr>
                <w:rFonts w:eastAsia="Times New Roman" w:cs="Times New Roman"/>
                <w:i/>
                <w:iCs/>
                <w:color w:val="000000" w:themeColor="text1"/>
                <w:sz w:val="20"/>
                <w:szCs w:val="20"/>
                <w:lang w:eastAsia="lv-LV"/>
              </w:rPr>
              <w:t>%</w:t>
            </w:r>
          </w:p>
        </w:tc>
      </w:tr>
      <w:tr w:rsidR="00C66B0D" w:rsidRPr="009A02B7" w14:paraId="6E79DA5F" w14:textId="77777777" w:rsidTr="00535E6D">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F084418" w14:textId="12C43BAD" w:rsidR="00C66B0D" w:rsidRPr="000539A1" w:rsidRDefault="00C66B0D" w:rsidP="00C66B0D">
            <w:pPr>
              <w:jc w:val="center"/>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2013</w:t>
            </w:r>
          </w:p>
        </w:tc>
        <w:tc>
          <w:tcPr>
            <w:tcW w:w="1817" w:type="dxa"/>
            <w:noWrap/>
            <w:vAlign w:val="center"/>
          </w:tcPr>
          <w:p w14:paraId="4B29164C" w14:textId="1154C32A"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225,8</w:t>
            </w:r>
          </w:p>
        </w:tc>
        <w:tc>
          <w:tcPr>
            <w:tcW w:w="1816" w:type="dxa"/>
            <w:noWrap/>
            <w:vAlign w:val="center"/>
          </w:tcPr>
          <w:p w14:paraId="024949B0" w14:textId="7BCFCD0A"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267,3</w:t>
            </w:r>
          </w:p>
        </w:tc>
        <w:tc>
          <w:tcPr>
            <w:tcW w:w="1816" w:type="dxa"/>
            <w:noWrap/>
            <w:vAlign w:val="center"/>
          </w:tcPr>
          <w:p w14:paraId="509CA3E0" w14:textId="6DF9EDF8"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41,5</w:t>
            </w:r>
          </w:p>
        </w:tc>
        <w:tc>
          <w:tcPr>
            <w:tcW w:w="1816" w:type="dxa"/>
            <w:noWrap/>
            <w:vAlign w:val="center"/>
          </w:tcPr>
          <w:p w14:paraId="2447B866" w14:textId="3D773C3A" w:rsidR="00C66B0D" w:rsidRPr="008515F2"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8515F2">
              <w:rPr>
                <w:rFonts w:eastAsia="Times New Roman" w:cs="Times New Roman"/>
                <w:i/>
                <w:iCs/>
                <w:color w:val="000000" w:themeColor="text1"/>
                <w:sz w:val="20"/>
                <w:szCs w:val="20"/>
                <w:lang w:eastAsia="lv-LV"/>
              </w:rPr>
              <w:t>118,4</w:t>
            </w:r>
            <w:r w:rsidR="000539A1" w:rsidRPr="008515F2">
              <w:rPr>
                <w:rFonts w:eastAsia="Times New Roman" w:cs="Times New Roman"/>
                <w:i/>
                <w:iCs/>
                <w:color w:val="000000" w:themeColor="text1"/>
                <w:sz w:val="20"/>
                <w:szCs w:val="20"/>
                <w:lang w:eastAsia="lv-LV"/>
              </w:rPr>
              <w:t>%</w:t>
            </w:r>
          </w:p>
        </w:tc>
      </w:tr>
      <w:tr w:rsidR="00C66B0D" w:rsidRPr="009A02B7" w14:paraId="5C336991" w14:textId="77777777" w:rsidTr="00982E36">
        <w:trPr>
          <w:trHeight w:val="102"/>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hideMark/>
          </w:tcPr>
          <w:p w14:paraId="2AC33015" w14:textId="77777777" w:rsidR="00C66B0D" w:rsidRPr="000539A1" w:rsidRDefault="00C66B0D" w:rsidP="00C66B0D">
            <w:pPr>
              <w:jc w:val="center"/>
              <w:rPr>
                <w:rFonts w:eastAsia="Times New Roman" w:cs="Times New Roman"/>
                <w:b w:val="0"/>
                <w:bCs w:val="0"/>
                <w:color w:val="000000"/>
                <w:sz w:val="20"/>
                <w:szCs w:val="20"/>
                <w:lang w:eastAsia="lv-LV"/>
              </w:rPr>
            </w:pPr>
            <w:r w:rsidRPr="000539A1">
              <w:rPr>
                <w:rFonts w:eastAsia="Times New Roman" w:cs="Times New Roman"/>
                <w:color w:val="000000" w:themeColor="text1"/>
                <w:sz w:val="20"/>
                <w:szCs w:val="20"/>
                <w:lang w:eastAsia="lv-LV"/>
              </w:rPr>
              <w:t>2014</w:t>
            </w:r>
          </w:p>
        </w:tc>
        <w:tc>
          <w:tcPr>
            <w:tcW w:w="1817" w:type="dxa"/>
            <w:noWrap/>
            <w:vAlign w:val="center"/>
            <w:hideMark/>
          </w:tcPr>
          <w:p w14:paraId="1D1854A5"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254,7</w:t>
            </w:r>
          </w:p>
        </w:tc>
        <w:tc>
          <w:tcPr>
            <w:tcW w:w="1816" w:type="dxa"/>
            <w:noWrap/>
            <w:vAlign w:val="center"/>
            <w:hideMark/>
          </w:tcPr>
          <w:p w14:paraId="49740E90"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284,4</w:t>
            </w:r>
          </w:p>
        </w:tc>
        <w:tc>
          <w:tcPr>
            <w:tcW w:w="1816" w:type="dxa"/>
            <w:noWrap/>
            <w:vAlign w:val="center"/>
            <w:hideMark/>
          </w:tcPr>
          <w:p w14:paraId="045F953D"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29,7</w:t>
            </w:r>
          </w:p>
        </w:tc>
        <w:tc>
          <w:tcPr>
            <w:tcW w:w="1816" w:type="dxa"/>
            <w:noWrap/>
            <w:vAlign w:val="center"/>
            <w:hideMark/>
          </w:tcPr>
          <w:p w14:paraId="61ED005A" w14:textId="46A2311C" w:rsidR="00C66B0D" w:rsidRPr="008515F2"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515F2">
              <w:rPr>
                <w:rFonts w:eastAsia="Times New Roman" w:cs="Times New Roman"/>
                <w:i/>
                <w:iCs/>
                <w:color w:val="000000" w:themeColor="text1"/>
                <w:sz w:val="20"/>
                <w:szCs w:val="20"/>
                <w:lang w:eastAsia="lv-LV"/>
              </w:rPr>
              <w:t>111,7</w:t>
            </w:r>
            <w:r w:rsidR="000539A1" w:rsidRPr="008515F2">
              <w:rPr>
                <w:rFonts w:eastAsia="Times New Roman" w:cs="Times New Roman"/>
                <w:i/>
                <w:iCs/>
                <w:color w:val="000000" w:themeColor="text1"/>
                <w:sz w:val="20"/>
                <w:szCs w:val="20"/>
                <w:lang w:eastAsia="lv-LV"/>
              </w:rPr>
              <w:t>%</w:t>
            </w:r>
          </w:p>
        </w:tc>
      </w:tr>
      <w:tr w:rsidR="00C66B0D" w:rsidRPr="009A02B7" w14:paraId="22E972DC" w14:textId="77777777" w:rsidTr="00535E6D">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hideMark/>
          </w:tcPr>
          <w:p w14:paraId="3B65B698" w14:textId="77777777" w:rsidR="00C66B0D" w:rsidRPr="000539A1" w:rsidRDefault="00C66B0D" w:rsidP="00C66B0D">
            <w:pPr>
              <w:jc w:val="center"/>
              <w:rPr>
                <w:rFonts w:eastAsia="Times New Roman" w:cs="Times New Roman"/>
                <w:b w:val="0"/>
                <w:bCs w:val="0"/>
                <w:color w:val="000000"/>
                <w:sz w:val="20"/>
                <w:szCs w:val="20"/>
                <w:lang w:eastAsia="lv-LV"/>
              </w:rPr>
            </w:pPr>
            <w:r w:rsidRPr="000539A1">
              <w:rPr>
                <w:rFonts w:eastAsia="Times New Roman" w:cs="Times New Roman"/>
                <w:color w:val="000000" w:themeColor="text1"/>
                <w:sz w:val="20"/>
                <w:szCs w:val="20"/>
                <w:lang w:eastAsia="lv-LV"/>
              </w:rPr>
              <w:t>2015</w:t>
            </w:r>
          </w:p>
        </w:tc>
        <w:tc>
          <w:tcPr>
            <w:tcW w:w="1817" w:type="dxa"/>
            <w:noWrap/>
            <w:vAlign w:val="center"/>
            <w:hideMark/>
          </w:tcPr>
          <w:p w14:paraId="481AB3AB"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284,5</w:t>
            </w:r>
          </w:p>
        </w:tc>
        <w:tc>
          <w:tcPr>
            <w:tcW w:w="1816" w:type="dxa"/>
            <w:noWrap/>
            <w:vAlign w:val="center"/>
            <w:hideMark/>
          </w:tcPr>
          <w:p w14:paraId="436B87C7"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244,8</w:t>
            </w:r>
          </w:p>
        </w:tc>
        <w:tc>
          <w:tcPr>
            <w:tcW w:w="1816" w:type="dxa"/>
            <w:noWrap/>
            <w:vAlign w:val="center"/>
            <w:hideMark/>
          </w:tcPr>
          <w:p w14:paraId="0F44C346"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-39,7</w:t>
            </w:r>
          </w:p>
        </w:tc>
        <w:tc>
          <w:tcPr>
            <w:tcW w:w="1816" w:type="dxa"/>
            <w:noWrap/>
            <w:vAlign w:val="center"/>
            <w:hideMark/>
          </w:tcPr>
          <w:p w14:paraId="5C041012" w14:textId="2B827F80" w:rsidR="00C66B0D" w:rsidRPr="008515F2"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515F2">
              <w:rPr>
                <w:rFonts w:eastAsia="Times New Roman" w:cs="Times New Roman"/>
                <w:i/>
                <w:iCs/>
                <w:color w:val="000000" w:themeColor="text1"/>
                <w:sz w:val="20"/>
                <w:szCs w:val="20"/>
                <w:lang w:eastAsia="lv-LV"/>
              </w:rPr>
              <w:t>86,1</w:t>
            </w:r>
            <w:r w:rsidR="000539A1" w:rsidRPr="008515F2">
              <w:rPr>
                <w:rFonts w:eastAsia="Times New Roman" w:cs="Times New Roman"/>
                <w:i/>
                <w:iCs/>
                <w:color w:val="000000" w:themeColor="text1"/>
                <w:sz w:val="20"/>
                <w:szCs w:val="20"/>
                <w:lang w:eastAsia="lv-LV"/>
              </w:rPr>
              <w:t>%</w:t>
            </w:r>
          </w:p>
        </w:tc>
      </w:tr>
      <w:tr w:rsidR="00C66B0D" w:rsidRPr="009A02B7" w14:paraId="39AE5C42" w14:textId="77777777" w:rsidTr="00535E6D">
        <w:trPr>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0E8201C" w14:textId="77777777" w:rsidR="00C66B0D" w:rsidRPr="000539A1" w:rsidRDefault="00C66B0D" w:rsidP="00C66B0D">
            <w:pPr>
              <w:jc w:val="center"/>
              <w:rPr>
                <w:rFonts w:eastAsia="Times New Roman" w:cs="Times New Roman"/>
                <w:b w:val="0"/>
                <w:bCs w:val="0"/>
                <w:color w:val="000000"/>
                <w:sz w:val="20"/>
                <w:szCs w:val="20"/>
                <w:lang w:eastAsia="lv-LV"/>
              </w:rPr>
            </w:pPr>
            <w:r w:rsidRPr="000539A1">
              <w:rPr>
                <w:rFonts w:eastAsia="Times New Roman" w:cs="Times New Roman"/>
                <w:color w:val="000000" w:themeColor="text1"/>
                <w:sz w:val="20"/>
                <w:szCs w:val="20"/>
                <w:lang w:eastAsia="lv-LV"/>
              </w:rPr>
              <w:t>2016</w:t>
            </w:r>
          </w:p>
        </w:tc>
        <w:tc>
          <w:tcPr>
            <w:tcW w:w="1817" w:type="dxa"/>
            <w:noWrap/>
            <w:vAlign w:val="center"/>
          </w:tcPr>
          <w:p w14:paraId="1424C93C"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292,6</w:t>
            </w:r>
          </w:p>
        </w:tc>
        <w:tc>
          <w:tcPr>
            <w:tcW w:w="1816" w:type="dxa"/>
            <w:noWrap/>
            <w:vAlign w:val="center"/>
          </w:tcPr>
          <w:p w14:paraId="6248CE66"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258,0</w:t>
            </w:r>
          </w:p>
        </w:tc>
        <w:tc>
          <w:tcPr>
            <w:tcW w:w="1816" w:type="dxa"/>
            <w:noWrap/>
            <w:vAlign w:val="center"/>
          </w:tcPr>
          <w:p w14:paraId="1E230376"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-34,6</w:t>
            </w:r>
          </w:p>
        </w:tc>
        <w:tc>
          <w:tcPr>
            <w:tcW w:w="1816" w:type="dxa"/>
            <w:noWrap/>
            <w:vAlign w:val="center"/>
          </w:tcPr>
          <w:p w14:paraId="404888A1" w14:textId="73EDEF33" w:rsidR="00C66B0D" w:rsidRPr="008515F2"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515F2">
              <w:rPr>
                <w:rFonts w:eastAsia="Times New Roman" w:cs="Times New Roman"/>
                <w:i/>
                <w:iCs/>
                <w:color w:val="000000" w:themeColor="text1"/>
                <w:sz w:val="20"/>
                <w:szCs w:val="20"/>
                <w:lang w:eastAsia="lv-LV"/>
              </w:rPr>
              <w:t>88,2</w:t>
            </w:r>
            <w:r w:rsidR="000539A1" w:rsidRPr="008515F2">
              <w:rPr>
                <w:rFonts w:eastAsia="Times New Roman" w:cs="Times New Roman"/>
                <w:i/>
                <w:iCs/>
                <w:color w:val="000000" w:themeColor="text1"/>
                <w:sz w:val="20"/>
                <w:szCs w:val="20"/>
                <w:lang w:eastAsia="lv-LV"/>
              </w:rPr>
              <w:t>%</w:t>
            </w:r>
          </w:p>
        </w:tc>
      </w:tr>
      <w:tr w:rsidR="00C66B0D" w:rsidRPr="009A02B7" w14:paraId="00187FD5" w14:textId="77777777" w:rsidTr="00535E6D">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1162CA9" w14:textId="77777777" w:rsidR="00C66B0D" w:rsidRPr="000539A1" w:rsidRDefault="00C66B0D" w:rsidP="00C66B0D">
            <w:pPr>
              <w:jc w:val="center"/>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2017</w:t>
            </w:r>
          </w:p>
        </w:tc>
        <w:tc>
          <w:tcPr>
            <w:tcW w:w="1817" w:type="dxa"/>
            <w:noWrap/>
            <w:vAlign w:val="center"/>
          </w:tcPr>
          <w:p w14:paraId="7ABC43AE"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289,8</w:t>
            </w:r>
          </w:p>
        </w:tc>
        <w:tc>
          <w:tcPr>
            <w:tcW w:w="1816" w:type="dxa"/>
            <w:noWrap/>
            <w:vAlign w:val="center"/>
          </w:tcPr>
          <w:p w14:paraId="237D66D2"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223,3</w:t>
            </w:r>
          </w:p>
        </w:tc>
        <w:tc>
          <w:tcPr>
            <w:tcW w:w="1816" w:type="dxa"/>
            <w:noWrap/>
            <w:vAlign w:val="center"/>
          </w:tcPr>
          <w:p w14:paraId="1CDE3C77"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-66,5</w:t>
            </w:r>
          </w:p>
        </w:tc>
        <w:tc>
          <w:tcPr>
            <w:tcW w:w="1816" w:type="dxa"/>
            <w:noWrap/>
            <w:vAlign w:val="center"/>
          </w:tcPr>
          <w:p w14:paraId="14C26139" w14:textId="339E4978" w:rsidR="00C66B0D" w:rsidRPr="008515F2"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515F2">
              <w:rPr>
                <w:rFonts w:eastAsia="Times New Roman" w:cs="Times New Roman"/>
                <w:i/>
                <w:iCs/>
                <w:color w:val="000000" w:themeColor="text1"/>
                <w:sz w:val="20"/>
                <w:szCs w:val="20"/>
                <w:lang w:eastAsia="lv-LV"/>
              </w:rPr>
              <w:t>77,1</w:t>
            </w:r>
            <w:r w:rsidR="000539A1" w:rsidRPr="008515F2">
              <w:rPr>
                <w:rFonts w:eastAsia="Times New Roman" w:cs="Times New Roman"/>
                <w:i/>
                <w:iCs/>
                <w:color w:val="000000" w:themeColor="text1"/>
                <w:sz w:val="20"/>
                <w:szCs w:val="20"/>
                <w:lang w:eastAsia="lv-LV"/>
              </w:rPr>
              <w:t>%</w:t>
            </w:r>
          </w:p>
        </w:tc>
      </w:tr>
      <w:tr w:rsidR="00C66B0D" w:rsidRPr="009A02B7" w14:paraId="2D02AE30" w14:textId="77777777" w:rsidTr="00535E6D">
        <w:trPr>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46ECC3BA" w14:textId="77777777" w:rsidR="00C66B0D" w:rsidRPr="000539A1" w:rsidRDefault="00C66B0D" w:rsidP="00C66B0D">
            <w:pPr>
              <w:jc w:val="center"/>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2018</w:t>
            </w:r>
          </w:p>
        </w:tc>
        <w:tc>
          <w:tcPr>
            <w:tcW w:w="1817" w:type="dxa"/>
            <w:noWrap/>
            <w:vAlign w:val="center"/>
          </w:tcPr>
          <w:p w14:paraId="041D9D01"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275,5</w:t>
            </w:r>
          </w:p>
        </w:tc>
        <w:tc>
          <w:tcPr>
            <w:tcW w:w="1816" w:type="dxa"/>
            <w:noWrap/>
            <w:vAlign w:val="center"/>
          </w:tcPr>
          <w:p w14:paraId="7F1CD5B9"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257,4</w:t>
            </w:r>
          </w:p>
        </w:tc>
        <w:tc>
          <w:tcPr>
            <w:tcW w:w="1816" w:type="dxa"/>
            <w:noWrap/>
            <w:vAlign w:val="center"/>
          </w:tcPr>
          <w:p w14:paraId="10401A6A"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-18,1</w:t>
            </w:r>
          </w:p>
        </w:tc>
        <w:tc>
          <w:tcPr>
            <w:tcW w:w="1816" w:type="dxa"/>
            <w:noWrap/>
            <w:vAlign w:val="center"/>
          </w:tcPr>
          <w:p w14:paraId="0641FFE5" w14:textId="0CBBC1A0" w:rsidR="00C66B0D" w:rsidRPr="008515F2"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515F2">
              <w:rPr>
                <w:rFonts w:eastAsia="Times New Roman" w:cs="Times New Roman"/>
                <w:i/>
                <w:iCs/>
                <w:color w:val="000000" w:themeColor="text1"/>
                <w:sz w:val="20"/>
                <w:szCs w:val="20"/>
                <w:lang w:eastAsia="lv-LV"/>
              </w:rPr>
              <w:t>93,4</w:t>
            </w:r>
            <w:r w:rsidR="000539A1" w:rsidRPr="008515F2">
              <w:rPr>
                <w:rFonts w:eastAsia="Times New Roman" w:cs="Times New Roman"/>
                <w:i/>
                <w:iCs/>
                <w:color w:val="000000" w:themeColor="text1"/>
                <w:sz w:val="20"/>
                <w:szCs w:val="20"/>
                <w:lang w:eastAsia="lv-LV"/>
              </w:rPr>
              <w:t>%</w:t>
            </w:r>
          </w:p>
        </w:tc>
      </w:tr>
      <w:tr w:rsidR="00C66B0D" w:rsidRPr="009A02B7" w14:paraId="6D34A561" w14:textId="77777777" w:rsidTr="00535E6D">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AE1318A" w14:textId="77777777" w:rsidR="00C66B0D" w:rsidRPr="000539A1" w:rsidRDefault="00C66B0D" w:rsidP="00C66B0D">
            <w:pPr>
              <w:jc w:val="center"/>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2019</w:t>
            </w:r>
          </w:p>
        </w:tc>
        <w:tc>
          <w:tcPr>
            <w:tcW w:w="1817" w:type="dxa"/>
            <w:noWrap/>
            <w:vAlign w:val="center"/>
          </w:tcPr>
          <w:p w14:paraId="0C366DA0"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272,6</w:t>
            </w:r>
          </w:p>
        </w:tc>
        <w:tc>
          <w:tcPr>
            <w:tcW w:w="1816" w:type="dxa"/>
            <w:noWrap/>
            <w:vAlign w:val="center"/>
          </w:tcPr>
          <w:p w14:paraId="1F185B95"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287,4</w:t>
            </w:r>
          </w:p>
        </w:tc>
        <w:tc>
          <w:tcPr>
            <w:tcW w:w="1816" w:type="dxa"/>
            <w:noWrap/>
            <w:vAlign w:val="center"/>
          </w:tcPr>
          <w:p w14:paraId="047E2F69"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14,8</w:t>
            </w:r>
          </w:p>
        </w:tc>
        <w:tc>
          <w:tcPr>
            <w:tcW w:w="1816" w:type="dxa"/>
            <w:noWrap/>
            <w:vAlign w:val="center"/>
          </w:tcPr>
          <w:p w14:paraId="77ED7F2C" w14:textId="267B9550" w:rsidR="00C66B0D" w:rsidRPr="008515F2"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8515F2">
              <w:rPr>
                <w:rFonts w:eastAsia="Times New Roman" w:cs="Times New Roman"/>
                <w:i/>
                <w:iCs/>
                <w:color w:val="000000" w:themeColor="text1"/>
                <w:sz w:val="20"/>
                <w:szCs w:val="20"/>
                <w:lang w:eastAsia="lv-LV"/>
              </w:rPr>
              <w:t>105,4</w:t>
            </w:r>
            <w:r w:rsidR="000539A1" w:rsidRPr="008515F2">
              <w:rPr>
                <w:rFonts w:eastAsia="Times New Roman" w:cs="Times New Roman"/>
                <w:i/>
                <w:iCs/>
                <w:color w:val="000000" w:themeColor="text1"/>
                <w:sz w:val="20"/>
                <w:szCs w:val="20"/>
                <w:lang w:eastAsia="lv-LV"/>
              </w:rPr>
              <w:t>%</w:t>
            </w:r>
          </w:p>
        </w:tc>
      </w:tr>
      <w:tr w:rsidR="00C66B0D" w:rsidRPr="009A02B7" w14:paraId="4C0D9A3A" w14:textId="77777777" w:rsidTr="00535E6D">
        <w:trPr>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17B977BF" w14:textId="77777777" w:rsidR="00C66B0D" w:rsidRPr="000539A1" w:rsidRDefault="00C66B0D" w:rsidP="00C66B0D">
            <w:pPr>
              <w:jc w:val="center"/>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2020</w:t>
            </w:r>
          </w:p>
        </w:tc>
        <w:tc>
          <w:tcPr>
            <w:tcW w:w="1817" w:type="dxa"/>
            <w:noWrap/>
            <w:vAlign w:val="center"/>
          </w:tcPr>
          <w:p w14:paraId="41339774"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317,3</w:t>
            </w:r>
          </w:p>
        </w:tc>
        <w:tc>
          <w:tcPr>
            <w:tcW w:w="1816" w:type="dxa"/>
            <w:noWrap/>
            <w:vAlign w:val="center"/>
          </w:tcPr>
          <w:p w14:paraId="73461867"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318,3</w:t>
            </w:r>
          </w:p>
        </w:tc>
        <w:tc>
          <w:tcPr>
            <w:tcW w:w="1816" w:type="dxa"/>
            <w:noWrap/>
            <w:vAlign w:val="center"/>
          </w:tcPr>
          <w:p w14:paraId="63230A65"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1,0</w:t>
            </w:r>
          </w:p>
        </w:tc>
        <w:tc>
          <w:tcPr>
            <w:tcW w:w="1816" w:type="dxa"/>
            <w:noWrap/>
            <w:vAlign w:val="center"/>
          </w:tcPr>
          <w:p w14:paraId="5252C2F2" w14:textId="2811ACF7" w:rsidR="00C66B0D" w:rsidRPr="008515F2"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515F2">
              <w:rPr>
                <w:rFonts w:eastAsia="Times New Roman" w:cs="Times New Roman"/>
                <w:i/>
                <w:iCs/>
                <w:color w:val="000000" w:themeColor="text1"/>
                <w:sz w:val="20"/>
                <w:szCs w:val="20"/>
                <w:lang w:eastAsia="lv-LV"/>
              </w:rPr>
              <w:t>100,3</w:t>
            </w:r>
            <w:r w:rsidR="000539A1" w:rsidRPr="008515F2">
              <w:rPr>
                <w:rFonts w:eastAsia="Times New Roman" w:cs="Times New Roman"/>
                <w:i/>
                <w:iCs/>
                <w:color w:val="000000" w:themeColor="text1"/>
                <w:sz w:val="20"/>
                <w:szCs w:val="20"/>
                <w:lang w:eastAsia="lv-LV"/>
              </w:rPr>
              <w:t>%</w:t>
            </w:r>
          </w:p>
        </w:tc>
      </w:tr>
      <w:tr w:rsidR="00C66B0D" w:rsidRPr="009A02B7" w14:paraId="25656F44" w14:textId="77777777" w:rsidTr="00535E6D">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40E27485" w14:textId="77777777" w:rsidR="00C66B0D" w:rsidRPr="000539A1" w:rsidRDefault="00C66B0D" w:rsidP="00C66B0D">
            <w:pPr>
              <w:jc w:val="center"/>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2021</w:t>
            </w:r>
          </w:p>
        </w:tc>
        <w:tc>
          <w:tcPr>
            <w:tcW w:w="1817" w:type="dxa"/>
            <w:noWrap/>
            <w:vAlign w:val="center"/>
          </w:tcPr>
          <w:p w14:paraId="4A9CD6CD"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539A1">
              <w:rPr>
                <w:rFonts w:eastAsia="Times New Roman" w:cs="Times New Roman"/>
                <w:color w:val="000000" w:themeColor="text1"/>
                <w:sz w:val="20"/>
                <w:szCs w:val="20"/>
                <w:lang w:eastAsia="lv-LV"/>
              </w:rPr>
              <w:t>356,0</w:t>
            </w:r>
          </w:p>
        </w:tc>
        <w:tc>
          <w:tcPr>
            <w:tcW w:w="1816" w:type="dxa"/>
            <w:noWrap/>
            <w:vAlign w:val="center"/>
          </w:tcPr>
          <w:p w14:paraId="7DE9510F"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539A1">
              <w:rPr>
                <w:rFonts w:eastAsia="Times New Roman" w:cs="Times New Roman"/>
                <w:color w:val="000000" w:themeColor="text1"/>
                <w:sz w:val="20"/>
                <w:szCs w:val="20"/>
                <w:lang w:eastAsia="lv-LV"/>
              </w:rPr>
              <w:t>398,1</w:t>
            </w:r>
          </w:p>
        </w:tc>
        <w:tc>
          <w:tcPr>
            <w:tcW w:w="1816" w:type="dxa"/>
            <w:noWrap/>
            <w:vAlign w:val="center"/>
          </w:tcPr>
          <w:p w14:paraId="7AD79D70" w14:textId="77777777"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539A1">
              <w:rPr>
                <w:rFonts w:eastAsia="Times New Roman" w:cs="Times New Roman"/>
                <w:color w:val="000000" w:themeColor="text1"/>
                <w:sz w:val="20"/>
                <w:szCs w:val="20"/>
                <w:lang w:eastAsia="lv-LV"/>
              </w:rPr>
              <w:t>42,1</w:t>
            </w:r>
          </w:p>
        </w:tc>
        <w:tc>
          <w:tcPr>
            <w:tcW w:w="1816" w:type="dxa"/>
            <w:noWrap/>
            <w:vAlign w:val="center"/>
          </w:tcPr>
          <w:p w14:paraId="3CBFCE98" w14:textId="2C4344F7" w:rsidR="00C66B0D" w:rsidRPr="008515F2"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sz w:val="20"/>
                <w:szCs w:val="20"/>
              </w:rPr>
            </w:pPr>
            <w:r w:rsidRPr="008515F2">
              <w:rPr>
                <w:rFonts w:eastAsia="Times New Roman" w:cs="Times New Roman"/>
                <w:i/>
                <w:iCs/>
                <w:color w:val="000000" w:themeColor="text1"/>
                <w:sz w:val="20"/>
                <w:szCs w:val="20"/>
                <w:lang w:eastAsia="lv-LV"/>
              </w:rPr>
              <w:t>111,8</w:t>
            </w:r>
            <w:r w:rsidR="000539A1" w:rsidRPr="008515F2">
              <w:rPr>
                <w:rFonts w:eastAsia="Times New Roman" w:cs="Times New Roman"/>
                <w:i/>
                <w:iCs/>
                <w:color w:val="000000" w:themeColor="text1"/>
                <w:sz w:val="20"/>
                <w:szCs w:val="20"/>
                <w:lang w:eastAsia="lv-LV"/>
              </w:rPr>
              <w:t>%</w:t>
            </w:r>
          </w:p>
        </w:tc>
      </w:tr>
      <w:tr w:rsidR="00C66B0D" w:rsidRPr="009A02B7" w14:paraId="11D4C8A6" w14:textId="77777777" w:rsidTr="00535E6D">
        <w:trPr>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F6A5992" w14:textId="77777777" w:rsidR="00C66B0D" w:rsidRPr="000539A1" w:rsidRDefault="00C66B0D" w:rsidP="00C66B0D">
            <w:pPr>
              <w:jc w:val="center"/>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2022</w:t>
            </w:r>
          </w:p>
        </w:tc>
        <w:tc>
          <w:tcPr>
            <w:tcW w:w="1817" w:type="dxa"/>
            <w:noWrap/>
            <w:vAlign w:val="center"/>
          </w:tcPr>
          <w:p w14:paraId="6DFB1605"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373,8</w:t>
            </w:r>
          </w:p>
        </w:tc>
        <w:tc>
          <w:tcPr>
            <w:tcW w:w="1816" w:type="dxa"/>
            <w:noWrap/>
            <w:vAlign w:val="center"/>
          </w:tcPr>
          <w:p w14:paraId="5488B1CE"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391,2</w:t>
            </w:r>
          </w:p>
        </w:tc>
        <w:tc>
          <w:tcPr>
            <w:tcW w:w="1816" w:type="dxa"/>
            <w:noWrap/>
            <w:vAlign w:val="center"/>
          </w:tcPr>
          <w:p w14:paraId="1B1A0C92" w14:textId="77777777"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17,4</w:t>
            </w:r>
          </w:p>
        </w:tc>
        <w:tc>
          <w:tcPr>
            <w:tcW w:w="1816" w:type="dxa"/>
            <w:noWrap/>
            <w:vAlign w:val="center"/>
          </w:tcPr>
          <w:p w14:paraId="5161039F" w14:textId="6D9A746D" w:rsidR="00C66B0D" w:rsidRPr="008515F2"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8515F2">
              <w:rPr>
                <w:rFonts w:eastAsia="Times New Roman" w:cs="Times New Roman"/>
                <w:i/>
                <w:iCs/>
                <w:color w:val="000000" w:themeColor="text1"/>
                <w:sz w:val="20"/>
                <w:szCs w:val="20"/>
                <w:lang w:eastAsia="lv-LV"/>
              </w:rPr>
              <w:t>104,7</w:t>
            </w:r>
            <w:r w:rsidR="000539A1" w:rsidRPr="008515F2">
              <w:rPr>
                <w:rFonts w:eastAsia="Times New Roman" w:cs="Times New Roman"/>
                <w:i/>
                <w:iCs/>
                <w:color w:val="000000" w:themeColor="text1"/>
                <w:sz w:val="20"/>
                <w:szCs w:val="20"/>
                <w:lang w:eastAsia="lv-LV"/>
              </w:rPr>
              <w:t>%</w:t>
            </w:r>
          </w:p>
        </w:tc>
      </w:tr>
      <w:tr w:rsidR="00C66B0D" w:rsidRPr="009A02B7" w14:paraId="1D8B79E3" w14:textId="77777777" w:rsidTr="00535E6D">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66885037" w14:textId="4FA01FBB" w:rsidR="00C66B0D" w:rsidRPr="000539A1" w:rsidRDefault="00C66B0D" w:rsidP="00C66B0D">
            <w:pPr>
              <w:jc w:val="center"/>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2023</w:t>
            </w:r>
          </w:p>
        </w:tc>
        <w:tc>
          <w:tcPr>
            <w:tcW w:w="1817" w:type="dxa"/>
            <w:noWrap/>
            <w:vAlign w:val="center"/>
          </w:tcPr>
          <w:p w14:paraId="167A402D" w14:textId="4CEE28C4"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384,3</w:t>
            </w:r>
          </w:p>
        </w:tc>
        <w:tc>
          <w:tcPr>
            <w:tcW w:w="1816" w:type="dxa"/>
            <w:noWrap/>
            <w:vAlign w:val="center"/>
          </w:tcPr>
          <w:p w14:paraId="6AFCAAED" w14:textId="679ECD41"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384,6</w:t>
            </w:r>
          </w:p>
        </w:tc>
        <w:tc>
          <w:tcPr>
            <w:tcW w:w="1816" w:type="dxa"/>
            <w:noWrap/>
            <w:vAlign w:val="center"/>
          </w:tcPr>
          <w:p w14:paraId="7A364938" w14:textId="52351F96" w:rsidR="00C66B0D" w:rsidRPr="000539A1"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539A1">
              <w:rPr>
                <w:rFonts w:eastAsia="Times New Roman" w:cs="Times New Roman"/>
                <w:color w:val="000000" w:themeColor="text1"/>
                <w:sz w:val="20"/>
                <w:szCs w:val="20"/>
                <w:lang w:eastAsia="lv-LV"/>
              </w:rPr>
              <w:t>0,3</w:t>
            </w:r>
          </w:p>
        </w:tc>
        <w:tc>
          <w:tcPr>
            <w:tcW w:w="1816" w:type="dxa"/>
            <w:noWrap/>
            <w:vAlign w:val="center"/>
          </w:tcPr>
          <w:p w14:paraId="0FA3E4C1" w14:textId="2B109D59" w:rsidR="00C66B0D" w:rsidRPr="008515F2" w:rsidRDefault="00C66B0D" w:rsidP="00C66B0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sz w:val="20"/>
                <w:szCs w:val="20"/>
              </w:rPr>
            </w:pPr>
            <w:r w:rsidRPr="008515F2">
              <w:rPr>
                <w:rFonts w:eastAsia="Times New Roman" w:cs="Times New Roman"/>
                <w:i/>
                <w:iCs/>
                <w:color w:val="000000" w:themeColor="text1"/>
                <w:sz w:val="20"/>
                <w:szCs w:val="20"/>
              </w:rPr>
              <w:t>100,1</w:t>
            </w:r>
            <w:r w:rsidR="000539A1" w:rsidRPr="008515F2">
              <w:rPr>
                <w:rFonts w:eastAsia="Times New Roman" w:cs="Times New Roman"/>
                <w:i/>
                <w:iCs/>
                <w:color w:val="000000" w:themeColor="text1"/>
                <w:sz w:val="20"/>
                <w:szCs w:val="20"/>
              </w:rPr>
              <w:t>%</w:t>
            </w:r>
          </w:p>
        </w:tc>
      </w:tr>
      <w:tr w:rsidR="00C66B0D" w:rsidRPr="009A02B7" w14:paraId="263A3F77" w14:textId="77777777" w:rsidTr="00AB2805">
        <w:trPr>
          <w:trHeight w:val="120"/>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BE9441F" w14:textId="4A53E262" w:rsidR="00C66B0D" w:rsidRPr="000539A1" w:rsidRDefault="00C66B0D" w:rsidP="00C66B0D">
            <w:pPr>
              <w:jc w:val="center"/>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2024</w:t>
            </w:r>
          </w:p>
        </w:tc>
        <w:tc>
          <w:tcPr>
            <w:tcW w:w="1817" w:type="dxa"/>
            <w:noWrap/>
            <w:vAlign w:val="center"/>
          </w:tcPr>
          <w:p w14:paraId="3EE75232" w14:textId="41C3B924"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423,9</w:t>
            </w:r>
          </w:p>
        </w:tc>
        <w:tc>
          <w:tcPr>
            <w:tcW w:w="1816" w:type="dxa"/>
            <w:noWrap/>
            <w:vAlign w:val="center"/>
          </w:tcPr>
          <w:p w14:paraId="4B492899" w14:textId="6A830039"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359,1</w:t>
            </w:r>
          </w:p>
        </w:tc>
        <w:tc>
          <w:tcPr>
            <w:tcW w:w="1816" w:type="dxa"/>
            <w:noWrap/>
            <w:vAlign w:val="center"/>
          </w:tcPr>
          <w:p w14:paraId="50A746A7" w14:textId="60038460" w:rsidR="00C66B0D" w:rsidRPr="000539A1"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0539A1">
              <w:rPr>
                <w:rFonts w:eastAsia="Times New Roman" w:cs="Times New Roman"/>
                <w:color w:val="000000" w:themeColor="text1"/>
                <w:sz w:val="20"/>
                <w:szCs w:val="20"/>
                <w:lang w:eastAsia="lv-LV"/>
              </w:rPr>
              <w:t>-64,8</w:t>
            </w:r>
          </w:p>
        </w:tc>
        <w:tc>
          <w:tcPr>
            <w:tcW w:w="1816" w:type="dxa"/>
            <w:noWrap/>
            <w:vAlign w:val="center"/>
          </w:tcPr>
          <w:p w14:paraId="3C4E630A" w14:textId="36EB5ADD" w:rsidR="00C66B0D" w:rsidRPr="008515F2" w:rsidRDefault="00C66B0D" w:rsidP="00C66B0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8515F2">
              <w:rPr>
                <w:rFonts w:eastAsia="Times New Roman" w:cs="Times New Roman"/>
                <w:i/>
                <w:iCs/>
                <w:color w:val="000000" w:themeColor="text1"/>
                <w:sz w:val="20"/>
                <w:szCs w:val="20"/>
              </w:rPr>
              <w:t>84,7</w:t>
            </w:r>
            <w:r w:rsidR="000539A1" w:rsidRPr="008515F2">
              <w:rPr>
                <w:rFonts w:eastAsia="Times New Roman" w:cs="Times New Roman"/>
                <w:i/>
                <w:iCs/>
                <w:color w:val="000000" w:themeColor="text1"/>
                <w:sz w:val="20"/>
                <w:szCs w:val="20"/>
              </w:rPr>
              <w:t>%</w:t>
            </w:r>
          </w:p>
        </w:tc>
      </w:tr>
    </w:tbl>
    <w:p w14:paraId="3F443C8E" w14:textId="77777777" w:rsidR="00A93036" w:rsidRPr="00883EE7" w:rsidRDefault="00A93036" w:rsidP="00A93036">
      <w:pPr>
        <w:spacing w:after="0" w:line="240" w:lineRule="auto"/>
        <w:jc w:val="both"/>
        <w:rPr>
          <w:rFonts w:ascii="Times New Roman" w:hAnsi="Times New Roman" w:cs="Times New Roman"/>
          <w:i/>
          <w:color w:val="000000"/>
          <w:sz w:val="20"/>
          <w:szCs w:val="20"/>
          <w:highlight w:val="yellow"/>
          <w:lang w:eastAsia="lv-LV"/>
        </w:rPr>
      </w:pPr>
    </w:p>
    <w:p w14:paraId="64A791F4" w14:textId="151875B7" w:rsidR="00D41016" w:rsidRPr="002023AF" w:rsidRDefault="3F9AC807" w:rsidP="469479B5">
      <w:pPr>
        <w:spacing w:after="0" w:line="240" w:lineRule="auto"/>
        <w:ind w:firstLine="709"/>
        <w:jc w:val="both"/>
        <w:rPr>
          <w:rFonts w:ascii="Times New Roman" w:hAnsi="Times New Roman" w:cs="Times New Roman"/>
          <w:noProof/>
          <w:color w:val="000000" w:themeColor="text1"/>
          <w:sz w:val="24"/>
          <w:szCs w:val="24"/>
        </w:rPr>
      </w:pPr>
      <w:r w:rsidRPr="469479B5">
        <w:rPr>
          <w:rFonts w:ascii="Times New Roman" w:hAnsi="Times New Roman" w:cs="Times New Roman"/>
          <w:noProof/>
          <w:color w:val="000000" w:themeColor="text1"/>
          <w:sz w:val="24"/>
          <w:szCs w:val="24"/>
        </w:rPr>
        <w:t>ES dalībvalstis 2020.</w:t>
      </w:r>
      <w:r w:rsidR="2D89FE69" w:rsidRPr="469479B5">
        <w:rPr>
          <w:rFonts w:ascii="Times New Roman" w:hAnsi="Times New Roman" w:cs="Times New Roman"/>
          <w:b/>
          <w:bCs/>
          <w:sz w:val="24"/>
          <w:szCs w:val="24"/>
        </w:rPr>
        <w:t xml:space="preserve"> </w:t>
      </w:r>
      <w:r w:rsidRPr="469479B5">
        <w:rPr>
          <w:rFonts w:ascii="Times New Roman" w:hAnsi="Times New Roman" w:cs="Times New Roman"/>
          <w:noProof/>
          <w:color w:val="000000" w:themeColor="text1"/>
          <w:sz w:val="24"/>
          <w:szCs w:val="24"/>
        </w:rPr>
        <w:t>gada jūlija Eiropadomes ārkārtas sanāksmē panāca vienošanos par ES daudzgadu budžetu 2021. – 2027.</w:t>
      </w:r>
      <w:r w:rsidR="7F95E72C" w:rsidRPr="469479B5">
        <w:rPr>
          <w:rFonts w:ascii="Times New Roman" w:hAnsi="Times New Roman" w:cs="Times New Roman"/>
          <w:noProof/>
          <w:color w:val="000000" w:themeColor="text1"/>
          <w:sz w:val="24"/>
          <w:szCs w:val="24"/>
        </w:rPr>
        <w:t xml:space="preserve"> </w:t>
      </w:r>
      <w:r w:rsidRPr="469479B5">
        <w:rPr>
          <w:rFonts w:ascii="Times New Roman" w:hAnsi="Times New Roman" w:cs="Times New Roman"/>
          <w:noProof/>
          <w:color w:val="000000" w:themeColor="text1"/>
          <w:sz w:val="24"/>
          <w:szCs w:val="24"/>
        </w:rPr>
        <w:t>gadiem un ES Atveseļošanas instrumentu (</w:t>
      </w:r>
      <w:r w:rsidRPr="469479B5">
        <w:rPr>
          <w:rFonts w:ascii="Times New Roman" w:hAnsi="Times New Roman" w:cs="Times New Roman"/>
          <w:i/>
          <w:iCs/>
          <w:noProof/>
          <w:color w:val="000000" w:themeColor="text1"/>
          <w:sz w:val="24"/>
          <w:szCs w:val="24"/>
        </w:rPr>
        <w:t>Next Generation EU, NGEU</w:t>
      </w:r>
      <w:r w:rsidRPr="469479B5">
        <w:rPr>
          <w:rFonts w:ascii="Times New Roman" w:hAnsi="Times New Roman" w:cs="Times New Roman"/>
          <w:noProof/>
          <w:color w:val="000000" w:themeColor="text1"/>
          <w:sz w:val="24"/>
          <w:szCs w:val="24"/>
        </w:rPr>
        <w:t>) ES ekonomikas atbalstam izejai no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noProof/>
          <w:color w:val="000000" w:themeColor="text1"/>
          <w:sz w:val="24"/>
          <w:szCs w:val="24"/>
        </w:rPr>
        <w:t xml:space="preserve">19 krīzes. ES līmeņa Parāda vērtspapīru emisijas rezultātā aizņēmumu veidā pakāpeniski iegūstāmie 750 mljrd. </w:t>
      </w:r>
      <w:r w:rsidRPr="469479B5">
        <w:rPr>
          <w:rFonts w:ascii="Times New Roman" w:hAnsi="Times New Roman" w:cs="Times New Roman"/>
          <w:i/>
          <w:iCs/>
          <w:noProof/>
          <w:color w:val="000000" w:themeColor="text1"/>
          <w:sz w:val="24"/>
          <w:szCs w:val="24"/>
        </w:rPr>
        <w:t xml:space="preserve">euro </w:t>
      </w:r>
      <w:r w:rsidRPr="469479B5">
        <w:rPr>
          <w:rFonts w:ascii="Times New Roman" w:hAnsi="Times New Roman" w:cs="Times New Roman"/>
          <w:noProof/>
          <w:color w:val="000000" w:themeColor="text1"/>
          <w:sz w:val="24"/>
          <w:szCs w:val="24"/>
        </w:rPr>
        <w:t>(2018.</w:t>
      </w:r>
      <w:r w:rsidR="1F5B80F2" w:rsidRPr="469479B5">
        <w:rPr>
          <w:rFonts w:ascii="Times New Roman" w:hAnsi="Times New Roman" w:cs="Times New Roman"/>
          <w:noProof/>
          <w:color w:val="000000" w:themeColor="text1"/>
          <w:sz w:val="24"/>
          <w:szCs w:val="24"/>
        </w:rPr>
        <w:t xml:space="preserve"> </w:t>
      </w:r>
      <w:r w:rsidRPr="469479B5">
        <w:rPr>
          <w:rFonts w:ascii="Times New Roman" w:hAnsi="Times New Roman" w:cs="Times New Roman"/>
          <w:noProof/>
          <w:color w:val="000000" w:themeColor="text1"/>
          <w:sz w:val="24"/>
          <w:szCs w:val="24"/>
        </w:rPr>
        <w:t xml:space="preserve">gada cenās), attiecīgi 390 mljrd. </w:t>
      </w:r>
      <w:r w:rsidRPr="469479B5">
        <w:rPr>
          <w:rFonts w:ascii="Times New Roman" w:hAnsi="Times New Roman" w:cs="Times New Roman"/>
          <w:i/>
          <w:iCs/>
          <w:noProof/>
          <w:color w:val="000000" w:themeColor="text1"/>
          <w:sz w:val="24"/>
          <w:szCs w:val="24"/>
        </w:rPr>
        <w:t>euro</w:t>
      </w:r>
      <w:r w:rsidRPr="469479B5">
        <w:rPr>
          <w:rFonts w:ascii="Times New Roman" w:hAnsi="Times New Roman" w:cs="Times New Roman"/>
          <w:noProof/>
          <w:color w:val="000000" w:themeColor="text1"/>
          <w:sz w:val="24"/>
          <w:szCs w:val="24"/>
        </w:rPr>
        <w:t xml:space="preserve"> apmērā tiks piešķirti dalībvalstīm kā granti un 360 mljrd. </w:t>
      </w:r>
      <w:r w:rsidRPr="469479B5">
        <w:rPr>
          <w:rFonts w:ascii="Times New Roman" w:hAnsi="Times New Roman" w:cs="Times New Roman"/>
          <w:i/>
          <w:iCs/>
          <w:noProof/>
          <w:color w:val="000000" w:themeColor="text1"/>
          <w:sz w:val="24"/>
          <w:szCs w:val="24"/>
        </w:rPr>
        <w:t>euro</w:t>
      </w:r>
      <w:r w:rsidRPr="469479B5">
        <w:rPr>
          <w:rFonts w:ascii="Times New Roman" w:hAnsi="Times New Roman" w:cs="Times New Roman"/>
          <w:noProof/>
          <w:color w:val="000000" w:themeColor="text1"/>
          <w:sz w:val="24"/>
          <w:szCs w:val="24"/>
        </w:rPr>
        <w:t xml:space="preserve"> tiks izsniegti aizdevumu formā. Šie līdzekļi tiek integrēti ES budžetā un izmantoti ES budžeta programmām un fondiem. ES aizņēmumus starptautiskajos finanšu tirgos ir plānots atmaksāt līdz 2058.</w:t>
      </w:r>
      <w:r w:rsidR="21E93AF6" w:rsidRPr="469479B5">
        <w:rPr>
          <w:rFonts w:ascii="Times New Roman" w:hAnsi="Times New Roman" w:cs="Times New Roman"/>
          <w:b/>
          <w:bCs/>
          <w:sz w:val="24"/>
          <w:szCs w:val="24"/>
        </w:rPr>
        <w:t xml:space="preserve"> </w:t>
      </w:r>
      <w:r w:rsidRPr="469479B5">
        <w:rPr>
          <w:rFonts w:ascii="Times New Roman" w:hAnsi="Times New Roman" w:cs="Times New Roman"/>
          <w:noProof/>
          <w:color w:val="000000" w:themeColor="text1"/>
          <w:sz w:val="24"/>
          <w:szCs w:val="24"/>
        </w:rPr>
        <w:t xml:space="preserve">gada beigām no </w:t>
      </w:r>
      <w:r w:rsidR="1F7974A5" w:rsidRPr="469479B5">
        <w:rPr>
          <w:rFonts w:ascii="Times New Roman" w:hAnsi="Times New Roman" w:cs="Times New Roman"/>
          <w:noProof/>
          <w:color w:val="000000" w:themeColor="text1"/>
          <w:sz w:val="24"/>
          <w:szCs w:val="24"/>
        </w:rPr>
        <w:t>esošajiem pašu resursiem</w:t>
      </w:r>
      <w:r w:rsidR="6D8D21C5" w:rsidRPr="469479B5">
        <w:rPr>
          <w:rFonts w:ascii="Times New Roman" w:hAnsi="Times New Roman" w:cs="Times New Roman"/>
          <w:noProof/>
          <w:color w:val="000000" w:themeColor="text1"/>
          <w:sz w:val="24"/>
          <w:szCs w:val="24"/>
        </w:rPr>
        <w:t xml:space="preserve"> </w:t>
      </w:r>
      <w:r w:rsidR="1F7974A5" w:rsidRPr="469479B5">
        <w:rPr>
          <w:rFonts w:ascii="Times New Roman" w:hAnsi="Times New Roman" w:cs="Times New Roman"/>
          <w:noProof/>
          <w:color w:val="000000" w:themeColor="text1"/>
          <w:sz w:val="24"/>
          <w:szCs w:val="24"/>
        </w:rPr>
        <w:t>un papildu jauniem pašu resursiem, kā arī no neizmantotajiem procentu maksājumiem.</w:t>
      </w:r>
      <w:r w:rsidR="00598B73" w:rsidRPr="469479B5">
        <w:rPr>
          <w:rFonts w:ascii="Times New Roman" w:hAnsi="Times New Roman" w:cs="Times New Roman"/>
          <w:noProof/>
          <w:color w:val="000000" w:themeColor="text1"/>
          <w:sz w:val="24"/>
          <w:szCs w:val="24"/>
        </w:rPr>
        <w:t xml:space="preserve"> Vienošanās par papildu</w:t>
      </w:r>
      <w:r w:rsidR="3714C434" w:rsidRPr="469479B5">
        <w:rPr>
          <w:rFonts w:ascii="Times New Roman" w:hAnsi="Times New Roman" w:cs="Times New Roman"/>
          <w:noProof/>
          <w:color w:val="000000" w:themeColor="text1"/>
          <w:sz w:val="24"/>
          <w:szCs w:val="24"/>
        </w:rPr>
        <w:t xml:space="preserve"> jauniem pašu resursiem vēl nav panākta. </w:t>
      </w:r>
    </w:p>
    <w:p w14:paraId="6FDEBE9A" w14:textId="77777777" w:rsidR="007045D9" w:rsidRDefault="3F9AC807" w:rsidP="469479B5">
      <w:pPr>
        <w:pStyle w:val="Text2"/>
        <w:spacing w:after="0"/>
        <w:ind w:left="0" w:firstLine="709"/>
        <w:rPr>
          <w:noProof/>
        </w:rPr>
      </w:pPr>
      <w:r w:rsidRPr="469479B5">
        <w:rPr>
          <w:noProof/>
          <w:color w:val="000000" w:themeColor="text1"/>
        </w:rPr>
        <w:t>Finansējumu nodrošina Lēmums par pašu resursiem</w:t>
      </w:r>
      <w:r w:rsidR="00D41016" w:rsidRPr="469479B5">
        <w:rPr>
          <w:rStyle w:val="FootnoteReference"/>
          <w:noProof/>
          <w:color w:val="000000" w:themeColor="text1"/>
        </w:rPr>
        <w:footnoteReference w:id="11"/>
      </w:r>
      <w:r w:rsidRPr="469479B5">
        <w:rPr>
          <w:noProof/>
          <w:color w:val="000000" w:themeColor="text1"/>
        </w:rPr>
        <w:t xml:space="preserve">, kas ļauj EK ES vārdā aizņemties līdz 750 mljrd. </w:t>
      </w:r>
      <w:r w:rsidRPr="469479B5">
        <w:rPr>
          <w:i/>
          <w:iCs/>
          <w:noProof/>
          <w:color w:val="000000" w:themeColor="text1"/>
        </w:rPr>
        <w:t>euro</w:t>
      </w:r>
      <w:r w:rsidRPr="469479B5">
        <w:rPr>
          <w:noProof/>
          <w:color w:val="000000" w:themeColor="text1"/>
        </w:rPr>
        <w:t xml:space="preserve"> pasākumiem laikposmā no 2021. līdz 2026.</w:t>
      </w:r>
      <w:r w:rsidR="1593087B" w:rsidRPr="469479B5">
        <w:rPr>
          <w:noProof/>
          <w:color w:val="000000" w:themeColor="text1"/>
        </w:rPr>
        <w:t xml:space="preserve"> </w:t>
      </w:r>
      <w:r w:rsidRPr="469479B5">
        <w:rPr>
          <w:noProof/>
          <w:color w:val="000000" w:themeColor="text1"/>
        </w:rPr>
        <w:t xml:space="preserve">gadam. </w:t>
      </w:r>
      <w:r w:rsidRPr="469479B5">
        <w:rPr>
          <w:noProof/>
        </w:rPr>
        <w:t xml:space="preserve">Nolūkā nodrošināt budžeta spējas, kas vajadzīgas, lai uzņemtos iespējamās saistības, kas attiecas uz </w:t>
      </w:r>
      <w:r w:rsidRPr="469479B5">
        <w:rPr>
          <w:i/>
          <w:iCs/>
          <w:noProof/>
        </w:rPr>
        <w:t>Next Generation EU</w:t>
      </w:r>
      <w:r w:rsidRPr="469479B5">
        <w:rPr>
          <w:noProof/>
        </w:rPr>
        <w:t xml:space="preserve"> instrumenta finansēšanu, un saskaņā ar budžeta disciplīnas prasībām pārskatītais Lēmums par pašu resursiem paredz pašu resursu maksimālo apjomu saistībām un maksājumiem ārkārtas un pagaidu palielinājumu par 0,6% no ES NKI. Maksimālo apjomu palielināšanu izmantos vienīgi, lai risinātu ar Covid</w:t>
      </w:r>
      <w:r w:rsidR="00597FA9" w:rsidRPr="469479B5">
        <w:rPr>
          <w:color w:val="000000" w:themeColor="text1"/>
          <w:szCs w:val="24"/>
        </w:rPr>
        <w:t>–</w:t>
      </w:r>
      <w:r w:rsidRPr="469479B5">
        <w:rPr>
          <w:noProof/>
        </w:rPr>
        <w:t>19 krīzi saistītās vajadzības, un tā nepārsniegs laiku, kas vajadzīgs, lai segtu šīs saistības.</w:t>
      </w:r>
    </w:p>
    <w:p w14:paraId="3E781AD7" w14:textId="08EC886B" w:rsidR="00D41016" w:rsidRPr="0080227E" w:rsidRDefault="007045D9" w:rsidP="00DD5A8A">
      <w:pPr>
        <w:spacing w:after="0" w:line="240" w:lineRule="auto"/>
        <w:ind w:firstLine="630"/>
        <w:jc w:val="both"/>
        <w:rPr>
          <w:rFonts w:ascii="Times New Roman" w:hAnsi="Times New Roman" w:cs="Times New Roman"/>
          <w:b/>
          <w:bCs/>
          <w:noProof/>
          <w:color w:val="000000" w:themeColor="text1"/>
          <w:sz w:val="24"/>
          <w:szCs w:val="24"/>
        </w:rPr>
      </w:pPr>
      <w:bookmarkStart w:id="73" w:name="_Hlk204800214"/>
      <w:r>
        <w:rPr>
          <w:rFonts w:ascii="Times New Roman" w:hAnsi="Times New Roman" w:cs="Times New Roman"/>
          <w:b/>
          <w:bCs/>
          <w:noProof/>
          <w:color w:val="000000" w:themeColor="text1"/>
          <w:sz w:val="24"/>
          <w:szCs w:val="24"/>
        </w:rPr>
        <w:t>A</w:t>
      </w:r>
      <w:r w:rsidRPr="003E2312">
        <w:rPr>
          <w:rFonts w:ascii="Times New Roman" w:hAnsi="Times New Roman" w:cs="Times New Roman"/>
          <w:b/>
          <w:bCs/>
          <w:noProof/>
          <w:color w:val="000000" w:themeColor="text1"/>
          <w:sz w:val="24"/>
          <w:szCs w:val="24"/>
        </w:rPr>
        <w:t>izņēmuma procentu maksājumu nomaksa ir uzsākta ar 2022. gadu.</w:t>
      </w:r>
      <w:r>
        <w:rPr>
          <w:rFonts w:ascii="Times New Roman" w:hAnsi="Times New Roman" w:cs="Times New Roman"/>
          <w:b/>
          <w:bCs/>
          <w:noProof/>
          <w:color w:val="000000" w:themeColor="text1"/>
          <w:sz w:val="24"/>
          <w:szCs w:val="24"/>
        </w:rPr>
        <w:t xml:space="preserve"> </w:t>
      </w:r>
      <w:r w:rsidR="3F9AC807" w:rsidRPr="469479B5">
        <w:rPr>
          <w:rFonts w:ascii="Times New Roman" w:hAnsi="Times New Roman" w:cs="Times New Roman"/>
          <w:noProof/>
          <w:color w:val="000000" w:themeColor="text1"/>
          <w:sz w:val="24"/>
          <w:szCs w:val="24"/>
        </w:rPr>
        <w:t>Aizņēmuma procentu summas ir iekļautas kopējā ES budžetā (katras dalībvalsts aptuvenā daļa var tikt aprēķināta saskaņā ar NKI atslēgu) un par tām netiek saņemts atsevišķs iemaksu pieprasījums.</w:t>
      </w:r>
      <w:r w:rsidR="00F7262B">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Š</w:t>
      </w:r>
      <w:r w:rsidR="3F9AC807" w:rsidRPr="469479B5">
        <w:rPr>
          <w:rFonts w:ascii="Times New Roman" w:hAnsi="Times New Roman" w:cs="Times New Roman"/>
          <w:noProof/>
          <w:color w:val="000000" w:themeColor="text1"/>
          <w:sz w:val="24"/>
          <w:szCs w:val="24"/>
        </w:rPr>
        <w:t xml:space="preserve">obrīd nav konkrēti nosakāms iemaksu apjoms, lai segtu procentu maksājumus, tomēr atbilstoši aktuālai tirgus situācijai, ir vērojama to pieauguma tendence, kuru lielās nenoteiktības dēļ nav iespējams </w:t>
      </w:r>
      <w:r>
        <w:rPr>
          <w:rFonts w:ascii="Times New Roman" w:hAnsi="Times New Roman" w:cs="Times New Roman"/>
          <w:noProof/>
          <w:color w:val="000000" w:themeColor="text1"/>
          <w:sz w:val="24"/>
          <w:szCs w:val="24"/>
        </w:rPr>
        <w:t xml:space="preserve">precīzi </w:t>
      </w:r>
      <w:r w:rsidR="3F9AC807" w:rsidRPr="469479B5">
        <w:rPr>
          <w:rFonts w:ascii="Times New Roman" w:hAnsi="Times New Roman" w:cs="Times New Roman"/>
          <w:noProof/>
          <w:color w:val="000000" w:themeColor="text1"/>
          <w:sz w:val="24"/>
          <w:szCs w:val="24"/>
        </w:rPr>
        <w:t>kvantificēt.</w:t>
      </w:r>
      <w:r>
        <w:rPr>
          <w:rFonts w:ascii="Times New Roman" w:hAnsi="Times New Roman" w:cs="Times New Roman"/>
          <w:noProof/>
          <w:color w:val="000000" w:themeColor="text1"/>
          <w:sz w:val="24"/>
          <w:szCs w:val="24"/>
        </w:rPr>
        <w:t xml:space="preserve"> </w:t>
      </w:r>
      <w:r w:rsidRPr="000539A1">
        <w:rPr>
          <w:rFonts w:ascii="Times New Roman" w:hAnsi="Times New Roman" w:cs="Times New Roman"/>
          <w:noProof/>
          <w:color w:val="000000" w:themeColor="text1"/>
          <w:sz w:val="24"/>
          <w:szCs w:val="24"/>
        </w:rPr>
        <w:t>Šo problēmu identificēja ES daudzgadu budžeta vidusposma pārskata laikā un tika rasts risinājums, kas paredzēja kaskādes mehānisma izveidi procentmaksājumu segšanai – vispirms tiek identificētas un izmantotas pārdales ES vispārējā budžetā, tad seko atkārtota atcelto saistību izmantošana un vienīgi, kā pēdējās nepieciešamības rīks, papildu var tikt mobilizēti resursi un iesauktas pašu resursu iemaksas. Līdz ar šo risinājumu tiek mazināts risks, ka tuvāko gadu laikā ES budžetā tiek iesaukts papildus finansējums</w:t>
      </w:r>
      <w:r w:rsidR="00B972B2">
        <w:rPr>
          <w:rFonts w:ascii="Times New Roman" w:hAnsi="Times New Roman" w:cs="Times New Roman"/>
          <w:noProof/>
          <w:color w:val="000000" w:themeColor="text1"/>
          <w:sz w:val="24"/>
          <w:szCs w:val="24"/>
        </w:rPr>
        <w:t>.</w:t>
      </w:r>
      <w:r w:rsidR="3F9AC807" w:rsidRPr="469479B5">
        <w:rPr>
          <w:rFonts w:ascii="Times New Roman" w:hAnsi="Times New Roman" w:cs="Times New Roman"/>
          <w:noProof/>
          <w:color w:val="000000" w:themeColor="text1"/>
          <w:sz w:val="24"/>
          <w:szCs w:val="24"/>
        </w:rPr>
        <w:t xml:space="preserve"> </w:t>
      </w:r>
      <w:bookmarkEnd w:id="73"/>
      <w:r w:rsidR="3F9AC807" w:rsidRPr="469479B5">
        <w:rPr>
          <w:rFonts w:ascii="Times New Roman" w:hAnsi="Times New Roman" w:cs="Times New Roman"/>
          <w:noProof/>
          <w:color w:val="000000" w:themeColor="text1"/>
          <w:sz w:val="24"/>
          <w:szCs w:val="24"/>
        </w:rPr>
        <w:t>Tādēļ pašlaik</w:t>
      </w:r>
      <w:r w:rsidR="00B972B2">
        <w:rPr>
          <w:rFonts w:ascii="Times New Roman" w:hAnsi="Times New Roman" w:cs="Times New Roman"/>
          <w:noProof/>
          <w:color w:val="000000" w:themeColor="text1"/>
          <w:sz w:val="24"/>
          <w:szCs w:val="24"/>
        </w:rPr>
        <w:t xml:space="preserve"> iepriekš</w:t>
      </w:r>
      <w:r w:rsidR="3F9AC807" w:rsidRPr="469479B5">
        <w:rPr>
          <w:rFonts w:ascii="Times New Roman" w:hAnsi="Times New Roman" w:cs="Times New Roman"/>
          <w:noProof/>
          <w:color w:val="000000" w:themeColor="text1"/>
          <w:sz w:val="24"/>
          <w:szCs w:val="24"/>
        </w:rPr>
        <w:t xml:space="preserve"> minētais</w:t>
      </w:r>
      <w:r w:rsidR="00B972B2">
        <w:rPr>
          <w:rFonts w:ascii="Times New Roman" w:hAnsi="Times New Roman" w:cs="Times New Roman"/>
          <w:noProof/>
          <w:color w:val="000000" w:themeColor="text1"/>
          <w:sz w:val="24"/>
          <w:szCs w:val="24"/>
        </w:rPr>
        <w:t xml:space="preserve"> risks</w:t>
      </w:r>
      <w:r w:rsidR="3F9AC807" w:rsidRPr="469479B5">
        <w:rPr>
          <w:rFonts w:ascii="Times New Roman" w:hAnsi="Times New Roman" w:cs="Times New Roman"/>
          <w:noProof/>
          <w:color w:val="000000" w:themeColor="text1"/>
          <w:sz w:val="24"/>
          <w:szCs w:val="24"/>
        </w:rPr>
        <w:t xml:space="preserve"> </w:t>
      </w:r>
      <w:r w:rsidR="3F9AC807" w:rsidRPr="469479B5">
        <w:rPr>
          <w:rFonts w:ascii="Times New Roman" w:hAnsi="Times New Roman" w:cs="Times New Roman"/>
          <w:b/>
          <w:bCs/>
          <w:noProof/>
          <w:color w:val="000000" w:themeColor="text1"/>
          <w:sz w:val="24"/>
          <w:szCs w:val="24"/>
        </w:rPr>
        <w:t xml:space="preserve">netiek iekļauts fiskālā nodrošinājuma rezerves aprēķinā. </w:t>
      </w:r>
    </w:p>
    <w:p w14:paraId="20AA7303" w14:textId="279EAEB4" w:rsidR="00D41016" w:rsidRDefault="009D3113" w:rsidP="00DD5A8A">
      <w:pPr>
        <w:spacing w:after="100" w:afterAutospacing="1" w:line="240" w:lineRule="auto"/>
        <w:ind w:firstLine="629"/>
        <w:jc w:val="both"/>
        <w:rPr>
          <w:rFonts w:ascii="Times New Roman" w:eastAsia="Times New Roman" w:hAnsi="Times New Roman"/>
          <w:b/>
          <w:bCs/>
          <w:sz w:val="24"/>
          <w:szCs w:val="24"/>
        </w:rPr>
      </w:pPr>
      <w:r w:rsidRPr="009D3113">
        <w:rPr>
          <w:rFonts w:ascii="Times New Roman" w:eastAsia="Times New Roman" w:hAnsi="Times New Roman"/>
          <w:sz w:val="24"/>
          <w:szCs w:val="24"/>
        </w:rPr>
        <w:t>Sākot ar 2024.</w:t>
      </w:r>
      <w:r w:rsidR="006D4399">
        <w:rPr>
          <w:rFonts w:ascii="Times New Roman" w:eastAsia="Times New Roman" w:hAnsi="Times New Roman"/>
          <w:sz w:val="24"/>
          <w:szCs w:val="24"/>
        </w:rPr>
        <w:t xml:space="preserve"> </w:t>
      </w:r>
      <w:r w:rsidRPr="009D3113">
        <w:rPr>
          <w:rFonts w:ascii="Times New Roman" w:eastAsia="Times New Roman" w:hAnsi="Times New Roman"/>
          <w:sz w:val="24"/>
          <w:szCs w:val="24"/>
        </w:rPr>
        <w:t>gadu dalībvalstis ne pašu resursu veidā, bet gan veicot divpusējas iemaksas ES vispārējā budžetā ārējo iezīmēto ieņēmumu veidā, var subsidēt procentu maksājumus Ukrainai piešķirtā aizdevuma finansēšanai. 2022.</w:t>
      </w:r>
      <w:r w:rsidR="006D4399">
        <w:rPr>
          <w:rFonts w:ascii="Times New Roman" w:eastAsia="Times New Roman" w:hAnsi="Times New Roman"/>
          <w:sz w:val="24"/>
          <w:szCs w:val="24"/>
        </w:rPr>
        <w:t xml:space="preserve"> </w:t>
      </w:r>
      <w:r w:rsidRPr="009D3113">
        <w:rPr>
          <w:rFonts w:ascii="Times New Roman" w:eastAsia="Times New Roman" w:hAnsi="Times New Roman"/>
          <w:sz w:val="24"/>
          <w:szCs w:val="24"/>
        </w:rPr>
        <w:t xml:space="preserve">gada decembrī tika apstiprināts jauns ES līmeņa instruments, kurš paredz piešķirt aizdevumu Ukrainai 18 mljrd. </w:t>
      </w:r>
      <w:r w:rsidRPr="009D3113">
        <w:rPr>
          <w:rFonts w:ascii="Times New Roman" w:eastAsia="Times New Roman" w:hAnsi="Times New Roman"/>
          <w:i/>
          <w:iCs/>
          <w:sz w:val="24"/>
          <w:szCs w:val="24"/>
        </w:rPr>
        <w:t xml:space="preserve">euro </w:t>
      </w:r>
      <w:r w:rsidRPr="009D3113">
        <w:rPr>
          <w:rFonts w:ascii="Times New Roman" w:eastAsia="Times New Roman" w:hAnsi="Times New Roman"/>
          <w:sz w:val="24"/>
          <w:szCs w:val="24"/>
        </w:rPr>
        <w:t>apmērā ar izmaksu laika posmā no 2023. līdz 2024.</w:t>
      </w:r>
      <w:r w:rsidR="006D4399">
        <w:rPr>
          <w:rFonts w:ascii="Times New Roman" w:eastAsia="Times New Roman" w:hAnsi="Times New Roman"/>
          <w:sz w:val="24"/>
          <w:szCs w:val="24"/>
        </w:rPr>
        <w:t xml:space="preserve"> </w:t>
      </w:r>
      <w:r w:rsidRPr="009D3113">
        <w:rPr>
          <w:rFonts w:ascii="Times New Roman" w:eastAsia="Times New Roman" w:hAnsi="Times New Roman"/>
          <w:sz w:val="24"/>
          <w:szCs w:val="24"/>
        </w:rPr>
        <w:t xml:space="preserve">gada pirmajam ceturksnim. Aizdevums Ukrainas valdībai ir piešķirts budžeta iztrūkuma segšanai un valsts pamatfunkciju nodrošināšanai. </w:t>
      </w:r>
      <w:r w:rsidR="3F9AC807" w:rsidRPr="0080227E">
        <w:rPr>
          <w:rFonts w:ascii="Times New Roman" w:eastAsia="Times New Roman" w:hAnsi="Times New Roman"/>
          <w:sz w:val="24"/>
          <w:szCs w:val="24"/>
        </w:rPr>
        <w:t>Atkarībā no aizdevuma procentu maksājuma apjoma, Ukrainas pieprasījuma un ES budžeta iespēju izskatīšanas, dalībvalstīm atbilstošā daļa tiks aprēķināta, izmantojot tām atbilstīgo labklājības rādītāju – NKI sadales</w:t>
      </w:r>
      <w:r w:rsidR="0040147A">
        <w:rPr>
          <w:rFonts w:ascii="Times New Roman" w:eastAsia="Times New Roman" w:hAnsi="Times New Roman"/>
          <w:sz w:val="24"/>
          <w:szCs w:val="24"/>
        </w:rPr>
        <w:t xml:space="preserve"> atslēgu</w:t>
      </w:r>
      <w:r w:rsidR="3F9AC807" w:rsidRPr="0080227E">
        <w:rPr>
          <w:rFonts w:ascii="Times New Roman" w:eastAsia="Times New Roman" w:hAnsi="Times New Roman"/>
          <w:sz w:val="24"/>
          <w:szCs w:val="24"/>
        </w:rPr>
        <w:t>. Katram gadam finansējamo apjomu dalībvalstīm aprēķinās, izmantojot iepriekšējā gada NKI sadales atslēgu, kāda ir bijusi spēkā, apstiprinot ES vispārējo budžetu konkrētajam finanšu gadam vai tā grozījumus. 2023.</w:t>
      </w:r>
      <w:r w:rsidR="197E94B2" w:rsidRPr="469479B5">
        <w:rPr>
          <w:rFonts w:ascii="Times New Roman" w:hAnsi="Times New Roman" w:cs="Times New Roman"/>
          <w:b/>
          <w:bCs/>
          <w:sz w:val="24"/>
          <w:szCs w:val="24"/>
        </w:rPr>
        <w:t xml:space="preserve"> </w:t>
      </w:r>
      <w:r w:rsidR="3F9AC807" w:rsidRPr="0080227E">
        <w:rPr>
          <w:rFonts w:ascii="Times New Roman" w:eastAsia="Times New Roman" w:hAnsi="Times New Roman"/>
          <w:sz w:val="24"/>
          <w:szCs w:val="24"/>
        </w:rPr>
        <w:t>gadam Latvijas NKI sadales atslēga veido aptuveni 0,23% no ES kopējā NKI.</w:t>
      </w:r>
      <w:r w:rsidR="3F9AC807" w:rsidRPr="0080227E">
        <w:rPr>
          <w:rFonts w:ascii="Times New Roman" w:hAnsi="Times New Roman" w:cs="Times New Roman"/>
          <w:noProof/>
          <w:color w:val="000000" w:themeColor="text1"/>
          <w:sz w:val="24"/>
          <w:szCs w:val="24"/>
        </w:rPr>
        <w:t xml:space="preserve"> </w:t>
      </w:r>
      <w:r w:rsidR="3F9AC807" w:rsidRPr="0080227E">
        <w:rPr>
          <w:rFonts w:ascii="Times New Roman" w:eastAsia="Times New Roman" w:hAnsi="Times New Roman"/>
          <w:sz w:val="24"/>
          <w:szCs w:val="24"/>
        </w:rPr>
        <w:t>Ņemot vērā to, ka aizdevuma procentu maksājumu summa nav precīzi nosakāma, konkrētus dalībvalstu maksājumus aprēķināt nav iespējams. Šobrīd iemaksu nolīgumos, kur</w:t>
      </w:r>
      <w:r w:rsidR="00FD79C5">
        <w:rPr>
          <w:rFonts w:ascii="Times New Roman" w:eastAsia="Times New Roman" w:hAnsi="Times New Roman"/>
          <w:sz w:val="24"/>
          <w:szCs w:val="24"/>
        </w:rPr>
        <w:t>i</w:t>
      </w:r>
      <w:r w:rsidR="3F9AC807" w:rsidRPr="0080227E">
        <w:rPr>
          <w:rFonts w:ascii="Times New Roman" w:eastAsia="Times New Roman" w:hAnsi="Times New Roman"/>
          <w:sz w:val="24"/>
          <w:szCs w:val="24"/>
        </w:rPr>
        <w:t xml:space="preserve"> noslēgt</w:t>
      </w:r>
      <w:r w:rsidR="00FD79C5">
        <w:rPr>
          <w:rFonts w:ascii="Times New Roman" w:eastAsia="Times New Roman" w:hAnsi="Times New Roman"/>
          <w:sz w:val="24"/>
          <w:szCs w:val="24"/>
        </w:rPr>
        <w:t>i</w:t>
      </w:r>
      <w:r w:rsidR="3F9AC807" w:rsidRPr="0080227E">
        <w:rPr>
          <w:rFonts w:ascii="Times New Roman" w:eastAsia="Times New Roman" w:hAnsi="Times New Roman"/>
          <w:sz w:val="24"/>
          <w:szCs w:val="24"/>
        </w:rPr>
        <w:t xml:space="preserve"> starp dalībvalstīm un EK, Latvijai maksimālais iemaksu apjoms laika posmam no 2024.</w:t>
      </w:r>
      <w:r w:rsidR="234F1AA5" w:rsidRPr="469479B5">
        <w:rPr>
          <w:rFonts w:ascii="Times New Roman" w:eastAsia="Times New Roman" w:hAnsi="Times New Roman"/>
          <w:sz w:val="24"/>
          <w:szCs w:val="24"/>
        </w:rPr>
        <w:t xml:space="preserve"> –</w:t>
      </w:r>
      <w:r w:rsidR="234F1AA5" w:rsidRPr="0080227E">
        <w:rPr>
          <w:rFonts w:ascii="Times New Roman" w:eastAsia="Times New Roman" w:hAnsi="Times New Roman"/>
          <w:sz w:val="24"/>
          <w:szCs w:val="24"/>
        </w:rPr>
        <w:t xml:space="preserve"> </w:t>
      </w:r>
      <w:r w:rsidR="3F9AC807" w:rsidRPr="0080227E">
        <w:rPr>
          <w:rFonts w:ascii="Times New Roman" w:eastAsia="Times New Roman" w:hAnsi="Times New Roman"/>
          <w:sz w:val="24"/>
          <w:szCs w:val="24"/>
        </w:rPr>
        <w:t>2027.</w:t>
      </w:r>
      <w:r w:rsidR="3A7EB68F" w:rsidRPr="0080227E">
        <w:rPr>
          <w:rFonts w:ascii="Times New Roman" w:eastAsia="Times New Roman" w:hAnsi="Times New Roman"/>
          <w:sz w:val="24"/>
          <w:szCs w:val="24"/>
        </w:rPr>
        <w:t xml:space="preserve"> </w:t>
      </w:r>
      <w:r w:rsidR="3F9AC807" w:rsidRPr="0080227E">
        <w:rPr>
          <w:rFonts w:ascii="Times New Roman" w:eastAsia="Times New Roman" w:hAnsi="Times New Roman"/>
          <w:sz w:val="24"/>
          <w:szCs w:val="24"/>
        </w:rPr>
        <w:t xml:space="preserve">gadam noteikts </w:t>
      </w:r>
      <w:r w:rsidR="3F9AC807" w:rsidRPr="0080227E">
        <w:rPr>
          <w:rFonts w:ascii="Times New Roman" w:hAnsi="Times New Roman" w:cs="Times New Roman"/>
          <w:sz w:val="24"/>
          <w:szCs w:val="24"/>
        </w:rPr>
        <w:t xml:space="preserve">6 471 254 </w:t>
      </w:r>
      <w:r w:rsidR="3F9AC807" w:rsidRPr="469479B5">
        <w:rPr>
          <w:rFonts w:ascii="Times New Roman" w:hAnsi="Times New Roman" w:cs="Times New Roman"/>
          <w:i/>
          <w:iCs/>
          <w:sz w:val="24"/>
          <w:szCs w:val="24"/>
        </w:rPr>
        <w:t xml:space="preserve">euro </w:t>
      </w:r>
      <w:r w:rsidR="3F9AC807" w:rsidRPr="0080227E">
        <w:rPr>
          <w:rFonts w:ascii="Times New Roman" w:hAnsi="Times New Roman" w:cs="Times New Roman"/>
          <w:sz w:val="24"/>
          <w:szCs w:val="24"/>
        </w:rPr>
        <w:t>apmērā</w:t>
      </w:r>
      <w:r w:rsidR="3F9AC807" w:rsidRPr="0080227E">
        <w:rPr>
          <w:rFonts w:ascii="Times New Roman" w:eastAsia="Times New Roman" w:hAnsi="Times New Roman"/>
          <w:sz w:val="24"/>
          <w:szCs w:val="24"/>
        </w:rPr>
        <w:t xml:space="preserve">. Tas nozīmē ikgadējo iemaksu aptuveni 1,6 milj. </w:t>
      </w:r>
      <w:r w:rsidR="3F9AC807" w:rsidRPr="469479B5">
        <w:rPr>
          <w:rFonts w:ascii="Times New Roman" w:eastAsia="Times New Roman" w:hAnsi="Times New Roman"/>
          <w:i/>
          <w:iCs/>
          <w:sz w:val="24"/>
          <w:szCs w:val="24"/>
        </w:rPr>
        <w:t>euro</w:t>
      </w:r>
      <w:r w:rsidR="00F552B1" w:rsidRPr="469479B5">
        <w:rPr>
          <w:rStyle w:val="FootnoteReference"/>
          <w:rFonts w:ascii="Times New Roman" w:eastAsia="Times New Roman" w:hAnsi="Times New Roman"/>
          <w:i/>
          <w:iCs/>
          <w:sz w:val="24"/>
          <w:szCs w:val="24"/>
        </w:rPr>
        <w:footnoteReference w:id="12"/>
      </w:r>
      <w:r w:rsidR="3F9AC807" w:rsidRPr="469479B5">
        <w:rPr>
          <w:rFonts w:ascii="Times New Roman" w:eastAsia="Times New Roman" w:hAnsi="Times New Roman"/>
          <w:i/>
          <w:iCs/>
          <w:sz w:val="24"/>
          <w:szCs w:val="24"/>
        </w:rPr>
        <w:t xml:space="preserve"> </w:t>
      </w:r>
      <w:r w:rsidR="3F9AC807" w:rsidRPr="00EA3B36">
        <w:rPr>
          <w:rFonts w:ascii="Times New Roman" w:eastAsia="Times New Roman" w:hAnsi="Times New Roman"/>
          <w:sz w:val="24"/>
          <w:szCs w:val="24"/>
        </w:rPr>
        <w:t xml:space="preserve">apmēra, kuras ir iekļautas </w:t>
      </w:r>
      <w:r w:rsidR="36C7D32D">
        <w:rPr>
          <w:rFonts w:ascii="Times New Roman" w:eastAsia="Times New Roman" w:hAnsi="Times New Roman"/>
          <w:sz w:val="24"/>
          <w:szCs w:val="24"/>
        </w:rPr>
        <w:t xml:space="preserve">FM </w:t>
      </w:r>
      <w:r w:rsidR="3F9AC807" w:rsidRPr="00EA3B36">
        <w:rPr>
          <w:rFonts w:ascii="Times New Roman" w:eastAsia="Times New Roman" w:hAnsi="Times New Roman"/>
          <w:sz w:val="24"/>
          <w:szCs w:val="24"/>
        </w:rPr>
        <w:t>2024. – 202</w:t>
      </w:r>
      <w:r w:rsidR="00AB2805">
        <w:rPr>
          <w:rFonts w:ascii="Times New Roman" w:eastAsia="Times New Roman" w:hAnsi="Times New Roman"/>
          <w:sz w:val="24"/>
          <w:szCs w:val="24"/>
        </w:rPr>
        <w:t>7</w:t>
      </w:r>
      <w:r w:rsidR="3F9AC807" w:rsidRPr="00EA3B36">
        <w:rPr>
          <w:rFonts w:ascii="Times New Roman" w:eastAsia="Times New Roman" w:hAnsi="Times New Roman"/>
          <w:sz w:val="24"/>
          <w:szCs w:val="24"/>
        </w:rPr>
        <w:t>.</w:t>
      </w:r>
      <w:r w:rsidR="7A14585B" w:rsidRPr="00EA3B36">
        <w:rPr>
          <w:rFonts w:ascii="Times New Roman" w:eastAsia="Times New Roman" w:hAnsi="Times New Roman"/>
          <w:sz w:val="24"/>
          <w:szCs w:val="24"/>
        </w:rPr>
        <w:t xml:space="preserve"> </w:t>
      </w:r>
      <w:r w:rsidR="3F9AC807" w:rsidRPr="00EA3B36">
        <w:rPr>
          <w:rFonts w:ascii="Times New Roman" w:eastAsia="Times New Roman" w:hAnsi="Times New Roman"/>
          <w:sz w:val="24"/>
          <w:szCs w:val="24"/>
        </w:rPr>
        <w:t xml:space="preserve">gadu budžeta plānā. Līdz ar augstāk minētajiem apsvērumiem procentu maksājumu finansēšana Ukrainas aizdevumam </w:t>
      </w:r>
      <w:r w:rsidR="3F9AC807" w:rsidRPr="00EA3B36">
        <w:rPr>
          <w:rFonts w:ascii="Times New Roman" w:eastAsia="Times New Roman" w:hAnsi="Times New Roman"/>
          <w:b/>
          <w:bCs/>
          <w:sz w:val="24"/>
          <w:szCs w:val="24"/>
        </w:rPr>
        <w:t>netiek iekļauta fiskālā nodrošinājuma rezerves aprēķinā.</w:t>
      </w:r>
    </w:p>
    <w:p w14:paraId="038B2F84" w14:textId="77777777" w:rsidR="006D6C33" w:rsidRPr="00980D91" w:rsidRDefault="006D6C33" w:rsidP="00497710">
      <w:pPr>
        <w:pStyle w:val="Heading2"/>
        <w:numPr>
          <w:ilvl w:val="1"/>
          <w:numId w:val="4"/>
        </w:numPr>
        <w:tabs>
          <w:tab w:val="left" w:pos="3261"/>
          <w:tab w:val="left" w:pos="5103"/>
          <w:tab w:val="left" w:pos="5245"/>
        </w:tabs>
        <w:spacing w:before="120" w:after="120" w:line="240" w:lineRule="auto"/>
        <w:ind w:left="567" w:right="-255" w:hanging="555"/>
        <w:rPr>
          <w:rFonts w:cs="Times New Roman"/>
          <w:color w:val="auto"/>
          <w:szCs w:val="24"/>
        </w:rPr>
      </w:pPr>
      <w:bookmarkStart w:id="74" w:name="_Toc47532071"/>
      <w:bookmarkStart w:id="75" w:name="_Toc205554413"/>
      <w:bookmarkStart w:id="76" w:name="_Toc405371080"/>
      <w:bookmarkStart w:id="77" w:name="_Toc536779065"/>
      <w:r w:rsidRPr="00980D91">
        <w:rPr>
          <w:rFonts w:cs="Times New Roman"/>
          <w:color w:val="auto"/>
          <w:szCs w:val="24"/>
        </w:rPr>
        <w:t>Eiropas Savienības politiku instrumentu un citu ārvalstu finanšu palīdzības programmas</w:t>
      </w:r>
      <w:bookmarkEnd w:id="74"/>
      <w:bookmarkEnd w:id="75"/>
    </w:p>
    <w:bookmarkEnd w:id="76"/>
    <w:bookmarkEnd w:id="77"/>
    <w:p w14:paraId="007F1A51" w14:textId="349E2BF2" w:rsidR="00664703" w:rsidRPr="00664703" w:rsidRDefault="009A02B7" w:rsidP="469479B5">
      <w:pPr>
        <w:spacing w:after="0" w:line="240" w:lineRule="auto"/>
        <w:ind w:firstLine="720"/>
        <w:jc w:val="both"/>
        <w:rPr>
          <w:rFonts w:ascii="Times New Roman" w:hAnsi="Times New Roman"/>
          <w:sz w:val="24"/>
          <w:szCs w:val="24"/>
        </w:rPr>
      </w:pPr>
      <w:r>
        <w:rPr>
          <w:rFonts w:ascii="Times New Roman" w:hAnsi="Times New Roman"/>
          <w:sz w:val="24"/>
          <w:szCs w:val="24"/>
        </w:rPr>
        <w:t>Atbilstoši FDL 15. pantam tiek noteikti koriģētie maksimālie valsts budžeta izdevumi, kas paredz izdevumu izlīdzināšanu, kas aprakstīta FDL 18. pantā, tostarp iekļaujot izdevumu izlīdzināšanu ES struktūrfondu, Kohēzijas fonda, kopējās lauksaimniecības politikas un kopējās zivsaimniecības politikas pasākumiem (</w:t>
      </w:r>
      <w:r w:rsidRPr="469479B5">
        <w:rPr>
          <w:rFonts w:ascii="Times New Roman" w:hAnsi="Times New Roman"/>
          <w:sz w:val="24"/>
          <w:szCs w:val="24"/>
        </w:rPr>
        <w:t xml:space="preserve">šīs deklarācijas apakšsadaļas ietvaros turpmāk – </w:t>
      </w:r>
      <w:r>
        <w:rPr>
          <w:rFonts w:ascii="Times New Roman" w:hAnsi="Times New Roman"/>
          <w:sz w:val="24"/>
          <w:szCs w:val="24"/>
        </w:rPr>
        <w:t>ES politiku instrumenti). Taču ņemot vērā, ka izdevumu izlīdzināšanas mehānisms praksē nestrādā, jo būtisku nenoteiktību rada ES politiku instrumentu prognožu un izpildes atšķirības un virssaistību mehānisms</w:t>
      </w:r>
      <w:r w:rsidR="00715D05">
        <w:rPr>
          <w:rStyle w:val="FootnoteReference"/>
          <w:rFonts w:ascii="Times New Roman" w:hAnsi="Times New Roman"/>
          <w:sz w:val="24"/>
          <w:szCs w:val="24"/>
        </w:rPr>
        <w:footnoteReference w:id="13"/>
      </w:r>
      <w:r>
        <w:rPr>
          <w:rFonts w:ascii="Times New Roman" w:hAnsi="Times New Roman"/>
          <w:sz w:val="24"/>
          <w:szCs w:val="24"/>
        </w:rPr>
        <w:t>, likuma “Par valsts budžetu 2025. gadam un budžeta ietvaru 2025., 2026. un 2027. gadam” 9. pantā tika noteikts, ka izdevumu izlīdzināšana 2025., 2026. un 2027. gadā netiek veikta un izlīdzinātos izdevumus nosaka to faktiskajās vērtībās. Kā arī ņemot vērā</w:t>
      </w:r>
      <w:r w:rsidR="58BDB8A8" w:rsidRPr="469479B5">
        <w:rPr>
          <w:rFonts w:ascii="Times New Roman" w:hAnsi="Times New Roman"/>
          <w:sz w:val="24"/>
          <w:szCs w:val="24"/>
        </w:rPr>
        <w:t>, ka</w:t>
      </w:r>
      <w:r>
        <w:rPr>
          <w:rFonts w:ascii="Times New Roman" w:hAnsi="Times New Roman"/>
          <w:sz w:val="24"/>
          <w:szCs w:val="24"/>
        </w:rPr>
        <w:t xml:space="preserve"> </w:t>
      </w:r>
      <w:r w:rsidR="58BDB8A8" w:rsidRPr="469479B5">
        <w:rPr>
          <w:rFonts w:ascii="Times New Roman" w:hAnsi="Times New Roman"/>
          <w:sz w:val="24"/>
          <w:szCs w:val="24"/>
        </w:rPr>
        <w:t xml:space="preserve">sagatavojot valsts budžeta prognozes, daļa no paredzētā finansējuma ES politiku instrumentu un citām ĀFP programmām, </w:t>
      </w:r>
      <w:r w:rsidR="687A75DD" w:rsidRPr="469479B5">
        <w:rPr>
          <w:rFonts w:ascii="Times New Roman" w:hAnsi="Times New Roman"/>
          <w:sz w:val="24"/>
          <w:szCs w:val="24"/>
        </w:rPr>
        <w:t>tiek plānota</w:t>
      </w:r>
      <w:r w:rsidR="58BDB8A8" w:rsidRPr="469479B5">
        <w:rPr>
          <w:rFonts w:ascii="Times New Roman" w:hAnsi="Times New Roman"/>
          <w:sz w:val="24"/>
          <w:szCs w:val="24"/>
        </w:rPr>
        <w:t xml:space="preserve"> 74.</w:t>
      </w:r>
      <w:r w:rsidR="483F1C55" w:rsidRPr="469479B5">
        <w:rPr>
          <w:rFonts w:ascii="Times New Roman" w:hAnsi="Times New Roman" w:cs="Times New Roman"/>
          <w:b/>
          <w:bCs/>
          <w:sz w:val="24"/>
          <w:szCs w:val="24"/>
        </w:rPr>
        <w:t xml:space="preserve"> </w:t>
      </w:r>
      <w:r w:rsidR="58BDB8A8" w:rsidRPr="469479B5">
        <w:rPr>
          <w:rFonts w:ascii="Times New Roman" w:hAnsi="Times New Roman"/>
          <w:sz w:val="24"/>
          <w:szCs w:val="24"/>
        </w:rPr>
        <w:t>resora “Gadskārtējā valsts budžeta izpildes procesā pārdalāmais finansējums” 80.00.00 programmā “Nesadalītais finansējums ES politiku instrumentu un pārējās ĀFP līdzfinansēto projektu un pasākumu īstenošanai” (šīs deklarācijas apakšsadaļas ietvaros turpmāk – 80.</w:t>
      </w:r>
      <w:r w:rsidR="005145AD">
        <w:rPr>
          <w:rFonts w:ascii="Times New Roman" w:hAnsi="Times New Roman"/>
          <w:sz w:val="24"/>
          <w:szCs w:val="24"/>
        </w:rPr>
        <w:t xml:space="preserve"> </w:t>
      </w:r>
      <w:r w:rsidR="58BDB8A8" w:rsidRPr="469479B5">
        <w:rPr>
          <w:rFonts w:ascii="Times New Roman" w:hAnsi="Times New Roman"/>
          <w:sz w:val="24"/>
          <w:szCs w:val="24"/>
        </w:rPr>
        <w:t>programma)</w:t>
      </w:r>
      <w:r>
        <w:rPr>
          <w:rFonts w:ascii="Times New Roman" w:hAnsi="Times New Roman"/>
          <w:sz w:val="24"/>
          <w:szCs w:val="24"/>
        </w:rPr>
        <w:t xml:space="preserve">, tiek </w:t>
      </w:r>
      <w:r w:rsidR="00715D05">
        <w:rPr>
          <w:rFonts w:ascii="Times New Roman" w:hAnsi="Times New Roman"/>
          <w:sz w:val="24"/>
          <w:szCs w:val="24"/>
        </w:rPr>
        <w:t>analizēti</w:t>
      </w:r>
      <w:r>
        <w:rPr>
          <w:rFonts w:ascii="Times New Roman" w:hAnsi="Times New Roman"/>
          <w:sz w:val="24"/>
          <w:szCs w:val="24"/>
        </w:rPr>
        <w:t xml:space="preserve"> </w:t>
      </w:r>
      <w:r w:rsidRPr="469479B5">
        <w:rPr>
          <w:rFonts w:ascii="Times New Roman" w:hAnsi="Times New Roman"/>
          <w:sz w:val="24"/>
          <w:szCs w:val="24"/>
        </w:rPr>
        <w:t>kopējie ES politiku instrumentu un citu ĀFP programmu izdevumi</w:t>
      </w:r>
      <w:r>
        <w:rPr>
          <w:rFonts w:ascii="Times New Roman" w:hAnsi="Times New Roman"/>
          <w:sz w:val="24"/>
          <w:szCs w:val="24"/>
        </w:rPr>
        <w:t>,</w:t>
      </w:r>
      <w:r w:rsidR="58BDB8A8" w:rsidRPr="469479B5">
        <w:rPr>
          <w:rFonts w:ascii="Times New Roman" w:hAnsi="Times New Roman"/>
          <w:sz w:val="24"/>
          <w:szCs w:val="24"/>
        </w:rPr>
        <w:t xml:space="preserve"> lai izvērtētu fiskāla riska iestāšanos. Gadījumā, ja faktiskie ES politiku instrumentu un citu ĀFP programmu izdevumi pārsniedz plānotos, ir iespējama fiskālā riska iestāšanās. Papildus tiek vērtēts, vai šāda riska iestāšanās ilgtermiņā nav simetriska – virsplāna izpildi vienā gadā, kompensē plāna neizpilde citā gadā. </w:t>
      </w:r>
    </w:p>
    <w:p w14:paraId="45460C3D" w14:textId="36A5132D" w:rsidR="008C285C" w:rsidRDefault="58BDB8A8" w:rsidP="00035061">
      <w:pPr>
        <w:spacing w:after="0" w:line="240" w:lineRule="auto"/>
        <w:ind w:firstLine="720"/>
        <w:jc w:val="both"/>
        <w:rPr>
          <w:rFonts w:ascii="Times New Roman" w:eastAsiaTheme="minorHAnsi" w:hAnsi="Times New Roman" w:cs="Times New Roman"/>
          <w:color w:val="000000" w:themeColor="text1"/>
          <w:sz w:val="24"/>
        </w:rPr>
      </w:pPr>
      <w:r w:rsidRPr="469479B5">
        <w:rPr>
          <w:rFonts w:ascii="Times New Roman" w:hAnsi="Times New Roman"/>
          <w:sz w:val="24"/>
          <w:szCs w:val="24"/>
        </w:rPr>
        <w:t>Tabulā Nr.2.6.1 attēloti ES politiku instrumentu un citu ĀFP programmu izdevumi līdz 202</w:t>
      </w:r>
      <w:r w:rsidR="009A02B7">
        <w:rPr>
          <w:rFonts w:ascii="Times New Roman" w:hAnsi="Times New Roman"/>
          <w:sz w:val="24"/>
          <w:szCs w:val="24"/>
        </w:rPr>
        <w:t>4</w:t>
      </w:r>
      <w:r w:rsidRPr="469479B5">
        <w:rPr>
          <w:rFonts w:ascii="Times New Roman" w:hAnsi="Times New Roman"/>
          <w:sz w:val="24"/>
          <w:szCs w:val="24"/>
        </w:rPr>
        <w:t>.</w:t>
      </w:r>
      <w:r w:rsidR="06E5792B" w:rsidRPr="469479B5">
        <w:rPr>
          <w:rFonts w:ascii="Times New Roman" w:hAnsi="Times New Roman" w:cs="Times New Roman"/>
          <w:b/>
          <w:bCs/>
          <w:sz w:val="24"/>
          <w:szCs w:val="24"/>
        </w:rPr>
        <w:t xml:space="preserve"> </w:t>
      </w:r>
      <w:r w:rsidRPr="469479B5">
        <w:rPr>
          <w:rFonts w:ascii="Times New Roman" w:hAnsi="Times New Roman"/>
          <w:sz w:val="24"/>
          <w:szCs w:val="24"/>
        </w:rPr>
        <w:t>gadam, kas norāda, ka ES politiku instrumentu un citu ĀFP programmu faktiskie izdevumi 2014., 2015.</w:t>
      </w:r>
      <w:r w:rsidR="00035061">
        <w:rPr>
          <w:rFonts w:ascii="Times New Roman" w:hAnsi="Times New Roman"/>
          <w:sz w:val="24"/>
          <w:szCs w:val="24"/>
        </w:rPr>
        <w:t>,</w:t>
      </w:r>
      <w:r w:rsidRPr="469479B5">
        <w:rPr>
          <w:rFonts w:ascii="Times New Roman" w:hAnsi="Times New Roman"/>
          <w:sz w:val="24"/>
          <w:szCs w:val="24"/>
        </w:rPr>
        <w:t xml:space="preserve"> 2018. un 2019.</w:t>
      </w:r>
      <w:r w:rsidR="4A24A967" w:rsidRPr="469479B5">
        <w:rPr>
          <w:rFonts w:ascii="Times New Roman" w:hAnsi="Times New Roman"/>
          <w:sz w:val="24"/>
          <w:szCs w:val="24"/>
        </w:rPr>
        <w:t xml:space="preserve"> </w:t>
      </w:r>
      <w:r w:rsidRPr="469479B5">
        <w:rPr>
          <w:rFonts w:ascii="Times New Roman" w:hAnsi="Times New Roman"/>
          <w:sz w:val="24"/>
          <w:szCs w:val="24"/>
        </w:rPr>
        <w:t>gadā bija augstāki kā plānots, savukārt 2016., 2017., 2020., 2021., 2022.</w:t>
      </w:r>
      <w:r w:rsidR="009A02B7">
        <w:rPr>
          <w:rFonts w:ascii="Times New Roman" w:hAnsi="Times New Roman"/>
          <w:sz w:val="24"/>
          <w:szCs w:val="24"/>
        </w:rPr>
        <w:t>,</w:t>
      </w:r>
      <w:r w:rsidRPr="469479B5">
        <w:rPr>
          <w:rFonts w:ascii="Times New Roman" w:hAnsi="Times New Roman"/>
          <w:sz w:val="24"/>
          <w:szCs w:val="24"/>
        </w:rPr>
        <w:t xml:space="preserve"> 2023.</w:t>
      </w:r>
      <w:r w:rsidR="0CE09569" w:rsidRPr="469479B5">
        <w:rPr>
          <w:rFonts w:ascii="Times New Roman" w:hAnsi="Times New Roman"/>
          <w:sz w:val="24"/>
          <w:szCs w:val="24"/>
        </w:rPr>
        <w:t xml:space="preserve"> </w:t>
      </w:r>
      <w:r w:rsidR="009A02B7">
        <w:rPr>
          <w:rFonts w:ascii="Times New Roman" w:hAnsi="Times New Roman"/>
          <w:sz w:val="24"/>
          <w:szCs w:val="24"/>
        </w:rPr>
        <w:t xml:space="preserve">un 2024. </w:t>
      </w:r>
      <w:r w:rsidRPr="469479B5">
        <w:rPr>
          <w:rFonts w:ascii="Times New Roman" w:hAnsi="Times New Roman"/>
          <w:sz w:val="24"/>
          <w:szCs w:val="24"/>
        </w:rPr>
        <w:t xml:space="preserve">gadā bija zemāki kā plānots. Līdz ar to varbūtība, ka ES politiku instrumentu un citu ĀFP programmu faktiskie izdevumi ir augstāki vai zemāki kā plānots, ir simetriska. </w:t>
      </w:r>
      <w:r w:rsidR="009A02B7">
        <w:rPr>
          <w:rFonts w:ascii="Times New Roman" w:hAnsi="Times New Roman"/>
          <w:sz w:val="24"/>
          <w:szCs w:val="24"/>
        </w:rPr>
        <w:t>Tomēr jāatzīmē, ka p</w:t>
      </w:r>
      <w:r w:rsidRPr="469479B5">
        <w:rPr>
          <w:rFonts w:ascii="Times New Roman" w:hAnsi="Times New Roman"/>
          <w:sz w:val="24"/>
          <w:szCs w:val="24"/>
        </w:rPr>
        <w:t>ēdējos gados plānotie ES politiku instrumentu un citu ĀFP programmu faktiskie izdevumi ir bijuši zemāk</w:t>
      </w:r>
      <w:r w:rsidR="0A854D68" w:rsidRPr="469479B5">
        <w:rPr>
          <w:rFonts w:ascii="Times New Roman" w:hAnsi="Times New Roman"/>
          <w:sz w:val="24"/>
          <w:szCs w:val="24"/>
        </w:rPr>
        <w:t>i</w:t>
      </w:r>
      <w:r w:rsidRPr="469479B5">
        <w:rPr>
          <w:rFonts w:ascii="Times New Roman" w:hAnsi="Times New Roman"/>
          <w:sz w:val="24"/>
          <w:szCs w:val="24"/>
        </w:rPr>
        <w:t xml:space="preserve"> kā plānots, ņemot vērā gan pēdējo gadu ekonomiskos satricinājumus, gan jaunā ES fondu 2021.</w:t>
      </w:r>
      <w:r w:rsidR="00035061">
        <w:rPr>
          <w:rFonts w:ascii="Times New Roman" w:hAnsi="Times New Roman" w:cs="Times New Roman"/>
          <w:color w:val="000000" w:themeColor="text1"/>
          <w:sz w:val="24"/>
          <w:szCs w:val="24"/>
        </w:rPr>
        <w:t xml:space="preserve"> – 2027. </w:t>
      </w:r>
      <w:r w:rsidRPr="469479B5">
        <w:rPr>
          <w:rFonts w:ascii="Times New Roman" w:hAnsi="Times New Roman"/>
          <w:sz w:val="24"/>
          <w:szCs w:val="24"/>
        </w:rPr>
        <w:t xml:space="preserve">gada plānošanas perioda un </w:t>
      </w:r>
      <w:r w:rsidR="00035061">
        <w:rPr>
          <w:rFonts w:ascii="Times New Roman" w:hAnsi="Times New Roman"/>
          <w:sz w:val="24"/>
          <w:szCs w:val="24"/>
        </w:rPr>
        <w:t>A</w:t>
      </w:r>
      <w:r w:rsidR="00F72D06">
        <w:rPr>
          <w:rFonts w:ascii="Times New Roman" w:hAnsi="Times New Roman"/>
          <w:sz w:val="24"/>
          <w:szCs w:val="24"/>
        </w:rPr>
        <w:t>tveseļošanas un noturības mehānisma (turpmāk – ANM)</w:t>
      </w:r>
      <w:r w:rsidRPr="469479B5">
        <w:rPr>
          <w:rFonts w:ascii="Times New Roman" w:hAnsi="Times New Roman"/>
          <w:sz w:val="24"/>
          <w:szCs w:val="24"/>
        </w:rPr>
        <w:t xml:space="preserve"> lēnāku ieviešanu, taču sagaidāms ka nākamajos gados ES politiku instrumentu un citu ĀFP programmu </w:t>
      </w:r>
      <w:r w:rsidR="07B43786" w:rsidRPr="469479B5">
        <w:rPr>
          <w:rFonts w:ascii="Times New Roman" w:hAnsi="Times New Roman"/>
          <w:sz w:val="24"/>
          <w:szCs w:val="24"/>
        </w:rPr>
        <w:t>realizēšanas</w:t>
      </w:r>
      <w:r w:rsidRPr="469479B5">
        <w:rPr>
          <w:rFonts w:ascii="Times New Roman" w:hAnsi="Times New Roman"/>
          <w:sz w:val="24"/>
          <w:szCs w:val="24"/>
        </w:rPr>
        <w:t xml:space="preserve"> temps pieaugs, kas arī būs atspoguļots vispārējās valdības budžeta bilances prognozēs. </w:t>
      </w:r>
      <w:r w:rsidR="3FF8E9C0" w:rsidRPr="469479B5">
        <w:rPr>
          <w:rFonts w:ascii="Times New Roman" w:hAnsi="Times New Roman" w:cs="Times New Roman"/>
          <w:color w:val="000000" w:themeColor="text1"/>
          <w:sz w:val="24"/>
          <w:szCs w:val="24"/>
        </w:rPr>
        <w:t xml:space="preserve">Saskaņā ar EKS uzskaites principiem, vispārējās valdības budžeta bilanci ietekmē tikai nacionālais līdzfinansējums ES politikas instrumentu un citu ĀFP programmu realizācijai jeb valsts budžeta finansējums, kas jānodrošina veiksmīgai projektu ieviešanai. Deklarācijas kontekstā ir svarīgi izvērtēt, vai valsts budžeta plānotais līdzfinansējums </w:t>
      </w:r>
      <w:r w:rsidR="009A02B7">
        <w:rPr>
          <w:rFonts w:ascii="Times New Roman" w:hAnsi="Times New Roman" w:cs="Times New Roman"/>
          <w:color w:val="000000" w:themeColor="text1"/>
          <w:sz w:val="24"/>
          <w:szCs w:val="24"/>
        </w:rPr>
        <w:t>jeb</w:t>
      </w:r>
      <w:r w:rsidR="3FF8E9C0" w:rsidRPr="469479B5">
        <w:rPr>
          <w:rFonts w:ascii="Times New Roman" w:hAnsi="Times New Roman" w:cs="Times New Roman"/>
          <w:color w:val="000000" w:themeColor="text1"/>
          <w:sz w:val="24"/>
          <w:szCs w:val="24"/>
        </w:rPr>
        <w:t xml:space="preserve"> valsts budžeta izdevumi ir bijuši augstāki vai zemāki kā plānotie. Jāsecina, ka svārstības ir līdzīgas kā </w:t>
      </w:r>
      <w:r w:rsidR="3FF8E9C0" w:rsidRPr="469479B5">
        <w:rPr>
          <w:rFonts w:ascii="Times New Roman" w:hAnsi="Times New Roman"/>
          <w:color w:val="000000" w:themeColor="text1"/>
          <w:sz w:val="24"/>
          <w:szCs w:val="24"/>
        </w:rPr>
        <w:t>ES politiku instrumentu un citu ĀFP programmu izdevumiem</w:t>
      </w:r>
      <w:r w:rsidR="3FF8E9C0" w:rsidRPr="469479B5">
        <w:rPr>
          <w:rFonts w:ascii="Times New Roman" w:hAnsi="Times New Roman" w:cs="Times New Roman"/>
          <w:color w:val="000000" w:themeColor="text1"/>
          <w:sz w:val="24"/>
          <w:szCs w:val="24"/>
        </w:rPr>
        <w:t>, izņemot 2016. gadu, kad ĀFP izdevumi bija zemāki kā plānots, bet budžeta izdevumi augstāki. Šāda situācija izveidojās, jo 2016.</w:t>
      </w:r>
      <w:r w:rsidR="3FDD6B4B" w:rsidRPr="469479B5">
        <w:rPr>
          <w:rFonts w:ascii="Times New Roman" w:hAnsi="Times New Roman" w:cs="Times New Roman"/>
          <w:b/>
          <w:bCs/>
          <w:sz w:val="24"/>
          <w:szCs w:val="24"/>
        </w:rPr>
        <w:t xml:space="preserve"> </w:t>
      </w:r>
      <w:r w:rsidR="3FF8E9C0" w:rsidRPr="469479B5">
        <w:rPr>
          <w:rFonts w:ascii="Times New Roman" w:hAnsi="Times New Roman" w:cs="Times New Roman"/>
          <w:color w:val="000000" w:themeColor="text1"/>
          <w:sz w:val="24"/>
          <w:szCs w:val="24"/>
        </w:rPr>
        <w:t>gadā tika norakstītas 2007.</w:t>
      </w:r>
      <w:r w:rsidR="00035061">
        <w:rPr>
          <w:rFonts w:ascii="Times New Roman" w:hAnsi="Times New Roman" w:cs="Times New Roman"/>
          <w:color w:val="000000" w:themeColor="text1"/>
          <w:sz w:val="24"/>
          <w:szCs w:val="24"/>
        </w:rPr>
        <w:t xml:space="preserve"> – 2013.</w:t>
      </w:r>
      <w:r w:rsidR="6E2EC197" w:rsidRPr="469479B5">
        <w:rPr>
          <w:rFonts w:ascii="Times New Roman" w:hAnsi="Times New Roman" w:cs="Times New Roman"/>
          <w:color w:val="000000" w:themeColor="text1"/>
          <w:sz w:val="24"/>
          <w:szCs w:val="24"/>
        </w:rPr>
        <w:t xml:space="preserve"> </w:t>
      </w:r>
      <w:r w:rsidR="3FF8E9C0" w:rsidRPr="469479B5">
        <w:rPr>
          <w:rFonts w:ascii="Times New Roman" w:hAnsi="Times New Roman" w:cs="Times New Roman"/>
          <w:color w:val="000000" w:themeColor="text1"/>
          <w:sz w:val="24"/>
          <w:szCs w:val="24"/>
        </w:rPr>
        <w:t>gada ES struktūrfondu plānošanas periodā uzkrātās virssaistības.</w:t>
      </w:r>
    </w:p>
    <w:p w14:paraId="58BD0CA2" w14:textId="2577D453" w:rsidR="00481389" w:rsidRPr="00664703" w:rsidRDefault="06F60980" w:rsidP="00940337">
      <w:pPr>
        <w:spacing w:before="200" w:line="240" w:lineRule="auto"/>
        <w:jc w:val="right"/>
        <w:rPr>
          <w:rFonts w:ascii="Times New Roman" w:hAnsi="Times New Roman"/>
          <w:b/>
          <w:bCs/>
          <w:color w:val="000000" w:themeColor="text1"/>
          <w:sz w:val="24"/>
          <w:szCs w:val="24"/>
        </w:rPr>
      </w:pPr>
      <w:r w:rsidRPr="469479B5">
        <w:rPr>
          <w:rFonts w:ascii="Times New Roman" w:hAnsi="Times New Roman"/>
          <w:b/>
          <w:bCs/>
          <w:color w:val="000000" w:themeColor="text1"/>
          <w:sz w:val="24"/>
          <w:szCs w:val="24"/>
        </w:rPr>
        <w:t>Tabula Nr.</w:t>
      </w:r>
      <w:r w:rsidR="43B306BB" w:rsidRPr="469479B5">
        <w:rPr>
          <w:rFonts w:ascii="Times New Roman" w:hAnsi="Times New Roman"/>
          <w:b/>
          <w:bCs/>
          <w:color w:val="000000" w:themeColor="text1"/>
          <w:sz w:val="24"/>
          <w:szCs w:val="24"/>
        </w:rPr>
        <w:t>2.6.1</w:t>
      </w:r>
      <w:r w:rsidR="105B1F98" w:rsidRPr="469479B5">
        <w:rPr>
          <w:rFonts w:ascii="Times New Roman" w:hAnsi="Times New Roman"/>
          <w:b/>
          <w:bCs/>
          <w:color w:val="000000" w:themeColor="text1"/>
          <w:sz w:val="24"/>
          <w:szCs w:val="24"/>
        </w:rPr>
        <w:t xml:space="preserve"> </w:t>
      </w:r>
      <w:r w:rsidRPr="469479B5">
        <w:rPr>
          <w:rFonts w:ascii="Times New Roman" w:hAnsi="Times New Roman"/>
          <w:b/>
          <w:bCs/>
          <w:color w:val="000000" w:themeColor="text1"/>
          <w:sz w:val="24"/>
          <w:szCs w:val="24"/>
        </w:rPr>
        <w:t>ES politiku instrumentu un citu ārvalstu finanšu palīdzības programmu izdevumi,</w:t>
      </w:r>
      <w:r w:rsidR="06D32DAE" w:rsidRPr="469479B5">
        <w:rPr>
          <w:rFonts w:ascii="Times New Roman" w:hAnsi="Times New Roman"/>
          <w:b/>
          <w:bCs/>
          <w:color w:val="000000" w:themeColor="text1"/>
          <w:sz w:val="24"/>
          <w:szCs w:val="24"/>
        </w:rPr>
        <w:t xml:space="preserve"> valsts budžeta izdevumi</w:t>
      </w:r>
      <w:r w:rsidR="00826C80">
        <w:rPr>
          <w:rFonts w:ascii="Times New Roman" w:hAnsi="Times New Roman"/>
          <w:b/>
          <w:bCs/>
          <w:color w:val="000000" w:themeColor="text1"/>
          <w:sz w:val="24"/>
          <w:szCs w:val="24"/>
        </w:rPr>
        <w:t xml:space="preserve">, milj. </w:t>
      </w:r>
      <w:r w:rsidR="00826C80" w:rsidRPr="00826C80">
        <w:rPr>
          <w:rFonts w:ascii="Times New Roman" w:hAnsi="Times New Roman"/>
          <w:b/>
          <w:bCs/>
          <w:i/>
          <w:iCs/>
          <w:color w:val="000000" w:themeColor="text1"/>
          <w:sz w:val="24"/>
          <w:szCs w:val="24"/>
        </w:rPr>
        <w:t>euro</w:t>
      </w:r>
      <w:r w:rsidR="00826C80">
        <w:rPr>
          <w:rFonts w:ascii="Times New Roman" w:hAnsi="Times New Roman"/>
          <w:b/>
          <w:bCs/>
          <w:color w:val="000000" w:themeColor="text1"/>
          <w:sz w:val="24"/>
          <w:szCs w:val="24"/>
        </w:rPr>
        <w:t xml:space="preserve"> </w:t>
      </w:r>
      <w:r w:rsidR="06D32DAE" w:rsidRPr="469479B5">
        <w:rPr>
          <w:rFonts w:ascii="Times New Roman" w:hAnsi="Times New Roman"/>
          <w:b/>
          <w:bCs/>
          <w:color w:val="000000" w:themeColor="text1"/>
          <w:sz w:val="24"/>
          <w:szCs w:val="24"/>
        </w:rPr>
        <w:t>un līdzfinansējuma likmes</w:t>
      </w:r>
      <w:r w:rsidR="00826C80">
        <w:rPr>
          <w:rFonts w:ascii="Times New Roman" w:hAnsi="Times New Roman"/>
          <w:b/>
          <w:bCs/>
          <w:color w:val="000000" w:themeColor="text1"/>
          <w:sz w:val="24"/>
          <w:szCs w:val="24"/>
        </w:rPr>
        <w:t>, %</w:t>
      </w:r>
    </w:p>
    <w:tbl>
      <w:tblPr>
        <w:tblStyle w:val="GridTable6Colorful-Accent11"/>
        <w:tblW w:w="9932" w:type="dxa"/>
        <w:jc w:val="center"/>
        <w:tblLayout w:type="fixed"/>
        <w:tblLook w:val="04A0" w:firstRow="1" w:lastRow="0" w:firstColumn="1" w:lastColumn="0" w:noHBand="0" w:noVBand="1"/>
      </w:tblPr>
      <w:tblGrid>
        <w:gridCol w:w="1087"/>
        <w:gridCol w:w="2320"/>
        <w:gridCol w:w="2175"/>
        <w:gridCol w:w="2175"/>
        <w:gridCol w:w="2175"/>
      </w:tblGrid>
      <w:tr w:rsidR="002E0599" w:rsidRPr="009A02B7" w14:paraId="5675EC03" w14:textId="77777777" w:rsidTr="00E252EB">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0" w:type="dxa"/>
            <w:gridSpan w:val="2"/>
            <w:noWrap/>
            <w:vAlign w:val="center"/>
            <w:hideMark/>
          </w:tcPr>
          <w:p w14:paraId="7C83A0CE"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Gads/rādītājs</w:t>
            </w:r>
          </w:p>
        </w:tc>
        <w:tc>
          <w:tcPr>
            <w:tcW w:w="0" w:type="dxa"/>
            <w:noWrap/>
            <w:vAlign w:val="center"/>
            <w:hideMark/>
          </w:tcPr>
          <w:p w14:paraId="60BCEF3A" w14:textId="4FA1AB15" w:rsidR="008C285C" w:rsidRPr="00EF1FD3" w:rsidRDefault="667DE316"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Ārvalstu finanšu palīdzības izdevumi</w:t>
            </w:r>
          </w:p>
        </w:tc>
        <w:tc>
          <w:tcPr>
            <w:tcW w:w="0" w:type="dxa"/>
            <w:noWrap/>
            <w:vAlign w:val="center"/>
            <w:hideMark/>
          </w:tcPr>
          <w:p w14:paraId="4B326F98" w14:textId="77777777" w:rsidR="008C285C" w:rsidRPr="00EF1FD3" w:rsidRDefault="667DE316"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Līdzfinansējuma likme</w:t>
            </w:r>
          </w:p>
        </w:tc>
        <w:tc>
          <w:tcPr>
            <w:tcW w:w="0" w:type="dxa"/>
            <w:noWrap/>
            <w:vAlign w:val="center"/>
            <w:hideMark/>
          </w:tcPr>
          <w:p w14:paraId="68EFE6CB" w14:textId="7313A6C2" w:rsidR="008C285C" w:rsidRPr="00EF1FD3" w:rsidRDefault="667DE316"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Valsts budžeta izdevumi</w:t>
            </w:r>
          </w:p>
        </w:tc>
      </w:tr>
      <w:tr w:rsidR="002E0599" w:rsidRPr="009A02B7" w14:paraId="67261807" w14:textId="77777777" w:rsidTr="008907F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noWrap/>
            <w:vAlign w:val="center"/>
          </w:tcPr>
          <w:p w14:paraId="04EC0902"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2014</w:t>
            </w:r>
          </w:p>
        </w:tc>
        <w:tc>
          <w:tcPr>
            <w:tcW w:w="2320" w:type="dxa"/>
            <w:noWrap/>
            <w:vAlign w:val="center"/>
          </w:tcPr>
          <w:p w14:paraId="6E224400"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Plāns</w:t>
            </w:r>
          </w:p>
        </w:tc>
        <w:tc>
          <w:tcPr>
            <w:tcW w:w="2175" w:type="dxa"/>
            <w:noWrap/>
            <w:vAlign w:val="center"/>
          </w:tcPr>
          <w:p w14:paraId="3397AFA2"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1281,4</w:t>
            </w:r>
          </w:p>
        </w:tc>
        <w:tc>
          <w:tcPr>
            <w:tcW w:w="2175" w:type="dxa"/>
            <w:noWrap/>
            <w:vAlign w:val="center"/>
          </w:tcPr>
          <w:p w14:paraId="5D39A89A"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84,1%</w:t>
            </w:r>
          </w:p>
        </w:tc>
        <w:tc>
          <w:tcPr>
            <w:tcW w:w="2175" w:type="dxa"/>
            <w:noWrap/>
            <w:vAlign w:val="center"/>
          </w:tcPr>
          <w:p w14:paraId="0805F21E"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204,2</w:t>
            </w:r>
          </w:p>
        </w:tc>
      </w:tr>
      <w:tr w:rsidR="002E0599" w:rsidRPr="009A02B7" w14:paraId="10C644AA"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noWrap/>
            <w:vAlign w:val="center"/>
          </w:tcPr>
          <w:p w14:paraId="3B74A80C" w14:textId="77777777" w:rsidR="008C285C" w:rsidRPr="00EF1FD3" w:rsidRDefault="008C285C" w:rsidP="005552F3">
            <w:pPr>
              <w:jc w:val="center"/>
              <w:rPr>
                <w:rFonts w:eastAsia="Times New Roman" w:cs="Times New Roman"/>
                <w:color w:val="000000"/>
                <w:sz w:val="20"/>
                <w:szCs w:val="20"/>
                <w:lang w:eastAsia="lv-LV"/>
              </w:rPr>
            </w:pPr>
          </w:p>
        </w:tc>
        <w:tc>
          <w:tcPr>
            <w:tcW w:w="2320" w:type="dxa"/>
            <w:noWrap/>
            <w:vAlign w:val="center"/>
          </w:tcPr>
          <w:p w14:paraId="055FB698"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Izpilde</w:t>
            </w:r>
          </w:p>
        </w:tc>
        <w:tc>
          <w:tcPr>
            <w:tcW w:w="2175" w:type="dxa"/>
            <w:noWrap/>
            <w:vAlign w:val="center"/>
          </w:tcPr>
          <w:p w14:paraId="43EC9DB7"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1372,0</w:t>
            </w:r>
          </w:p>
        </w:tc>
        <w:tc>
          <w:tcPr>
            <w:tcW w:w="2175" w:type="dxa"/>
            <w:noWrap/>
            <w:vAlign w:val="center"/>
          </w:tcPr>
          <w:p w14:paraId="676B4DAB"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83,6%</w:t>
            </w:r>
          </w:p>
        </w:tc>
        <w:tc>
          <w:tcPr>
            <w:tcW w:w="2175" w:type="dxa"/>
            <w:noWrap/>
            <w:vAlign w:val="center"/>
          </w:tcPr>
          <w:p w14:paraId="1A8F914F"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224,6</w:t>
            </w:r>
          </w:p>
        </w:tc>
      </w:tr>
      <w:tr w:rsidR="002E0599" w:rsidRPr="009A02B7" w14:paraId="6CFDF763" w14:textId="77777777" w:rsidTr="008907F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noWrap/>
            <w:vAlign w:val="center"/>
          </w:tcPr>
          <w:p w14:paraId="2144F3BE" w14:textId="77777777" w:rsidR="008C285C" w:rsidRPr="00EF1FD3" w:rsidRDefault="008C285C" w:rsidP="005552F3">
            <w:pPr>
              <w:jc w:val="center"/>
              <w:rPr>
                <w:rFonts w:eastAsia="Times New Roman" w:cs="Times New Roman"/>
                <w:color w:val="000000"/>
                <w:sz w:val="20"/>
                <w:szCs w:val="20"/>
                <w:lang w:eastAsia="lv-LV"/>
              </w:rPr>
            </w:pPr>
          </w:p>
        </w:tc>
        <w:tc>
          <w:tcPr>
            <w:tcW w:w="2320" w:type="dxa"/>
            <w:noWrap/>
            <w:vAlign w:val="center"/>
          </w:tcPr>
          <w:p w14:paraId="6D478C86"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Novirze no plāna %</w:t>
            </w:r>
          </w:p>
        </w:tc>
        <w:tc>
          <w:tcPr>
            <w:tcW w:w="2175" w:type="dxa"/>
            <w:noWrap/>
            <w:vAlign w:val="center"/>
          </w:tcPr>
          <w:p w14:paraId="6CE6DBF9"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7,1%</w:t>
            </w:r>
          </w:p>
        </w:tc>
        <w:tc>
          <w:tcPr>
            <w:tcW w:w="2175" w:type="dxa"/>
            <w:noWrap/>
            <w:vAlign w:val="center"/>
          </w:tcPr>
          <w:p w14:paraId="6F91E3DA"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 </w:t>
            </w:r>
          </w:p>
        </w:tc>
        <w:tc>
          <w:tcPr>
            <w:tcW w:w="2175" w:type="dxa"/>
            <w:noWrap/>
            <w:vAlign w:val="center"/>
          </w:tcPr>
          <w:p w14:paraId="4ADF20E6"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10,0%</w:t>
            </w:r>
          </w:p>
        </w:tc>
      </w:tr>
      <w:tr w:rsidR="002E0599" w:rsidRPr="009A02B7" w14:paraId="6A8539FC"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noWrap/>
            <w:vAlign w:val="center"/>
          </w:tcPr>
          <w:p w14:paraId="66087704"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2015</w:t>
            </w:r>
          </w:p>
        </w:tc>
        <w:tc>
          <w:tcPr>
            <w:tcW w:w="2320" w:type="dxa"/>
            <w:noWrap/>
            <w:vAlign w:val="center"/>
          </w:tcPr>
          <w:p w14:paraId="6DCABD93"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Plāns</w:t>
            </w:r>
          </w:p>
        </w:tc>
        <w:tc>
          <w:tcPr>
            <w:tcW w:w="2175" w:type="dxa"/>
            <w:noWrap/>
            <w:vAlign w:val="center"/>
          </w:tcPr>
          <w:p w14:paraId="15D7AA8A"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1254,3</w:t>
            </w:r>
          </w:p>
        </w:tc>
        <w:tc>
          <w:tcPr>
            <w:tcW w:w="2175" w:type="dxa"/>
            <w:noWrap/>
            <w:vAlign w:val="center"/>
          </w:tcPr>
          <w:p w14:paraId="0DB6269C"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86,2%</w:t>
            </w:r>
          </w:p>
        </w:tc>
        <w:tc>
          <w:tcPr>
            <w:tcW w:w="2175" w:type="dxa"/>
            <w:noWrap/>
            <w:vAlign w:val="center"/>
          </w:tcPr>
          <w:p w14:paraId="1FF3E42C"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172,9</w:t>
            </w:r>
          </w:p>
        </w:tc>
      </w:tr>
      <w:tr w:rsidR="002E0599" w:rsidRPr="009A02B7" w14:paraId="4F659151" w14:textId="77777777" w:rsidTr="008907F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noWrap/>
            <w:vAlign w:val="center"/>
          </w:tcPr>
          <w:p w14:paraId="140E55C3" w14:textId="77777777" w:rsidR="008C285C" w:rsidRPr="00EF1FD3" w:rsidRDefault="008C285C" w:rsidP="005552F3">
            <w:pPr>
              <w:jc w:val="center"/>
              <w:rPr>
                <w:rFonts w:eastAsia="Times New Roman" w:cs="Times New Roman"/>
                <w:color w:val="000000"/>
                <w:sz w:val="20"/>
                <w:szCs w:val="20"/>
                <w:lang w:eastAsia="lv-LV"/>
              </w:rPr>
            </w:pPr>
          </w:p>
        </w:tc>
        <w:tc>
          <w:tcPr>
            <w:tcW w:w="2320" w:type="dxa"/>
            <w:noWrap/>
            <w:vAlign w:val="center"/>
          </w:tcPr>
          <w:p w14:paraId="04FCCBD2"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Izpilde</w:t>
            </w:r>
          </w:p>
        </w:tc>
        <w:tc>
          <w:tcPr>
            <w:tcW w:w="2175" w:type="dxa"/>
            <w:noWrap/>
            <w:vAlign w:val="center"/>
          </w:tcPr>
          <w:p w14:paraId="7123F0AE"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1262,5</w:t>
            </w:r>
          </w:p>
        </w:tc>
        <w:tc>
          <w:tcPr>
            <w:tcW w:w="2175" w:type="dxa"/>
            <w:noWrap/>
            <w:vAlign w:val="center"/>
          </w:tcPr>
          <w:p w14:paraId="0AD548A9"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82,2%</w:t>
            </w:r>
          </w:p>
        </w:tc>
        <w:tc>
          <w:tcPr>
            <w:tcW w:w="2175" w:type="dxa"/>
            <w:noWrap/>
            <w:vAlign w:val="center"/>
          </w:tcPr>
          <w:p w14:paraId="33514234"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224,1</w:t>
            </w:r>
          </w:p>
        </w:tc>
      </w:tr>
      <w:tr w:rsidR="002E0599" w:rsidRPr="009A02B7" w14:paraId="695C1CEF"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noWrap/>
            <w:vAlign w:val="center"/>
          </w:tcPr>
          <w:p w14:paraId="0684B4C2" w14:textId="77777777" w:rsidR="008C285C" w:rsidRPr="00EF1FD3" w:rsidRDefault="008C285C" w:rsidP="005552F3">
            <w:pPr>
              <w:jc w:val="center"/>
              <w:rPr>
                <w:rFonts w:eastAsia="Times New Roman" w:cs="Times New Roman"/>
                <w:color w:val="000000"/>
                <w:sz w:val="20"/>
                <w:szCs w:val="20"/>
                <w:lang w:eastAsia="lv-LV"/>
              </w:rPr>
            </w:pPr>
          </w:p>
        </w:tc>
        <w:tc>
          <w:tcPr>
            <w:tcW w:w="2320" w:type="dxa"/>
            <w:noWrap/>
            <w:vAlign w:val="center"/>
          </w:tcPr>
          <w:p w14:paraId="2C173245"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Novirze no plāna %</w:t>
            </w:r>
          </w:p>
        </w:tc>
        <w:tc>
          <w:tcPr>
            <w:tcW w:w="2175" w:type="dxa"/>
            <w:noWrap/>
            <w:vAlign w:val="center"/>
          </w:tcPr>
          <w:p w14:paraId="10F058F6"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0,7%</w:t>
            </w:r>
          </w:p>
        </w:tc>
        <w:tc>
          <w:tcPr>
            <w:tcW w:w="2175" w:type="dxa"/>
            <w:noWrap/>
            <w:vAlign w:val="center"/>
          </w:tcPr>
          <w:p w14:paraId="6F918B50"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 </w:t>
            </w:r>
          </w:p>
        </w:tc>
        <w:tc>
          <w:tcPr>
            <w:tcW w:w="2175" w:type="dxa"/>
            <w:noWrap/>
            <w:vAlign w:val="center"/>
          </w:tcPr>
          <w:p w14:paraId="3D9A73E0"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29,6%</w:t>
            </w:r>
          </w:p>
        </w:tc>
      </w:tr>
      <w:tr w:rsidR="002E0599" w:rsidRPr="009A02B7" w14:paraId="3E2E73E7" w14:textId="77777777" w:rsidTr="008907F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noWrap/>
            <w:vAlign w:val="center"/>
          </w:tcPr>
          <w:p w14:paraId="0DCEDE62"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2016</w:t>
            </w:r>
          </w:p>
        </w:tc>
        <w:tc>
          <w:tcPr>
            <w:tcW w:w="2320" w:type="dxa"/>
            <w:noWrap/>
            <w:vAlign w:val="center"/>
          </w:tcPr>
          <w:p w14:paraId="54361C1C"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Plāns</w:t>
            </w:r>
          </w:p>
        </w:tc>
        <w:tc>
          <w:tcPr>
            <w:tcW w:w="2175" w:type="dxa"/>
            <w:noWrap/>
            <w:vAlign w:val="center"/>
          </w:tcPr>
          <w:p w14:paraId="3AE13517"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1201,9</w:t>
            </w:r>
          </w:p>
        </w:tc>
        <w:tc>
          <w:tcPr>
            <w:tcW w:w="2175" w:type="dxa"/>
            <w:noWrap/>
            <w:vAlign w:val="center"/>
          </w:tcPr>
          <w:p w14:paraId="6CBE81CE"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84,2%</w:t>
            </w:r>
          </w:p>
        </w:tc>
        <w:tc>
          <w:tcPr>
            <w:tcW w:w="2175" w:type="dxa"/>
            <w:noWrap/>
            <w:vAlign w:val="center"/>
          </w:tcPr>
          <w:p w14:paraId="63869C7E"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190,0</w:t>
            </w:r>
          </w:p>
        </w:tc>
      </w:tr>
      <w:tr w:rsidR="002E0599" w:rsidRPr="009A02B7" w14:paraId="3C66CFE9"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noWrap/>
            <w:vAlign w:val="center"/>
          </w:tcPr>
          <w:p w14:paraId="17212E80" w14:textId="77777777" w:rsidR="008C285C" w:rsidRPr="00EF1FD3" w:rsidRDefault="008C285C" w:rsidP="005552F3">
            <w:pPr>
              <w:jc w:val="center"/>
              <w:rPr>
                <w:rFonts w:eastAsia="Times New Roman" w:cs="Times New Roman"/>
                <w:color w:val="000000"/>
                <w:sz w:val="20"/>
                <w:szCs w:val="20"/>
                <w:lang w:eastAsia="lv-LV"/>
              </w:rPr>
            </w:pPr>
          </w:p>
        </w:tc>
        <w:tc>
          <w:tcPr>
            <w:tcW w:w="2320" w:type="dxa"/>
            <w:noWrap/>
            <w:vAlign w:val="center"/>
          </w:tcPr>
          <w:p w14:paraId="6F01A636"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Izpilde</w:t>
            </w:r>
          </w:p>
        </w:tc>
        <w:tc>
          <w:tcPr>
            <w:tcW w:w="2175" w:type="dxa"/>
            <w:noWrap/>
            <w:vAlign w:val="center"/>
          </w:tcPr>
          <w:p w14:paraId="2D524AEC"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1037,4</w:t>
            </w:r>
          </w:p>
        </w:tc>
        <w:tc>
          <w:tcPr>
            <w:tcW w:w="2175" w:type="dxa"/>
            <w:noWrap/>
            <w:vAlign w:val="center"/>
          </w:tcPr>
          <w:p w14:paraId="49110963"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79,4%</w:t>
            </w:r>
          </w:p>
        </w:tc>
        <w:tc>
          <w:tcPr>
            <w:tcW w:w="2175" w:type="dxa"/>
            <w:noWrap/>
            <w:vAlign w:val="center"/>
          </w:tcPr>
          <w:p w14:paraId="2DA20A03"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F1FD3">
              <w:rPr>
                <w:rFonts w:eastAsia="Times New Roman" w:cs="Times New Roman"/>
                <w:color w:val="000000" w:themeColor="text1"/>
                <w:sz w:val="20"/>
                <w:szCs w:val="20"/>
              </w:rPr>
              <w:t>213,7</w:t>
            </w:r>
          </w:p>
        </w:tc>
      </w:tr>
      <w:tr w:rsidR="002E0599" w:rsidRPr="009A02B7" w14:paraId="7218FD8A" w14:textId="77777777" w:rsidTr="008907F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noWrap/>
            <w:vAlign w:val="center"/>
          </w:tcPr>
          <w:p w14:paraId="4F42E7AC" w14:textId="77777777" w:rsidR="008C285C" w:rsidRPr="00EF1FD3" w:rsidRDefault="008C285C" w:rsidP="005552F3">
            <w:pPr>
              <w:jc w:val="center"/>
              <w:rPr>
                <w:rFonts w:eastAsia="Times New Roman" w:cs="Times New Roman"/>
                <w:color w:val="000000"/>
                <w:sz w:val="20"/>
                <w:szCs w:val="20"/>
                <w:lang w:eastAsia="lv-LV"/>
              </w:rPr>
            </w:pPr>
          </w:p>
        </w:tc>
        <w:tc>
          <w:tcPr>
            <w:tcW w:w="2320" w:type="dxa"/>
            <w:noWrap/>
            <w:vAlign w:val="center"/>
          </w:tcPr>
          <w:p w14:paraId="54BE9D01"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Novirze no plāna %</w:t>
            </w:r>
          </w:p>
        </w:tc>
        <w:tc>
          <w:tcPr>
            <w:tcW w:w="2175" w:type="dxa"/>
            <w:noWrap/>
            <w:vAlign w:val="center"/>
          </w:tcPr>
          <w:p w14:paraId="2F9A224E"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-13,7%</w:t>
            </w:r>
          </w:p>
        </w:tc>
        <w:tc>
          <w:tcPr>
            <w:tcW w:w="2175" w:type="dxa"/>
            <w:noWrap/>
            <w:vAlign w:val="center"/>
          </w:tcPr>
          <w:p w14:paraId="4722D63D"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 </w:t>
            </w:r>
          </w:p>
        </w:tc>
        <w:tc>
          <w:tcPr>
            <w:tcW w:w="2175" w:type="dxa"/>
            <w:noWrap/>
            <w:vAlign w:val="center"/>
          </w:tcPr>
          <w:p w14:paraId="1E81BC14"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r w:rsidRPr="00EF1FD3">
              <w:rPr>
                <w:rFonts w:eastAsia="Times New Roman" w:cs="Times New Roman"/>
                <w:i/>
                <w:iCs/>
                <w:color w:val="000000" w:themeColor="text1"/>
                <w:sz w:val="20"/>
                <w:szCs w:val="20"/>
              </w:rPr>
              <w:t>12,5%</w:t>
            </w:r>
          </w:p>
        </w:tc>
      </w:tr>
      <w:tr w:rsidR="004668AA" w:rsidRPr="009A02B7" w14:paraId="3BE9F511"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noWrap/>
            <w:vAlign w:val="center"/>
            <w:hideMark/>
          </w:tcPr>
          <w:p w14:paraId="43C392C4"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2017</w:t>
            </w:r>
          </w:p>
        </w:tc>
        <w:tc>
          <w:tcPr>
            <w:tcW w:w="2320" w:type="dxa"/>
            <w:noWrap/>
            <w:vAlign w:val="center"/>
            <w:hideMark/>
          </w:tcPr>
          <w:p w14:paraId="40E237F4"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Plāns</w:t>
            </w:r>
          </w:p>
        </w:tc>
        <w:tc>
          <w:tcPr>
            <w:tcW w:w="2175" w:type="dxa"/>
            <w:noWrap/>
            <w:vAlign w:val="center"/>
            <w:hideMark/>
          </w:tcPr>
          <w:p w14:paraId="418961CF"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1334,8</w:t>
            </w:r>
          </w:p>
        </w:tc>
        <w:tc>
          <w:tcPr>
            <w:tcW w:w="2175" w:type="dxa"/>
            <w:noWrap/>
            <w:vAlign w:val="center"/>
            <w:hideMark/>
          </w:tcPr>
          <w:p w14:paraId="4E7A17B1"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86,3%</w:t>
            </w:r>
          </w:p>
        </w:tc>
        <w:tc>
          <w:tcPr>
            <w:tcW w:w="2175" w:type="dxa"/>
            <w:noWrap/>
            <w:vAlign w:val="center"/>
            <w:hideMark/>
          </w:tcPr>
          <w:p w14:paraId="3CEBC4CE"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182,7</w:t>
            </w:r>
          </w:p>
        </w:tc>
      </w:tr>
      <w:tr w:rsidR="00EB29E3" w:rsidRPr="009A02B7" w14:paraId="40ECC671"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196B6C0A" w14:textId="77777777" w:rsidR="008C285C" w:rsidRPr="00EF1FD3" w:rsidRDefault="008C285C" w:rsidP="005552F3">
            <w:pPr>
              <w:rPr>
                <w:rFonts w:eastAsia="Times New Roman" w:cs="Times New Roman"/>
                <w:color w:val="000000"/>
                <w:sz w:val="20"/>
                <w:szCs w:val="20"/>
                <w:lang w:eastAsia="lv-LV"/>
              </w:rPr>
            </w:pPr>
          </w:p>
        </w:tc>
        <w:tc>
          <w:tcPr>
            <w:tcW w:w="2320" w:type="dxa"/>
            <w:noWrap/>
            <w:vAlign w:val="center"/>
            <w:hideMark/>
          </w:tcPr>
          <w:p w14:paraId="491C6D76"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Izpilde</w:t>
            </w:r>
          </w:p>
        </w:tc>
        <w:tc>
          <w:tcPr>
            <w:tcW w:w="2175" w:type="dxa"/>
            <w:noWrap/>
            <w:vAlign w:val="center"/>
            <w:hideMark/>
          </w:tcPr>
          <w:p w14:paraId="62A019B0"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1078,7</w:t>
            </w:r>
          </w:p>
        </w:tc>
        <w:tc>
          <w:tcPr>
            <w:tcW w:w="2175" w:type="dxa"/>
            <w:noWrap/>
            <w:vAlign w:val="center"/>
            <w:hideMark/>
          </w:tcPr>
          <w:p w14:paraId="33065C44"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84,2%</w:t>
            </w:r>
          </w:p>
        </w:tc>
        <w:tc>
          <w:tcPr>
            <w:tcW w:w="2175" w:type="dxa"/>
            <w:noWrap/>
            <w:vAlign w:val="center"/>
            <w:hideMark/>
          </w:tcPr>
          <w:p w14:paraId="160E62B0"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170,5</w:t>
            </w:r>
          </w:p>
        </w:tc>
      </w:tr>
      <w:tr w:rsidR="004668AA" w:rsidRPr="009A02B7" w14:paraId="74FACB2F"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5685A1FC" w14:textId="77777777" w:rsidR="008C285C" w:rsidRPr="00EF1FD3" w:rsidRDefault="008C285C" w:rsidP="005552F3">
            <w:pPr>
              <w:rPr>
                <w:rFonts w:eastAsia="Times New Roman" w:cs="Times New Roman"/>
                <w:color w:val="000000"/>
                <w:sz w:val="20"/>
                <w:szCs w:val="20"/>
                <w:lang w:eastAsia="lv-LV"/>
              </w:rPr>
            </w:pPr>
          </w:p>
        </w:tc>
        <w:tc>
          <w:tcPr>
            <w:tcW w:w="2320" w:type="dxa"/>
            <w:vAlign w:val="center"/>
            <w:hideMark/>
          </w:tcPr>
          <w:p w14:paraId="5FA41E95"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Novirze no plāna %</w:t>
            </w:r>
          </w:p>
        </w:tc>
        <w:tc>
          <w:tcPr>
            <w:tcW w:w="2175" w:type="dxa"/>
            <w:noWrap/>
            <w:vAlign w:val="center"/>
            <w:hideMark/>
          </w:tcPr>
          <w:p w14:paraId="36361265"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-19,2%</w:t>
            </w:r>
          </w:p>
        </w:tc>
        <w:tc>
          <w:tcPr>
            <w:tcW w:w="2175" w:type="dxa"/>
            <w:noWrap/>
            <w:vAlign w:val="center"/>
            <w:hideMark/>
          </w:tcPr>
          <w:p w14:paraId="536C857B"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 </w:t>
            </w:r>
          </w:p>
        </w:tc>
        <w:tc>
          <w:tcPr>
            <w:tcW w:w="2175" w:type="dxa"/>
            <w:noWrap/>
            <w:vAlign w:val="center"/>
            <w:hideMark/>
          </w:tcPr>
          <w:p w14:paraId="0549A2E4"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-6,7%</w:t>
            </w:r>
          </w:p>
        </w:tc>
      </w:tr>
      <w:tr w:rsidR="00EB29E3" w:rsidRPr="009A02B7" w14:paraId="6C433D86"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noWrap/>
            <w:vAlign w:val="center"/>
            <w:hideMark/>
          </w:tcPr>
          <w:p w14:paraId="5451B96B"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2018</w:t>
            </w:r>
          </w:p>
        </w:tc>
        <w:tc>
          <w:tcPr>
            <w:tcW w:w="2320" w:type="dxa"/>
            <w:noWrap/>
            <w:vAlign w:val="center"/>
            <w:hideMark/>
          </w:tcPr>
          <w:p w14:paraId="5E4314B6"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Plāns</w:t>
            </w:r>
          </w:p>
        </w:tc>
        <w:tc>
          <w:tcPr>
            <w:tcW w:w="2175" w:type="dxa"/>
            <w:noWrap/>
            <w:vAlign w:val="center"/>
            <w:hideMark/>
          </w:tcPr>
          <w:p w14:paraId="4E7E77F6"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1256,4</w:t>
            </w:r>
          </w:p>
        </w:tc>
        <w:tc>
          <w:tcPr>
            <w:tcW w:w="2175" w:type="dxa"/>
            <w:noWrap/>
            <w:vAlign w:val="center"/>
            <w:hideMark/>
          </w:tcPr>
          <w:p w14:paraId="64CCFD25"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87,2%</w:t>
            </w:r>
          </w:p>
        </w:tc>
        <w:tc>
          <w:tcPr>
            <w:tcW w:w="2175" w:type="dxa"/>
            <w:noWrap/>
            <w:vAlign w:val="center"/>
            <w:hideMark/>
          </w:tcPr>
          <w:p w14:paraId="27185A0C"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160,6</w:t>
            </w:r>
          </w:p>
        </w:tc>
      </w:tr>
      <w:tr w:rsidR="004668AA" w:rsidRPr="009A02B7" w14:paraId="54680546"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6A9C1C3D" w14:textId="77777777" w:rsidR="008C285C" w:rsidRPr="00EF1FD3" w:rsidRDefault="008C285C" w:rsidP="005552F3">
            <w:pPr>
              <w:rPr>
                <w:rFonts w:eastAsia="Times New Roman" w:cs="Times New Roman"/>
                <w:color w:val="000000"/>
                <w:sz w:val="20"/>
                <w:szCs w:val="20"/>
                <w:lang w:eastAsia="lv-LV"/>
              </w:rPr>
            </w:pPr>
          </w:p>
        </w:tc>
        <w:tc>
          <w:tcPr>
            <w:tcW w:w="2320" w:type="dxa"/>
            <w:noWrap/>
            <w:vAlign w:val="center"/>
            <w:hideMark/>
          </w:tcPr>
          <w:p w14:paraId="01F432FF"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Izpilde</w:t>
            </w:r>
          </w:p>
        </w:tc>
        <w:tc>
          <w:tcPr>
            <w:tcW w:w="2175" w:type="dxa"/>
            <w:noWrap/>
            <w:vAlign w:val="center"/>
            <w:hideMark/>
          </w:tcPr>
          <w:p w14:paraId="10550428"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1438,0</w:t>
            </w:r>
          </w:p>
        </w:tc>
        <w:tc>
          <w:tcPr>
            <w:tcW w:w="2175" w:type="dxa"/>
            <w:noWrap/>
            <w:vAlign w:val="center"/>
            <w:hideMark/>
          </w:tcPr>
          <w:p w14:paraId="288D29C2"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84,8%</w:t>
            </w:r>
          </w:p>
        </w:tc>
        <w:tc>
          <w:tcPr>
            <w:tcW w:w="2175" w:type="dxa"/>
            <w:noWrap/>
            <w:vAlign w:val="center"/>
            <w:hideMark/>
          </w:tcPr>
          <w:p w14:paraId="4A87BCEF"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218,6</w:t>
            </w:r>
          </w:p>
        </w:tc>
      </w:tr>
      <w:tr w:rsidR="00EB29E3" w:rsidRPr="009A02B7" w14:paraId="418A5CB5"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359F3036" w14:textId="77777777" w:rsidR="008C285C" w:rsidRPr="00EF1FD3" w:rsidRDefault="008C285C" w:rsidP="005552F3">
            <w:pPr>
              <w:rPr>
                <w:rFonts w:eastAsia="Times New Roman" w:cs="Times New Roman"/>
                <w:color w:val="000000"/>
                <w:sz w:val="20"/>
                <w:szCs w:val="20"/>
                <w:lang w:eastAsia="lv-LV"/>
              </w:rPr>
            </w:pPr>
          </w:p>
        </w:tc>
        <w:tc>
          <w:tcPr>
            <w:tcW w:w="2320" w:type="dxa"/>
            <w:vAlign w:val="center"/>
            <w:hideMark/>
          </w:tcPr>
          <w:p w14:paraId="37096308"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Novirze no plāna %</w:t>
            </w:r>
          </w:p>
        </w:tc>
        <w:tc>
          <w:tcPr>
            <w:tcW w:w="2175" w:type="dxa"/>
            <w:noWrap/>
            <w:vAlign w:val="center"/>
            <w:hideMark/>
          </w:tcPr>
          <w:p w14:paraId="7E28F475"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14,5%</w:t>
            </w:r>
          </w:p>
        </w:tc>
        <w:tc>
          <w:tcPr>
            <w:tcW w:w="2175" w:type="dxa"/>
            <w:noWrap/>
            <w:vAlign w:val="center"/>
            <w:hideMark/>
          </w:tcPr>
          <w:p w14:paraId="04372272"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 </w:t>
            </w:r>
          </w:p>
        </w:tc>
        <w:tc>
          <w:tcPr>
            <w:tcW w:w="2175" w:type="dxa"/>
            <w:noWrap/>
            <w:vAlign w:val="center"/>
            <w:hideMark/>
          </w:tcPr>
          <w:p w14:paraId="52311F4B"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36,1%</w:t>
            </w:r>
          </w:p>
        </w:tc>
      </w:tr>
      <w:tr w:rsidR="004668AA" w:rsidRPr="009A02B7" w14:paraId="24D1B98B"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noWrap/>
            <w:vAlign w:val="center"/>
            <w:hideMark/>
          </w:tcPr>
          <w:p w14:paraId="74136B23"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2019</w:t>
            </w:r>
          </w:p>
        </w:tc>
        <w:tc>
          <w:tcPr>
            <w:tcW w:w="2320" w:type="dxa"/>
            <w:noWrap/>
            <w:vAlign w:val="center"/>
            <w:hideMark/>
          </w:tcPr>
          <w:p w14:paraId="28020052"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Plāns</w:t>
            </w:r>
          </w:p>
        </w:tc>
        <w:tc>
          <w:tcPr>
            <w:tcW w:w="2175" w:type="dxa"/>
            <w:noWrap/>
            <w:vAlign w:val="center"/>
            <w:hideMark/>
          </w:tcPr>
          <w:p w14:paraId="6FD32520"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1371,8</w:t>
            </w:r>
          </w:p>
        </w:tc>
        <w:tc>
          <w:tcPr>
            <w:tcW w:w="2175" w:type="dxa"/>
            <w:noWrap/>
            <w:vAlign w:val="center"/>
            <w:hideMark/>
          </w:tcPr>
          <w:p w14:paraId="12442694"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85,2%</w:t>
            </w:r>
          </w:p>
        </w:tc>
        <w:tc>
          <w:tcPr>
            <w:tcW w:w="2175" w:type="dxa"/>
            <w:noWrap/>
            <w:vAlign w:val="center"/>
            <w:hideMark/>
          </w:tcPr>
          <w:p w14:paraId="5B88A93F"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203,2</w:t>
            </w:r>
          </w:p>
        </w:tc>
      </w:tr>
      <w:tr w:rsidR="00EB29E3" w:rsidRPr="009A02B7" w14:paraId="2254A5A5"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1CC7D34E" w14:textId="77777777" w:rsidR="008C285C" w:rsidRPr="00EF1FD3" w:rsidRDefault="008C285C" w:rsidP="005552F3">
            <w:pPr>
              <w:rPr>
                <w:rFonts w:eastAsia="Times New Roman" w:cs="Times New Roman"/>
                <w:color w:val="000000"/>
                <w:sz w:val="20"/>
                <w:szCs w:val="20"/>
                <w:lang w:eastAsia="lv-LV"/>
              </w:rPr>
            </w:pPr>
          </w:p>
        </w:tc>
        <w:tc>
          <w:tcPr>
            <w:tcW w:w="2320" w:type="dxa"/>
            <w:noWrap/>
            <w:vAlign w:val="center"/>
            <w:hideMark/>
          </w:tcPr>
          <w:p w14:paraId="39020797"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Izpilde</w:t>
            </w:r>
          </w:p>
        </w:tc>
        <w:tc>
          <w:tcPr>
            <w:tcW w:w="2175" w:type="dxa"/>
            <w:noWrap/>
            <w:vAlign w:val="center"/>
            <w:hideMark/>
          </w:tcPr>
          <w:p w14:paraId="1DEA04CC"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1435,9</w:t>
            </w:r>
          </w:p>
        </w:tc>
        <w:tc>
          <w:tcPr>
            <w:tcW w:w="2175" w:type="dxa"/>
            <w:noWrap/>
            <w:vAlign w:val="center"/>
            <w:hideMark/>
          </w:tcPr>
          <w:p w14:paraId="35C6D0E4"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83,2%</w:t>
            </w:r>
          </w:p>
        </w:tc>
        <w:tc>
          <w:tcPr>
            <w:tcW w:w="2175" w:type="dxa"/>
            <w:noWrap/>
            <w:vAlign w:val="center"/>
            <w:hideMark/>
          </w:tcPr>
          <w:p w14:paraId="274878F2"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241,1</w:t>
            </w:r>
          </w:p>
        </w:tc>
      </w:tr>
      <w:tr w:rsidR="004668AA" w:rsidRPr="009A02B7" w14:paraId="349D36E3"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24637A98" w14:textId="77777777" w:rsidR="008C285C" w:rsidRPr="00EF1FD3" w:rsidRDefault="008C285C" w:rsidP="005552F3">
            <w:pPr>
              <w:rPr>
                <w:rFonts w:eastAsia="Times New Roman" w:cs="Times New Roman"/>
                <w:color w:val="000000"/>
                <w:sz w:val="20"/>
                <w:szCs w:val="20"/>
                <w:lang w:eastAsia="lv-LV"/>
              </w:rPr>
            </w:pPr>
          </w:p>
        </w:tc>
        <w:tc>
          <w:tcPr>
            <w:tcW w:w="2320" w:type="dxa"/>
            <w:vAlign w:val="center"/>
            <w:hideMark/>
          </w:tcPr>
          <w:p w14:paraId="1762CFEB"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Novirze no plāna %</w:t>
            </w:r>
          </w:p>
        </w:tc>
        <w:tc>
          <w:tcPr>
            <w:tcW w:w="2175" w:type="dxa"/>
            <w:noWrap/>
            <w:vAlign w:val="center"/>
            <w:hideMark/>
          </w:tcPr>
          <w:p w14:paraId="44CF34C6"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4,7%</w:t>
            </w:r>
          </w:p>
        </w:tc>
        <w:tc>
          <w:tcPr>
            <w:tcW w:w="2175" w:type="dxa"/>
            <w:noWrap/>
            <w:vAlign w:val="center"/>
            <w:hideMark/>
          </w:tcPr>
          <w:p w14:paraId="5C2877EE"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 </w:t>
            </w:r>
          </w:p>
        </w:tc>
        <w:tc>
          <w:tcPr>
            <w:tcW w:w="2175" w:type="dxa"/>
            <w:noWrap/>
            <w:vAlign w:val="center"/>
            <w:hideMark/>
          </w:tcPr>
          <w:p w14:paraId="178DC3CC"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18,6%</w:t>
            </w:r>
          </w:p>
        </w:tc>
      </w:tr>
      <w:tr w:rsidR="00EB29E3" w:rsidRPr="009A02B7" w14:paraId="19C6291C"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noWrap/>
            <w:vAlign w:val="center"/>
            <w:hideMark/>
          </w:tcPr>
          <w:p w14:paraId="0E4F6AC6"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2020</w:t>
            </w:r>
          </w:p>
        </w:tc>
        <w:tc>
          <w:tcPr>
            <w:tcW w:w="2320" w:type="dxa"/>
            <w:noWrap/>
            <w:vAlign w:val="center"/>
            <w:hideMark/>
          </w:tcPr>
          <w:p w14:paraId="17BFEC46"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Plāns</w:t>
            </w:r>
          </w:p>
        </w:tc>
        <w:tc>
          <w:tcPr>
            <w:tcW w:w="2175" w:type="dxa"/>
            <w:noWrap/>
            <w:vAlign w:val="center"/>
            <w:hideMark/>
          </w:tcPr>
          <w:p w14:paraId="38D7F1B4"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1446,6</w:t>
            </w:r>
          </w:p>
        </w:tc>
        <w:tc>
          <w:tcPr>
            <w:tcW w:w="2175" w:type="dxa"/>
            <w:noWrap/>
            <w:vAlign w:val="center"/>
            <w:hideMark/>
          </w:tcPr>
          <w:p w14:paraId="4F6049AD"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86,6%</w:t>
            </w:r>
          </w:p>
        </w:tc>
        <w:tc>
          <w:tcPr>
            <w:tcW w:w="2175" w:type="dxa"/>
            <w:noWrap/>
            <w:vAlign w:val="center"/>
            <w:hideMark/>
          </w:tcPr>
          <w:p w14:paraId="3BF75008"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194,4</w:t>
            </w:r>
          </w:p>
        </w:tc>
      </w:tr>
      <w:tr w:rsidR="004668AA" w:rsidRPr="009A02B7" w14:paraId="1F21E063"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6223E7B8" w14:textId="77777777" w:rsidR="008C285C" w:rsidRPr="00EF1FD3" w:rsidRDefault="008C285C" w:rsidP="005552F3">
            <w:pPr>
              <w:rPr>
                <w:rFonts w:eastAsia="Times New Roman" w:cs="Times New Roman"/>
                <w:color w:val="000000"/>
                <w:sz w:val="20"/>
                <w:szCs w:val="20"/>
                <w:lang w:eastAsia="lv-LV"/>
              </w:rPr>
            </w:pPr>
          </w:p>
        </w:tc>
        <w:tc>
          <w:tcPr>
            <w:tcW w:w="2320" w:type="dxa"/>
            <w:noWrap/>
            <w:vAlign w:val="center"/>
            <w:hideMark/>
          </w:tcPr>
          <w:p w14:paraId="167D61CD"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Izpilde</w:t>
            </w:r>
          </w:p>
        </w:tc>
        <w:tc>
          <w:tcPr>
            <w:tcW w:w="2175" w:type="dxa"/>
            <w:noWrap/>
            <w:vAlign w:val="center"/>
            <w:hideMark/>
          </w:tcPr>
          <w:p w14:paraId="631DB4C9"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1338,9</w:t>
            </w:r>
          </w:p>
        </w:tc>
        <w:tc>
          <w:tcPr>
            <w:tcW w:w="2175" w:type="dxa"/>
            <w:noWrap/>
            <w:vAlign w:val="center"/>
            <w:hideMark/>
          </w:tcPr>
          <w:p w14:paraId="05AD6F85"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87,2%</w:t>
            </w:r>
          </w:p>
        </w:tc>
        <w:tc>
          <w:tcPr>
            <w:tcW w:w="2175" w:type="dxa"/>
            <w:noWrap/>
            <w:vAlign w:val="center"/>
            <w:hideMark/>
          </w:tcPr>
          <w:p w14:paraId="699BF564"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171,4</w:t>
            </w:r>
          </w:p>
        </w:tc>
      </w:tr>
      <w:tr w:rsidR="00EB29E3" w:rsidRPr="009A02B7" w14:paraId="65434E71"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71A9EE62" w14:textId="77777777" w:rsidR="008C285C" w:rsidRPr="00EF1FD3" w:rsidRDefault="008C285C" w:rsidP="005552F3">
            <w:pPr>
              <w:rPr>
                <w:rFonts w:eastAsia="Times New Roman" w:cs="Times New Roman"/>
                <w:color w:val="000000"/>
                <w:sz w:val="20"/>
                <w:szCs w:val="20"/>
                <w:lang w:eastAsia="lv-LV"/>
              </w:rPr>
            </w:pPr>
          </w:p>
        </w:tc>
        <w:tc>
          <w:tcPr>
            <w:tcW w:w="2320" w:type="dxa"/>
            <w:vAlign w:val="center"/>
            <w:hideMark/>
          </w:tcPr>
          <w:p w14:paraId="1F2B1D30"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Novirze no plāna %</w:t>
            </w:r>
          </w:p>
        </w:tc>
        <w:tc>
          <w:tcPr>
            <w:tcW w:w="2175" w:type="dxa"/>
            <w:noWrap/>
            <w:vAlign w:val="center"/>
            <w:hideMark/>
          </w:tcPr>
          <w:p w14:paraId="540B9061"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-7,4%</w:t>
            </w:r>
          </w:p>
        </w:tc>
        <w:tc>
          <w:tcPr>
            <w:tcW w:w="2175" w:type="dxa"/>
            <w:noWrap/>
            <w:vAlign w:val="center"/>
            <w:hideMark/>
          </w:tcPr>
          <w:p w14:paraId="5AAEC030"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 </w:t>
            </w:r>
          </w:p>
        </w:tc>
        <w:tc>
          <w:tcPr>
            <w:tcW w:w="2175" w:type="dxa"/>
            <w:noWrap/>
            <w:vAlign w:val="center"/>
            <w:hideMark/>
          </w:tcPr>
          <w:p w14:paraId="7D0FE14D"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-11,8%</w:t>
            </w:r>
          </w:p>
        </w:tc>
      </w:tr>
      <w:tr w:rsidR="004668AA" w:rsidRPr="009A02B7" w14:paraId="32775AA0"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noWrap/>
            <w:vAlign w:val="center"/>
            <w:hideMark/>
          </w:tcPr>
          <w:p w14:paraId="62252E79" w14:textId="77777777" w:rsidR="008C285C" w:rsidRPr="00EF1FD3" w:rsidRDefault="667DE316" w:rsidP="469479B5">
            <w:pPr>
              <w:jc w:val="center"/>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2021</w:t>
            </w:r>
          </w:p>
        </w:tc>
        <w:tc>
          <w:tcPr>
            <w:tcW w:w="2320" w:type="dxa"/>
            <w:noWrap/>
            <w:vAlign w:val="center"/>
            <w:hideMark/>
          </w:tcPr>
          <w:p w14:paraId="4774C79A"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Plāns</w:t>
            </w:r>
          </w:p>
        </w:tc>
        <w:tc>
          <w:tcPr>
            <w:tcW w:w="2175" w:type="dxa"/>
            <w:noWrap/>
            <w:vAlign w:val="center"/>
            <w:hideMark/>
          </w:tcPr>
          <w:p w14:paraId="661A2B25"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1543,3</w:t>
            </w:r>
          </w:p>
        </w:tc>
        <w:tc>
          <w:tcPr>
            <w:tcW w:w="2175" w:type="dxa"/>
            <w:noWrap/>
            <w:vAlign w:val="center"/>
            <w:hideMark/>
          </w:tcPr>
          <w:p w14:paraId="14F6203B"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79,7%</w:t>
            </w:r>
          </w:p>
        </w:tc>
        <w:tc>
          <w:tcPr>
            <w:tcW w:w="2175" w:type="dxa"/>
            <w:noWrap/>
            <w:vAlign w:val="center"/>
            <w:hideMark/>
          </w:tcPr>
          <w:p w14:paraId="413F3F97"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312,9</w:t>
            </w:r>
          </w:p>
        </w:tc>
      </w:tr>
      <w:tr w:rsidR="00EB29E3" w:rsidRPr="009A02B7" w14:paraId="64C3084B"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27DC6CA4" w14:textId="77777777" w:rsidR="008C285C" w:rsidRPr="00EF1FD3" w:rsidRDefault="008C285C" w:rsidP="005552F3">
            <w:pPr>
              <w:rPr>
                <w:rFonts w:eastAsia="Times New Roman" w:cs="Times New Roman"/>
                <w:color w:val="000000"/>
                <w:sz w:val="20"/>
                <w:szCs w:val="20"/>
                <w:lang w:eastAsia="lv-LV"/>
              </w:rPr>
            </w:pPr>
          </w:p>
        </w:tc>
        <w:tc>
          <w:tcPr>
            <w:tcW w:w="2320" w:type="dxa"/>
            <w:noWrap/>
            <w:vAlign w:val="center"/>
            <w:hideMark/>
          </w:tcPr>
          <w:p w14:paraId="4E40921D" w14:textId="77777777" w:rsidR="008C285C" w:rsidRPr="00EF1FD3"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Izpilde</w:t>
            </w:r>
          </w:p>
        </w:tc>
        <w:tc>
          <w:tcPr>
            <w:tcW w:w="2175" w:type="dxa"/>
            <w:noWrap/>
            <w:vAlign w:val="center"/>
            <w:hideMark/>
          </w:tcPr>
          <w:p w14:paraId="1E3247C4"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1273,2</w:t>
            </w:r>
          </w:p>
        </w:tc>
        <w:tc>
          <w:tcPr>
            <w:tcW w:w="2175" w:type="dxa"/>
            <w:noWrap/>
            <w:vAlign w:val="center"/>
            <w:hideMark/>
          </w:tcPr>
          <w:p w14:paraId="09F7ECE5"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87,3%</w:t>
            </w:r>
          </w:p>
        </w:tc>
        <w:tc>
          <w:tcPr>
            <w:tcW w:w="2175" w:type="dxa"/>
            <w:noWrap/>
            <w:vAlign w:val="center"/>
            <w:hideMark/>
          </w:tcPr>
          <w:p w14:paraId="0747B3A2" w14:textId="77777777" w:rsidR="008C285C" w:rsidRPr="00EF1FD3"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rPr>
              <w:t>161,7</w:t>
            </w:r>
          </w:p>
        </w:tc>
      </w:tr>
      <w:tr w:rsidR="004668AA" w:rsidRPr="009A02B7" w14:paraId="4B2037E3"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hideMark/>
          </w:tcPr>
          <w:p w14:paraId="29221929" w14:textId="77777777" w:rsidR="008C285C" w:rsidRPr="00EF1FD3" w:rsidRDefault="008C285C" w:rsidP="005552F3">
            <w:pPr>
              <w:rPr>
                <w:rFonts w:eastAsia="Times New Roman" w:cs="Times New Roman"/>
                <w:color w:val="000000"/>
                <w:sz w:val="20"/>
                <w:szCs w:val="20"/>
                <w:lang w:eastAsia="lv-LV"/>
              </w:rPr>
            </w:pPr>
          </w:p>
        </w:tc>
        <w:tc>
          <w:tcPr>
            <w:tcW w:w="2320" w:type="dxa"/>
            <w:vAlign w:val="center"/>
            <w:hideMark/>
          </w:tcPr>
          <w:p w14:paraId="1C2C13A9" w14:textId="77777777" w:rsidR="008C285C" w:rsidRPr="00EF1FD3"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EF1FD3">
              <w:rPr>
                <w:rFonts w:eastAsia="Times New Roman" w:cs="Times New Roman"/>
                <w:color w:val="000000" w:themeColor="text1"/>
                <w:sz w:val="20"/>
                <w:szCs w:val="20"/>
                <w:lang w:eastAsia="lv-LV"/>
              </w:rPr>
              <w:t>Novirze no plāna %</w:t>
            </w:r>
          </w:p>
        </w:tc>
        <w:tc>
          <w:tcPr>
            <w:tcW w:w="2175" w:type="dxa"/>
            <w:noWrap/>
            <w:vAlign w:val="center"/>
            <w:hideMark/>
          </w:tcPr>
          <w:p w14:paraId="61FB0519"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-17,5%</w:t>
            </w:r>
          </w:p>
        </w:tc>
        <w:tc>
          <w:tcPr>
            <w:tcW w:w="2175" w:type="dxa"/>
            <w:noWrap/>
            <w:vAlign w:val="center"/>
            <w:hideMark/>
          </w:tcPr>
          <w:p w14:paraId="75FF6D97"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 </w:t>
            </w:r>
          </w:p>
        </w:tc>
        <w:tc>
          <w:tcPr>
            <w:tcW w:w="2175" w:type="dxa"/>
            <w:noWrap/>
            <w:vAlign w:val="center"/>
            <w:hideMark/>
          </w:tcPr>
          <w:p w14:paraId="631C2E11" w14:textId="77777777" w:rsidR="008C285C" w:rsidRPr="00EF1FD3"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EF1FD3">
              <w:rPr>
                <w:rFonts w:eastAsia="Times New Roman" w:cs="Times New Roman"/>
                <w:i/>
                <w:iCs/>
                <w:color w:val="000000" w:themeColor="text1"/>
                <w:sz w:val="20"/>
                <w:szCs w:val="20"/>
              </w:rPr>
              <w:t>-48,1%</w:t>
            </w:r>
          </w:p>
        </w:tc>
      </w:tr>
      <w:tr w:rsidR="00EB29E3" w:rsidRPr="009A02B7" w14:paraId="30F71DF7"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vAlign w:val="center"/>
          </w:tcPr>
          <w:p w14:paraId="2E0CE704" w14:textId="77777777" w:rsidR="008C285C" w:rsidRPr="008907FC" w:rsidRDefault="667DE316" w:rsidP="469479B5">
            <w:pPr>
              <w:jc w:val="center"/>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2022</w:t>
            </w:r>
          </w:p>
        </w:tc>
        <w:tc>
          <w:tcPr>
            <w:tcW w:w="2320" w:type="dxa"/>
            <w:vAlign w:val="center"/>
          </w:tcPr>
          <w:p w14:paraId="40075F57" w14:textId="77777777" w:rsidR="008C285C" w:rsidRPr="008907FC"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Plāns</w:t>
            </w:r>
          </w:p>
        </w:tc>
        <w:tc>
          <w:tcPr>
            <w:tcW w:w="2175" w:type="dxa"/>
            <w:noWrap/>
            <w:vAlign w:val="center"/>
          </w:tcPr>
          <w:p w14:paraId="75E1731B" w14:textId="77777777" w:rsidR="008C285C" w:rsidRPr="008907FC"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8907FC">
              <w:rPr>
                <w:rFonts w:eastAsia="Times New Roman" w:cs="Times New Roman"/>
                <w:color w:val="000000" w:themeColor="text1"/>
                <w:sz w:val="20"/>
                <w:szCs w:val="20"/>
              </w:rPr>
              <w:t>1954,2</w:t>
            </w:r>
          </w:p>
        </w:tc>
        <w:tc>
          <w:tcPr>
            <w:tcW w:w="2175" w:type="dxa"/>
            <w:noWrap/>
            <w:vAlign w:val="center"/>
          </w:tcPr>
          <w:p w14:paraId="6509BF3A" w14:textId="77777777" w:rsidR="008C285C" w:rsidRPr="008907FC"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8907FC">
              <w:rPr>
                <w:rFonts w:eastAsia="Times New Roman" w:cs="Times New Roman"/>
                <w:color w:val="000000" w:themeColor="text1"/>
                <w:sz w:val="20"/>
                <w:szCs w:val="20"/>
              </w:rPr>
              <w:t>89,4%</w:t>
            </w:r>
          </w:p>
        </w:tc>
        <w:tc>
          <w:tcPr>
            <w:tcW w:w="2175" w:type="dxa"/>
            <w:noWrap/>
            <w:vAlign w:val="center"/>
          </w:tcPr>
          <w:p w14:paraId="41FA0DFB" w14:textId="77777777" w:rsidR="008C285C" w:rsidRPr="008907FC"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8907FC">
              <w:rPr>
                <w:rFonts w:eastAsia="Times New Roman" w:cs="Times New Roman"/>
                <w:color w:val="000000" w:themeColor="text1"/>
                <w:sz w:val="20"/>
                <w:szCs w:val="20"/>
              </w:rPr>
              <w:t>207,1</w:t>
            </w:r>
          </w:p>
        </w:tc>
      </w:tr>
      <w:tr w:rsidR="004668AA" w:rsidRPr="009A02B7" w14:paraId="2790B39C"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tcPr>
          <w:p w14:paraId="13456706" w14:textId="77777777" w:rsidR="008C285C" w:rsidRPr="008907FC" w:rsidRDefault="008C285C" w:rsidP="00E85526">
            <w:pPr>
              <w:jc w:val="center"/>
              <w:rPr>
                <w:rFonts w:eastAsia="Times New Roman" w:cs="Times New Roman"/>
                <w:color w:val="000000"/>
                <w:sz w:val="20"/>
                <w:szCs w:val="20"/>
                <w:lang w:eastAsia="lv-LV"/>
              </w:rPr>
            </w:pPr>
          </w:p>
        </w:tc>
        <w:tc>
          <w:tcPr>
            <w:tcW w:w="2320" w:type="dxa"/>
            <w:vAlign w:val="center"/>
          </w:tcPr>
          <w:p w14:paraId="688DFFEF" w14:textId="77777777" w:rsidR="008C285C" w:rsidRPr="008907FC"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Izpilde</w:t>
            </w:r>
          </w:p>
        </w:tc>
        <w:tc>
          <w:tcPr>
            <w:tcW w:w="2175" w:type="dxa"/>
            <w:noWrap/>
            <w:vAlign w:val="center"/>
          </w:tcPr>
          <w:p w14:paraId="2AA05ADA" w14:textId="77777777" w:rsidR="008C285C" w:rsidRPr="008907FC"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8907FC">
              <w:rPr>
                <w:rFonts w:eastAsia="Times New Roman" w:cs="Times New Roman"/>
                <w:color w:val="000000" w:themeColor="text1"/>
                <w:sz w:val="20"/>
                <w:szCs w:val="20"/>
              </w:rPr>
              <w:t>1384,0</w:t>
            </w:r>
          </w:p>
        </w:tc>
        <w:tc>
          <w:tcPr>
            <w:tcW w:w="2175" w:type="dxa"/>
            <w:noWrap/>
            <w:vAlign w:val="center"/>
          </w:tcPr>
          <w:p w14:paraId="64CA2DAB" w14:textId="03C8FC74" w:rsidR="008C285C" w:rsidRPr="008907FC" w:rsidRDefault="009A02B7"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themeColor="text1"/>
                <w:sz w:val="20"/>
                <w:szCs w:val="20"/>
              </w:rPr>
              <w:t>86,7</w:t>
            </w:r>
            <w:r w:rsidR="667DE316" w:rsidRPr="008907FC">
              <w:rPr>
                <w:rFonts w:eastAsia="Times New Roman" w:cs="Times New Roman"/>
                <w:color w:val="000000" w:themeColor="text1"/>
                <w:sz w:val="20"/>
                <w:szCs w:val="20"/>
              </w:rPr>
              <w:t>%</w:t>
            </w:r>
          </w:p>
        </w:tc>
        <w:tc>
          <w:tcPr>
            <w:tcW w:w="2175" w:type="dxa"/>
            <w:noWrap/>
            <w:vAlign w:val="center"/>
          </w:tcPr>
          <w:p w14:paraId="3B46D61C" w14:textId="5089AA15" w:rsidR="008C285C" w:rsidRPr="008907FC" w:rsidRDefault="009A02B7"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themeColor="text1"/>
                <w:sz w:val="20"/>
                <w:szCs w:val="20"/>
              </w:rPr>
              <w:t>183,6</w:t>
            </w:r>
          </w:p>
        </w:tc>
      </w:tr>
      <w:tr w:rsidR="00EB29E3" w:rsidRPr="009A02B7" w14:paraId="4A0464D6"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tcPr>
          <w:p w14:paraId="75472D6D" w14:textId="77777777" w:rsidR="008C285C" w:rsidRPr="008907FC" w:rsidRDefault="008C285C" w:rsidP="005552F3">
            <w:pPr>
              <w:rPr>
                <w:rFonts w:eastAsia="Times New Roman" w:cs="Times New Roman"/>
                <w:color w:val="000000"/>
                <w:sz w:val="20"/>
                <w:szCs w:val="20"/>
                <w:lang w:eastAsia="lv-LV"/>
              </w:rPr>
            </w:pPr>
          </w:p>
        </w:tc>
        <w:tc>
          <w:tcPr>
            <w:tcW w:w="2320" w:type="dxa"/>
            <w:vAlign w:val="center"/>
          </w:tcPr>
          <w:p w14:paraId="46A6B2EC" w14:textId="77777777" w:rsidR="008C285C" w:rsidRPr="008907FC"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Novirze no plāna %</w:t>
            </w:r>
          </w:p>
        </w:tc>
        <w:tc>
          <w:tcPr>
            <w:tcW w:w="2175" w:type="dxa"/>
            <w:noWrap/>
            <w:vAlign w:val="center"/>
          </w:tcPr>
          <w:p w14:paraId="042AD92F" w14:textId="77777777" w:rsidR="008C285C" w:rsidRPr="008907FC"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r w:rsidRPr="008907FC">
              <w:rPr>
                <w:rFonts w:eastAsia="Times New Roman" w:cs="Times New Roman"/>
                <w:i/>
                <w:iCs/>
                <w:color w:val="000000" w:themeColor="text1"/>
                <w:sz w:val="20"/>
                <w:szCs w:val="20"/>
              </w:rPr>
              <w:t>-29,2%</w:t>
            </w:r>
          </w:p>
        </w:tc>
        <w:tc>
          <w:tcPr>
            <w:tcW w:w="2175" w:type="dxa"/>
            <w:noWrap/>
            <w:vAlign w:val="center"/>
          </w:tcPr>
          <w:p w14:paraId="7ADAA48E" w14:textId="77777777" w:rsidR="008C285C" w:rsidRPr="008907FC" w:rsidRDefault="008C285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p>
        </w:tc>
        <w:tc>
          <w:tcPr>
            <w:tcW w:w="2175" w:type="dxa"/>
            <w:noWrap/>
            <w:vAlign w:val="center"/>
          </w:tcPr>
          <w:p w14:paraId="30E7DC8A" w14:textId="4C4ECD75" w:rsidR="008C285C" w:rsidRPr="008907FC"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rPr>
            </w:pPr>
            <w:r w:rsidRPr="008907FC">
              <w:rPr>
                <w:rFonts w:eastAsia="Times New Roman" w:cs="Times New Roman"/>
                <w:i/>
                <w:iCs/>
                <w:color w:val="000000" w:themeColor="text1"/>
                <w:sz w:val="20"/>
                <w:szCs w:val="20"/>
              </w:rPr>
              <w:t>-</w:t>
            </w:r>
            <w:r w:rsidR="009A02B7" w:rsidRPr="008907FC">
              <w:rPr>
                <w:rFonts w:eastAsia="Times New Roman" w:cs="Times New Roman"/>
                <w:i/>
                <w:iCs/>
                <w:color w:val="000000" w:themeColor="text1"/>
                <w:sz w:val="20"/>
                <w:szCs w:val="20"/>
              </w:rPr>
              <w:t>11,4</w:t>
            </w:r>
            <w:r w:rsidRPr="008907FC">
              <w:rPr>
                <w:rFonts w:eastAsia="Times New Roman" w:cs="Times New Roman"/>
                <w:i/>
                <w:iCs/>
                <w:color w:val="000000" w:themeColor="text1"/>
                <w:sz w:val="20"/>
                <w:szCs w:val="20"/>
              </w:rPr>
              <w:t>%</w:t>
            </w:r>
          </w:p>
        </w:tc>
      </w:tr>
      <w:tr w:rsidR="004668AA" w:rsidRPr="009A02B7" w14:paraId="127CEC4F"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vAlign w:val="center"/>
          </w:tcPr>
          <w:p w14:paraId="259D4341" w14:textId="77777777" w:rsidR="008C285C" w:rsidRPr="008907FC" w:rsidRDefault="667DE316" w:rsidP="469479B5">
            <w:pPr>
              <w:jc w:val="center"/>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2023</w:t>
            </w:r>
          </w:p>
        </w:tc>
        <w:tc>
          <w:tcPr>
            <w:tcW w:w="2320" w:type="dxa"/>
            <w:vAlign w:val="center"/>
          </w:tcPr>
          <w:p w14:paraId="1D29E277" w14:textId="77777777" w:rsidR="008C285C" w:rsidRPr="008907FC"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Plāns</w:t>
            </w:r>
          </w:p>
        </w:tc>
        <w:tc>
          <w:tcPr>
            <w:tcW w:w="2175" w:type="dxa"/>
            <w:noWrap/>
            <w:vAlign w:val="center"/>
          </w:tcPr>
          <w:p w14:paraId="6AE1BE81" w14:textId="77777777" w:rsidR="008C285C" w:rsidRPr="008907FC"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8907FC">
              <w:rPr>
                <w:rFonts w:eastAsia="Times New Roman" w:cs="Times New Roman"/>
                <w:color w:val="000000" w:themeColor="text1"/>
                <w:sz w:val="20"/>
                <w:szCs w:val="20"/>
              </w:rPr>
              <w:t>2135,3</w:t>
            </w:r>
          </w:p>
        </w:tc>
        <w:tc>
          <w:tcPr>
            <w:tcW w:w="2175" w:type="dxa"/>
            <w:noWrap/>
            <w:vAlign w:val="center"/>
          </w:tcPr>
          <w:p w14:paraId="71563B71" w14:textId="77777777" w:rsidR="008C285C" w:rsidRPr="008907FC"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8907FC">
              <w:rPr>
                <w:rFonts w:eastAsia="Times New Roman" w:cs="Times New Roman"/>
                <w:color w:val="000000" w:themeColor="text1"/>
                <w:sz w:val="20"/>
                <w:szCs w:val="20"/>
              </w:rPr>
              <w:t>88,4%</w:t>
            </w:r>
          </w:p>
        </w:tc>
        <w:tc>
          <w:tcPr>
            <w:tcW w:w="2175" w:type="dxa"/>
            <w:noWrap/>
            <w:vAlign w:val="center"/>
          </w:tcPr>
          <w:p w14:paraId="14336380" w14:textId="77777777" w:rsidR="008C285C" w:rsidRPr="008907FC"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8907FC">
              <w:rPr>
                <w:rFonts w:eastAsia="Times New Roman" w:cs="Times New Roman"/>
                <w:color w:val="000000" w:themeColor="text1"/>
                <w:sz w:val="20"/>
                <w:szCs w:val="20"/>
              </w:rPr>
              <w:t>247,7</w:t>
            </w:r>
          </w:p>
        </w:tc>
      </w:tr>
      <w:tr w:rsidR="00EB29E3" w:rsidRPr="009A02B7" w14:paraId="43A7D44A" w14:textId="77777777" w:rsidTr="00EB29E3">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tcPr>
          <w:p w14:paraId="5D825F20" w14:textId="77777777" w:rsidR="008C285C" w:rsidRPr="008907FC" w:rsidRDefault="008C285C" w:rsidP="005552F3">
            <w:pPr>
              <w:jc w:val="center"/>
              <w:rPr>
                <w:rFonts w:eastAsia="Times New Roman" w:cs="Times New Roman"/>
                <w:color w:val="000000"/>
                <w:sz w:val="20"/>
                <w:szCs w:val="20"/>
                <w:lang w:eastAsia="lv-LV"/>
              </w:rPr>
            </w:pPr>
          </w:p>
        </w:tc>
        <w:tc>
          <w:tcPr>
            <w:tcW w:w="2320" w:type="dxa"/>
            <w:vAlign w:val="center"/>
          </w:tcPr>
          <w:p w14:paraId="6D8832F4" w14:textId="77777777" w:rsidR="008C285C" w:rsidRPr="008907FC"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Izpilde</w:t>
            </w:r>
          </w:p>
        </w:tc>
        <w:tc>
          <w:tcPr>
            <w:tcW w:w="2175" w:type="dxa"/>
            <w:noWrap/>
            <w:vAlign w:val="center"/>
          </w:tcPr>
          <w:p w14:paraId="1D179CCD" w14:textId="77777777" w:rsidR="008C285C" w:rsidRPr="008907FC"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8907FC">
              <w:rPr>
                <w:rFonts w:eastAsia="Times New Roman" w:cs="Times New Roman"/>
                <w:color w:val="000000" w:themeColor="text1"/>
                <w:sz w:val="20"/>
                <w:szCs w:val="20"/>
              </w:rPr>
              <w:t>1943,0</w:t>
            </w:r>
          </w:p>
        </w:tc>
        <w:tc>
          <w:tcPr>
            <w:tcW w:w="2175" w:type="dxa"/>
            <w:noWrap/>
            <w:vAlign w:val="center"/>
          </w:tcPr>
          <w:p w14:paraId="2DE71627" w14:textId="062CD594" w:rsidR="008C285C" w:rsidRPr="008907FC" w:rsidRDefault="009A02B7"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themeColor="text1"/>
                <w:sz w:val="20"/>
                <w:szCs w:val="20"/>
              </w:rPr>
              <w:t>89,9</w:t>
            </w:r>
            <w:r w:rsidR="667DE316" w:rsidRPr="008907FC">
              <w:rPr>
                <w:rFonts w:eastAsia="Times New Roman" w:cs="Times New Roman"/>
                <w:color w:val="000000" w:themeColor="text1"/>
                <w:sz w:val="20"/>
                <w:szCs w:val="20"/>
              </w:rPr>
              <w:t>%</w:t>
            </w:r>
          </w:p>
        </w:tc>
        <w:tc>
          <w:tcPr>
            <w:tcW w:w="2175" w:type="dxa"/>
            <w:noWrap/>
            <w:vAlign w:val="center"/>
          </w:tcPr>
          <w:p w14:paraId="15499A0E" w14:textId="010A3A9A" w:rsidR="008C285C" w:rsidRPr="008907FC" w:rsidRDefault="00B92B2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themeColor="text1"/>
                <w:sz w:val="20"/>
                <w:szCs w:val="20"/>
              </w:rPr>
              <w:t>197,0</w:t>
            </w:r>
          </w:p>
        </w:tc>
      </w:tr>
      <w:tr w:rsidR="004668AA" w:rsidRPr="009A02B7" w14:paraId="405B511A"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tcPr>
          <w:p w14:paraId="1888067C" w14:textId="77777777" w:rsidR="008C285C" w:rsidRPr="008907FC" w:rsidRDefault="008C285C" w:rsidP="005552F3">
            <w:pPr>
              <w:jc w:val="center"/>
              <w:rPr>
                <w:rFonts w:eastAsia="Times New Roman" w:cs="Times New Roman"/>
                <w:color w:val="000000"/>
                <w:sz w:val="20"/>
                <w:szCs w:val="20"/>
                <w:lang w:eastAsia="lv-LV"/>
              </w:rPr>
            </w:pPr>
          </w:p>
        </w:tc>
        <w:tc>
          <w:tcPr>
            <w:tcW w:w="2320" w:type="dxa"/>
            <w:vAlign w:val="center"/>
          </w:tcPr>
          <w:p w14:paraId="356D703B" w14:textId="77777777" w:rsidR="008C285C" w:rsidRPr="008907FC"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Novirze no plāna %</w:t>
            </w:r>
          </w:p>
        </w:tc>
        <w:tc>
          <w:tcPr>
            <w:tcW w:w="2175" w:type="dxa"/>
            <w:noWrap/>
            <w:vAlign w:val="center"/>
          </w:tcPr>
          <w:p w14:paraId="42774F37" w14:textId="77777777" w:rsidR="008C285C" w:rsidRPr="008907FC"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rPr>
            </w:pPr>
            <w:r w:rsidRPr="008907FC">
              <w:rPr>
                <w:rFonts w:eastAsia="Times New Roman" w:cs="Times New Roman"/>
                <w:i/>
                <w:iCs/>
                <w:color w:val="000000" w:themeColor="text1"/>
                <w:sz w:val="20"/>
                <w:szCs w:val="20"/>
              </w:rPr>
              <w:t>-9,0%</w:t>
            </w:r>
          </w:p>
        </w:tc>
        <w:tc>
          <w:tcPr>
            <w:tcW w:w="2175" w:type="dxa"/>
            <w:noWrap/>
            <w:vAlign w:val="center"/>
          </w:tcPr>
          <w:p w14:paraId="7626CB44" w14:textId="77777777" w:rsidR="008C285C" w:rsidRPr="008907FC"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rPr>
            </w:pPr>
            <w:r w:rsidRPr="008907FC">
              <w:rPr>
                <w:rFonts w:eastAsia="Times New Roman" w:cs="Times New Roman"/>
                <w:i/>
                <w:iCs/>
                <w:color w:val="000000" w:themeColor="text1"/>
                <w:sz w:val="20"/>
                <w:szCs w:val="20"/>
              </w:rPr>
              <w:t> </w:t>
            </w:r>
          </w:p>
        </w:tc>
        <w:tc>
          <w:tcPr>
            <w:tcW w:w="2175" w:type="dxa"/>
            <w:noWrap/>
            <w:vAlign w:val="center"/>
          </w:tcPr>
          <w:p w14:paraId="4950EB2F" w14:textId="0076E364" w:rsidR="008C285C" w:rsidRPr="008907FC"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rPr>
            </w:pPr>
            <w:r w:rsidRPr="008907FC">
              <w:rPr>
                <w:rFonts w:eastAsia="Times New Roman" w:cs="Times New Roman"/>
                <w:i/>
                <w:iCs/>
                <w:color w:val="000000" w:themeColor="text1"/>
                <w:sz w:val="20"/>
                <w:szCs w:val="20"/>
              </w:rPr>
              <w:t>-</w:t>
            </w:r>
            <w:r w:rsidR="00B92B22" w:rsidRPr="008907FC">
              <w:rPr>
                <w:rFonts w:eastAsia="Times New Roman" w:cs="Times New Roman"/>
                <w:i/>
                <w:iCs/>
                <w:color w:val="000000" w:themeColor="text1"/>
                <w:sz w:val="20"/>
                <w:szCs w:val="20"/>
              </w:rPr>
              <w:t>20,5</w:t>
            </w:r>
            <w:r w:rsidRPr="008907FC">
              <w:rPr>
                <w:rFonts w:eastAsia="Times New Roman" w:cs="Times New Roman"/>
                <w:i/>
                <w:iCs/>
                <w:color w:val="000000" w:themeColor="text1"/>
                <w:sz w:val="20"/>
                <w:szCs w:val="20"/>
              </w:rPr>
              <w:t>%</w:t>
            </w:r>
          </w:p>
        </w:tc>
      </w:tr>
      <w:tr w:rsidR="00B92B22" w:rsidRPr="009A02B7" w14:paraId="7FA3AF68" w14:textId="77777777" w:rsidTr="008907F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restart"/>
            <w:vAlign w:val="center"/>
          </w:tcPr>
          <w:p w14:paraId="7F2A287A" w14:textId="05711D0C" w:rsidR="00B92B22" w:rsidRPr="008907FC" w:rsidRDefault="00B92B22" w:rsidP="00B92B22">
            <w:pPr>
              <w:jc w:val="center"/>
              <w:rPr>
                <w:rFonts w:eastAsia="Times New Roman" w:cs="Times New Roman"/>
                <w:color w:val="000000"/>
                <w:sz w:val="20"/>
                <w:szCs w:val="20"/>
                <w:lang w:eastAsia="lv-LV"/>
              </w:rPr>
            </w:pPr>
            <w:r w:rsidRPr="008907FC">
              <w:rPr>
                <w:rFonts w:eastAsia="Times New Roman" w:cs="Times New Roman"/>
                <w:color w:val="000000"/>
                <w:sz w:val="20"/>
                <w:szCs w:val="20"/>
                <w:lang w:eastAsia="lv-LV"/>
              </w:rPr>
              <w:t>2024</w:t>
            </w:r>
          </w:p>
        </w:tc>
        <w:tc>
          <w:tcPr>
            <w:tcW w:w="2320" w:type="dxa"/>
            <w:vAlign w:val="center"/>
          </w:tcPr>
          <w:p w14:paraId="0F5FDE9D" w14:textId="77777777" w:rsidR="00B92B22" w:rsidRPr="008907FC" w:rsidRDefault="00B92B22" w:rsidP="00B92B2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Plāns</w:t>
            </w:r>
          </w:p>
        </w:tc>
        <w:tc>
          <w:tcPr>
            <w:tcW w:w="2175" w:type="dxa"/>
            <w:noWrap/>
            <w:vAlign w:val="center"/>
          </w:tcPr>
          <w:p w14:paraId="6BEBDE1C" w14:textId="59FAE19C" w:rsidR="00B92B22" w:rsidRPr="008907FC"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color w:val="000000"/>
                <w:sz w:val="20"/>
                <w:szCs w:val="20"/>
              </w:rPr>
              <w:t>2634,3</w:t>
            </w:r>
          </w:p>
        </w:tc>
        <w:tc>
          <w:tcPr>
            <w:tcW w:w="2175" w:type="dxa"/>
            <w:noWrap/>
            <w:vAlign w:val="center"/>
          </w:tcPr>
          <w:p w14:paraId="52B4D766" w14:textId="08AE0E85" w:rsidR="00B92B22" w:rsidRPr="008907FC"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color w:val="000000"/>
                <w:sz w:val="20"/>
                <w:szCs w:val="20"/>
              </w:rPr>
              <w:t>84,8%</w:t>
            </w:r>
          </w:p>
        </w:tc>
        <w:tc>
          <w:tcPr>
            <w:tcW w:w="2175" w:type="dxa"/>
            <w:noWrap/>
            <w:vAlign w:val="center"/>
          </w:tcPr>
          <w:p w14:paraId="7EB84E60" w14:textId="186FA690" w:rsidR="00B92B22" w:rsidRPr="008907FC"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color w:val="000000"/>
                <w:sz w:val="20"/>
                <w:szCs w:val="20"/>
              </w:rPr>
              <w:t>399,9</w:t>
            </w:r>
          </w:p>
        </w:tc>
      </w:tr>
      <w:tr w:rsidR="00B92B22" w:rsidRPr="009A02B7" w14:paraId="528FC453" w14:textId="77777777" w:rsidTr="008907FC">
        <w:trPr>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tcPr>
          <w:p w14:paraId="458D36C5" w14:textId="77777777" w:rsidR="00B92B22" w:rsidRPr="008907FC" w:rsidRDefault="00B92B22" w:rsidP="00B92B22">
            <w:pPr>
              <w:jc w:val="center"/>
              <w:rPr>
                <w:rFonts w:eastAsia="Times New Roman" w:cs="Times New Roman"/>
                <w:color w:val="000000"/>
                <w:sz w:val="20"/>
                <w:szCs w:val="20"/>
                <w:lang w:eastAsia="lv-LV"/>
              </w:rPr>
            </w:pPr>
          </w:p>
        </w:tc>
        <w:tc>
          <w:tcPr>
            <w:tcW w:w="2320" w:type="dxa"/>
            <w:vAlign w:val="center"/>
          </w:tcPr>
          <w:p w14:paraId="557B057F" w14:textId="77777777" w:rsidR="00B92B22" w:rsidRPr="008907FC" w:rsidRDefault="00B92B22" w:rsidP="00B92B2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Izpilde</w:t>
            </w:r>
          </w:p>
        </w:tc>
        <w:tc>
          <w:tcPr>
            <w:tcW w:w="2175" w:type="dxa"/>
            <w:noWrap/>
            <w:vAlign w:val="center"/>
          </w:tcPr>
          <w:p w14:paraId="6B8EC27C" w14:textId="0E55962B" w:rsidR="00B92B22" w:rsidRPr="008907FC" w:rsidRDefault="00B92B22" w:rsidP="00B92B2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color w:val="000000"/>
                <w:sz w:val="20"/>
                <w:szCs w:val="20"/>
              </w:rPr>
              <w:t>1816,7</w:t>
            </w:r>
          </w:p>
        </w:tc>
        <w:tc>
          <w:tcPr>
            <w:tcW w:w="2175" w:type="dxa"/>
            <w:noWrap/>
            <w:vAlign w:val="center"/>
          </w:tcPr>
          <w:p w14:paraId="5EC7F7B8" w14:textId="046E9769" w:rsidR="00B92B22" w:rsidRPr="008907FC" w:rsidRDefault="00B92B22" w:rsidP="00B92B2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color w:val="000000"/>
                <w:sz w:val="20"/>
                <w:szCs w:val="20"/>
              </w:rPr>
              <w:t>85,1%</w:t>
            </w:r>
          </w:p>
        </w:tc>
        <w:tc>
          <w:tcPr>
            <w:tcW w:w="2175" w:type="dxa"/>
            <w:noWrap/>
            <w:vAlign w:val="center"/>
          </w:tcPr>
          <w:p w14:paraId="3877449B" w14:textId="21B35BEE" w:rsidR="00B92B22" w:rsidRPr="008907FC" w:rsidRDefault="00B92B22" w:rsidP="00B92B2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color w:val="000000"/>
                <w:sz w:val="20"/>
                <w:szCs w:val="20"/>
              </w:rPr>
              <w:t>271,0</w:t>
            </w:r>
          </w:p>
        </w:tc>
      </w:tr>
      <w:tr w:rsidR="00B92B22" w:rsidRPr="009A02B7" w14:paraId="53B0CC7C" w14:textId="77777777" w:rsidTr="008907F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086" w:type="dxa"/>
            <w:vMerge/>
            <w:vAlign w:val="center"/>
          </w:tcPr>
          <w:p w14:paraId="706B9212" w14:textId="77777777" w:rsidR="00B92B22" w:rsidRPr="008907FC" w:rsidRDefault="00B92B22" w:rsidP="00B92B22">
            <w:pPr>
              <w:jc w:val="center"/>
              <w:rPr>
                <w:rFonts w:eastAsia="Times New Roman" w:cs="Times New Roman"/>
                <w:color w:val="000000"/>
                <w:sz w:val="20"/>
                <w:szCs w:val="20"/>
                <w:lang w:eastAsia="lv-LV"/>
              </w:rPr>
            </w:pPr>
          </w:p>
        </w:tc>
        <w:tc>
          <w:tcPr>
            <w:tcW w:w="2320" w:type="dxa"/>
            <w:vAlign w:val="center"/>
          </w:tcPr>
          <w:p w14:paraId="69CFA849" w14:textId="77777777" w:rsidR="00B92B22" w:rsidRPr="008907FC" w:rsidRDefault="00B92B22" w:rsidP="00B92B2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8907FC">
              <w:rPr>
                <w:rFonts w:eastAsia="Times New Roman" w:cs="Times New Roman"/>
                <w:color w:val="000000" w:themeColor="text1"/>
                <w:sz w:val="20"/>
                <w:szCs w:val="20"/>
                <w:lang w:eastAsia="lv-LV"/>
              </w:rPr>
              <w:t>Novirze no plāna %</w:t>
            </w:r>
          </w:p>
        </w:tc>
        <w:tc>
          <w:tcPr>
            <w:tcW w:w="2175" w:type="dxa"/>
            <w:noWrap/>
            <w:vAlign w:val="center"/>
          </w:tcPr>
          <w:p w14:paraId="5E77DA26" w14:textId="78DA898E" w:rsidR="00B92B22" w:rsidRPr="008907FC"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i/>
                <w:iCs/>
                <w:color w:val="000000"/>
                <w:sz w:val="20"/>
                <w:szCs w:val="20"/>
              </w:rPr>
              <w:t>-31,0%</w:t>
            </w:r>
          </w:p>
        </w:tc>
        <w:tc>
          <w:tcPr>
            <w:tcW w:w="2175" w:type="dxa"/>
            <w:noWrap/>
            <w:vAlign w:val="center"/>
          </w:tcPr>
          <w:p w14:paraId="36F8D7A5" w14:textId="6BFE24B4" w:rsidR="00B92B22" w:rsidRPr="008907FC"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i/>
                <w:iCs/>
                <w:color w:val="000000" w:themeColor="text1"/>
                <w:sz w:val="20"/>
                <w:szCs w:val="20"/>
              </w:rPr>
              <w:t> </w:t>
            </w:r>
          </w:p>
        </w:tc>
        <w:tc>
          <w:tcPr>
            <w:tcW w:w="2175" w:type="dxa"/>
            <w:noWrap/>
            <w:vAlign w:val="center"/>
          </w:tcPr>
          <w:p w14:paraId="0375A7BE" w14:textId="4D3C89D2" w:rsidR="00B92B22" w:rsidRPr="008907FC"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9A2E0A">
              <w:rPr>
                <w:rFonts w:eastAsia="Times New Roman" w:cs="Times New Roman"/>
                <w:i/>
                <w:iCs/>
                <w:color w:val="000000"/>
                <w:sz w:val="20"/>
                <w:szCs w:val="20"/>
              </w:rPr>
              <w:t>-32,2%</w:t>
            </w:r>
          </w:p>
        </w:tc>
      </w:tr>
    </w:tbl>
    <w:p w14:paraId="2E618F7F" w14:textId="77777777" w:rsidR="008A4847" w:rsidRPr="00883EE7" w:rsidRDefault="008A4847" w:rsidP="00497710">
      <w:pPr>
        <w:spacing w:after="120" w:line="240" w:lineRule="auto"/>
        <w:jc w:val="right"/>
        <w:rPr>
          <w:rFonts w:ascii="Times New Roman" w:eastAsiaTheme="minorHAnsi" w:hAnsi="Times New Roman"/>
          <w:b/>
          <w:i/>
          <w:color w:val="000000" w:themeColor="text1"/>
          <w:sz w:val="20"/>
          <w:szCs w:val="18"/>
          <w:highlight w:val="yellow"/>
        </w:rPr>
      </w:pPr>
    </w:p>
    <w:p w14:paraId="73DF26F7" w14:textId="63B78EDA" w:rsidR="00631168" w:rsidRPr="008C285C" w:rsidRDefault="00631168" w:rsidP="00497710">
      <w:pPr>
        <w:spacing w:after="0" w:line="240" w:lineRule="auto"/>
        <w:ind w:firstLine="720"/>
        <w:jc w:val="both"/>
        <w:rPr>
          <w:rFonts w:ascii="Times New Roman" w:hAnsi="Times New Roman" w:cs="Times New Roman"/>
          <w:color w:val="000000" w:themeColor="text1"/>
          <w:sz w:val="24"/>
          <w:szCs w:val="24"/>
        </w:rPr>
      </w:pPr>
      <w:r w:rsidRPr="008C285C">
        <w:rPr>
          <w:rFonts w:ascii="Times New Roman" w:eastAsiaTheme="minorHAnsi" w:hAnsi="Times New Roman" w:cs="Times New Roman"/>
          <w:sz w:val="24"/>
        </w:rPr>
        <w:t>Ņemot vērā datus, kas attēloti tabulā Nr.</w:t>
      </w:r>
      <w:r w:rsidR="00136721" w:rsidRPr="008C285C">
        <w:rPr>
          <w:rFonts w:ascii="Times New Roman" w:eastAsiaTheme="minorHAnsi" w:hAnsi="Times New Roman" w:cs="Times New Roman"/>
          <w:sz w:val="24"/>
        </w:rPr>
        <w:t>2.6.1</w:t>
      </w:r>
      <w:r w:rsidRPr="008C285C">
        <w:rPr>
          <w:rFonts w:ascii="Times New Roman" w:eastAsiaTheme="minorHAnsi" w:hAnsi="Times New Roman" w:cs="Times New Roman"/>
          <w:sz w:val="24"/>
        </w:rPr>
        <w:t xml:space="preserve">, varbūtība, ka valsts budžeta izdevumi ir augstāki vai zemāki kā plānots, ilgtermiņā ir simetriska un </w:t>
      </w:r>
      <w:r w:rsidRPr="008C285C">
        <w:rPr>
          <w:rFonts w:ascii="Times New Roman" w:eastAsiaTheme="minorHAnsi" w:hAnsi="Times New Roman" w:cs="Times New Roman"/>
          <w:b/>
          <w:bCs/>
          <w:sz w:val="24"/>
          <w:szCs w:val="20"/>
        </w:rPr>
        <w:t>fiskālā nodrošinājuma rezerve šim riskam netiek veidota.</w:t>
      </w:r>
      <w:r w:rsidRPr="008C285C">
        <w:rPr>
          <w:rFonts w:ascii="Times New Roman" w:eastAsiaTheme="minorHAnsi" w:hAnsi="Times New Roman"/>
          <w:b/>
          <w:i/>
          <w:color w:val="000000" w:themeColor="text1"/>
          <w:sz w:val="24"/>
        </w:rPr>
        <w:t xml:space="preserve"> </w:t>
      </w:r>
      <w:r w:rsidRPr="008C285C">
        <w:rPr>
          <w:rFonts w:ascii="Times New Roman" w:eastAsiaTheme="minorHAnsi" w:hAnsi="Times New Roman"/>
          <w:bCs/>
          <w:iCs/>
          <w:color w:val="000000" w:themeColor="text1"/>
          <w:sz w:val="24"/>
        </w:rPr>
        <w:t>Taču papildus</w:t>
      </w:r>
      <w:r w:rsidRPr="008C285C">
        <w:rPr>
          <w:rFonts w:ascii="Times New Roman" w:eastAsiaTheme="minorHAnsi" w:hAnsi="Times New Roman"/>
          <w:b/>
          <w:i/>
          <w:color w:val="000000" w:themeColor="text1"/>
          <w:sz w:val="24"/>
        </w:rPr>
        <w:t xml:space="preserve"> </w:t>
      </w:r>
      <w:r w:rsidRPr="008C285C">
        <w:rPr>
          <w:rFonts w:ascii="Times New Roman" w:eastAsiaTheme="minorHAnsi" w:hAnsi="Times New Roman"/>
          <w:bCs/>
          <w:iCs/>
          <w:color w:val="000000" w:themeColor="text1"/>
          <w:sz w:val="24"/>
        </w:rPr>
        <w:t>vērtējot fiskālā riska iestāšanos, ir jāvērtē vai 80.</w:t>
      </w:r>
      <w:r w:rsidR="005145AD">
        <w:rPr>
          <w:rFonts w:ascii="Times New Roman" w:eastAsiaTheme="minorHAnsi" w:hAnsi="Times New Roman"/>
          <w:bCs/>
          <w:iCs/>
          <w:color w:val="000000" w:themeColor="text1"/>
          <w:sz w:val="24"/>
        </w:rPr>
        <w:t xml:space="preserve"> </w:t>
      </w:r>
      <w:r w:rsidRPr="008C285C">
        <w:rPr>
          <w:rFonts w:ascii="Times New Roman" w:eastAsiaTheme="minorHAnsi" w:hAnsi="Times New Roman"/>
          <w:bCs/>
          <w:iCs/>
          <w:color w:val="000000" w:themeColor="text1"/>
          <w:sz w:val="24"/>
        </w:rPr>
        <w:t>programmā</w:t>
      </w:r>
      <w:r w:rsidRPr="008C285C">
        <w:rPr>
          <w:rFonts w:ascii="Times New Roman" w:hAnsi="Times New Roman" w:cs="Times New Roman"/>
          <w:color w:val="000000" w:themeColor="text1"/>
          <w:sz w:val="24"/>
          <w:szCs w:val="24"/>
        </w:rPr>
        <w:t xml:space="preserve"> ieplānotais finansējums tiek pārdalīts </w:t>
      </w:r>
      <w:r w:rsidR="00D606CA">
        <w:rPr>
          <w:rFonts w:ascii="Times New Roman" w:hAnsi="Times New Roman" w:cs="Times New Roman"/>
          <w:color w:val="000000" w:themeColor="text1"/>
          <w:sz w:val="24"/>
          <w:szCs w:val="24"/>
        </w:rPr>
        <w:t xml:space="preserve">tikai </w:t>
      </w:r>
      <w:r w:rsidR="00B92B22" w:rsidRPr="469479B5">
        <w:rPr>
          <w:rFonts w:ascii="Times New Roman" w:hAnsi="Times New Roman"/>
          <w:sz w:val="24"/>
          <w:szCs w:val="24"/>
        </w:rPr>
        <w:t>ES politiku instrumentu un citu ĀFP programmu</w:t>
      </w:r>
      <w:r w:rsidR="00B92B22" w:rsidRPr="008C285C" w:rsidDel="00FF51B2">
        <w:rPr>
          <w:rFonts w:ascii="Times New Roman" w:hAnsi="Times New Roman" w:cs="Times New Roman"/>
          <w:color w:val="000000" w:themeColor="text1"/>
          <w:sz w:val="24"/>
          <w:szCs w:val="24"/>
        </w:rPr>
        <w:t xml:space="preserve"> </w:t>
      </w:r>
      <w:r w:rsidRPr="008C285C">
        <w:rPr>
          <w:rFonts w:ascii="Times New Roman" w:hAnsi="Times New Roman" w:cs="Times New Roman"/>
          <w:color w:val="000000" w:themeColor="text1"/>
          <w:sz w:val="24"/>
          <w:szCs w:val="24"/>
        </w:rPr>
        <w:t>īstenošanai. Gadījumā, ja finansējums tiek pārdalīts uz citām programmām, kurām valsts budžeta līdzfinansējums ir 100% apjomā, tad var iestāties situācija, ka 80.</w:t>
      </w:r>
      <w:r w:rsidR="005145AD">
        <w:rPr>
          <w:rFonts w:ascii="Times New Roman" w:hAnsi="Times New Roman" w:cs="Times New Roman"/>
          <w:color w:val="000000" w:themeColor="text1"/>
          <w:sz w:val="24"/>
          <w:szCs w:val="24"/>
        </w:rPr>
        <w:t xml:space="preserve"> </w:t>
      </w:r>
      <w:r w:rsidRPr="008C285C">
        <w:rPr>
          <w:rFonts w:ascii="Times New Roman" w:hAnsi="Times New Roman" w:cs="Times New Roman"/>
          <w:color w:val="000000" w:themeColor="text1"/>
          <w:sz w:val="24"/>
          <w:szCs w:val="24"/>
        </w:rPr>
        <w:t xml:space="preserve">programmā ir ieplānots pietiekošs kopējais finansējums, taču budžeta izdevumu daļa ir būtiski augstāka kā sākotnēji plānots, kas savukārt veido negatīvu ietekmi uz vispārējās valdības budžeta bilanci. </w:t>
      </w:r>
    </w:p>
    <w:p w14:paraId="4FEE2B07" w14:textId="7CEEA55F" w:rsidR="00631168" w:rsidRDefault="00631168" w:rsidP="00C0189F">
      <w:pPr>
        <w:spacing w:before="120" w:after="120" w:line="240" w:lineRule="auto"/>
        <w:ind w:firstLine="720"/>
        <w:jc w:val="both"/>
        <w:rPr>
          <w:rFonts w:ascii="Times New Roman" w:hAnsi="Times New Roman" w:cs="Times New Roman"/>
          <w:color w:val="000000" w:themeColor="text1"/>
          <w:sz w:val="24"/>
          <w:szCs w:val="24"/>
        </w:rPr>
      </w:pPr>
      <w:r w:rsidRPr="008C285C">
        <w:rPr>
          <w:rFonts w:ascii="Times New Roman" w:hAnsi="Times New Roman" w:cs="Times New Roman"/>
          <w:color w:val="000000" w:themeColor="text1"/>
          <w:sz w:val="24"/>
          <w:szCs w:val="24"/>
        </w:rPr>
        <w:t>Tabulā</w:t>
      </w:r>
      <w:r w:rsidR="004A682A" w:rsidRPr="008C285C">
        <w:rPr>
          <w:rFonts w:ascii="Times New Roman" w:hAnsi="Times New Roman" w:cs="Times New Roman"/>
          <w:color w:val="000000" w:themeColor="text1"/>
          <w:sz w:val="24"/>
          <w:szCs w:val="24"/>
        </w:rPr>
        <w:t xml:space="preserve"> Nr.2.6.2</w:t>
      </w:r>
      <w:r w:rsidRPr="008C285C">
        <w:rPr>
          <w:rFonts w:ascii="Times New Roman" w:hAnsi="Times New Roman" w:cs="Times New Roman"/>
          <w:color w:val="000000" w:themeColor="text1"/>
          <w:sz w:val="24"/>
          <w:szCs w:val="24"/>
        </w:rPr>
        <w:t xml:space="preserve"> ir apkopoti dati par finansējuma pārdalēm no 80.</w:t>
      </w:r>
      <w:r w:rsidR="005145AD">
        <w:rPr>
          <w:rFonts w:ascii="Times New Roman" w:hAnsi="Times New Roman" w:cs="Times New Roman"/>
          <w:color w:val="000000" w:themeColor="text1"/>
          <w:sz w:val="24"/>
          <w:szCs w:val="24"/>
        </w:rPr>
        <w:t xml:space="preserve"> </w:t>
      </w:r>
      <w:r w:rsidRPr="008C285C">
        <w:rPr>
          <w:rFonts w:ascii="Times New Roman" w:hAnsi="Times New Roman" w:cs="Times New Roman"/>
          <w:color w:val="000000" w:themeColor="text1"/>
          <w:sz w:val="24"/>
          <w:szCs w:val="24"/>
        </w:rPr>
        <w:t xml:space="preserve">programmas. Atbilstoši tabulā </w:t>
      </w:r>
      <w:r w:rsidR="004A682A" w:rsidRPr="008C285C">
        <w:rPr>
          <w:rFonts w:ascii="Times New Roman" w:hAnsi="Times New Roman" w:cs="Times New Roman"/>
          <w:color w:val="000000" w:themeColor="text1"/>
          <w:sz w:val="24"/>
          <w:szCs w:val="24"/>
        </w:rPr>
        <w:t>Nr.2.6.2</w:t>
      </w:r>
      <w:r w:rsidRPr="008C285C">
        <w:rPr>
          <w:rFonts w:ascii="Times New Roman" w:hAnsi="Times New Roman" w:cs="Times New Roman"/>
          <w:color w:val="000000" w:themeColor="text1"/>
          <w:sz w:val="24"/>
          <w:szCs w:val="24"/>
        </w:rPr>
        <w:t xml:space="preserve"> norādītajam finansējums tiek pārdalīts arī programmām, kas nav saistītas ar </w:t>
      </w:r>
      <w:r w:rsidR="00B92B22" w:rsidRPr="469479B5">
        <w:rPr>
          <w:rFonts w:ascii="Times New Roman" w:hAnsi="Times New Roman"/>
          <w:sz w:val="24"/>
          <w:szCs w:val="24"/>
        </w:rPr>
        <w:t>ES politiku instrumentu un citu ĀFP programmu</w:t>
      </w:r>
      <w:r w:rsidR="00B92B22" w:rsidRPr="008C285C" w:rsidDel="00FF51B2">
        <w:rPr>
          <w:rFonts w:ascii="Times New Roman" w:hAnsi="Times New Roman" w:cs="Times New Roman"/>
          <w:color w:val="000000" w:themeColor="text1"/>
          <w:sz w:val="24"/>
          <w:szCs w:val="24"/>
        </w:rPr>
        <w:t xml:space="preserve"> </w:t>
      </w:r>
      <w:r w:rsidRPr="008C285C">
        <w:rPr>
          <w:rFonts w:ascii="Times New Roman" w:hAnsi="Times New Roman" w:cs="Times New Roman"/>
          <w:color w:val="000000" w:themeColor="text1"/>
          <w:sz w:val="24"/>
          <w:szCs w:val="24"/>
        </w:rPr>
        <w:t>īstenošanu. Finansējums tiek pārdalīts klimata pārmaiņu un emisijas kvotu izsolīšanas instrumenta finansēto projektu īstenošanai atbilstoši MK noteikumiem. Finanšu avots šiem projektiem ir gūtie ieņēmumi no Latvijai piešķirto emisijas kvotu izsolīšanas, kas ir uzkrāti un iepriekšējos periodos netika izmantoti klimata pārmaiņu un emisijas kvotu izsolīšanas instrumenta finansēto projektu īstenošanai.</w:t>
      </w:r>
    </w:p>
    <w:p w14:paraId="74B86128" w14:textId="77777777" w:rsidR="00C0189F" w:rsidRDefault="00C0189F" w:rsidP="00C0189F">
      <w:pPr>
        <w:spacing w:before="120" w:after="120" w:line="240" w:lineRule="auto"/>
        <w:ind w:firstLine="720"/>
        <w:jc w:val="both"/>
        <w:rPr>
          <w:rFonts w:ascii="Times New Roman" w:hAnsi="Times New Roman" w:cs="Times New Roman"/>
          <w:color w:val="000000" w:themeColor="text1"/>
          <w:sz w:val="24"/>
          <w:szCs w:val="24"/>
        </w:rPr>
      </w:pPr>
    </w:p>
    <w:p w14:paraId="64754071" w14:textId="77777777" w:rsidR="00C0189F" w:rsidRDefault="00C0189F" w:rsidP="00C0189F">
      <w:pPr>
        <w:spacing w:before="120" w:after="120" w:line="240" w:lineRule="auto"/>
        <w:ind w:firstLine="720"/>
        <w:jc w:val="both"/>
        <w:rPr>
          <w:rFonts w:ascii="Times New Roman" w:hAnsi="Times New Roman" w:cs="Times New Roman"/>
          <w:color w:val="000000" w:themeColor="text1"/>
          <w:sz w:val="24"/>
          <w:szCs w:val="24"/>
        </w:rPr>
      </w:pPr>
    </w:p>
    <w:p w14:paraId="12A0B1C0" w14:textId="77777777" w:rsidR="00C0189F" w:rsidRDefault="00C0189F" w:rsidP="00C0189F">
      <w:pPr>
        <w:spacing w:before="120" w:after="120" w:line="240" w:lineRule="auto"/>
        <w:ind w:firstLine="720"/>
        <w:jc w:val="both"/>
        <w:rPr>
          <w:rFonts w:ascii="Times New Roman" w:hAnsi="Times New Roman" w:cs="Times New Roman"/>
          <w:color w:val="000000" w:themeColor="text1"/>
          <w:sz w:val="24"/>
          <w:szCs w:val="24"/>
        </w:rPr>
      </w:pPr>
    </w:p>
    <w:p w14:paraId="755300F4" w14:textId="77777777" w:rsidR="00C0189F" w:rsidRDefault="00C0189F" w:rsidP="00C0189F">
      <w:pPr>
        <w:spacing w:before="120" w:after="120" w:line="240" w:lineRule="auto"/>
        <w:ind w:firstLine="720"/>
        <w:jc w:val="both"/>
        <w:rPr>
          <w:rFonts w:ascii="Times New Roman" w:hAnsi="Times New Roman" w:cs="Times New Roman"/>
          <w:color w:val="000000" w:themeColor="text1"/>
          <w:sz w:val="24"/>
          <w:szCs w:val="24"/>
        </w:rPr>
      </w:pPr>
    </w:p>
    <w:p w14:paraId="3B0773AB" w14:textId="77777777" w:rsidR="00C0189F" w:rsidRDefault="00C0189F" w:rsidP="00C0189F">
      <w:pPr>
        <w:spacing w:before="120" w:after="120" w:line="240" w:lineRule="auto"/>
        <w:ind w:firstLine="720"/>
        <w:jc w:val="both"/>
        <w:rPr>
          <w:rFonts w:ascii="Times New Roman" w:hAnsi="Times New Roman" w:cs="Times New Roman"/>
          <w:color w:val="000000" w:themeColor="text1"/>
          <w:sz w:val="24"/>
          <w:szCs w:val="24"/>
        </w:rPr>
      </w:pPr>
    </w:p>
    <w:p w14:paraId="55158133" w14:textId="77777777" w:rsidR="00C0189F" w:rsidRDefault="00C0189F" w:rsidP="00C0189F">
      <w:pPr>
        <w:spacing w:before="120" w:after="120" w:line="240" w:lineRule="auto"/>
        <w:ind w:firstLine="720"/>
        <w:jc w:val="both"/>
        <w:rPr>
          <w:rFonts w:ascii="Times New Roman" w:hAnsi="Times New Roman" w:cs="Times New Roman"/>
          <w:color w:val="000000" w:themeColor="text1"/>
          <w:sz w:val="24"/>
          <w:szCs w:val="24"/>
        </w:rPr>
      </w:pPr>
    </w:p>
    <w:p w14:paraId="6C373619" w14:textId="77777777" w:rsidR="00C0189F" w:rsidRDefault="00C0189F" w:rsidP="00C0189F">
      <w:pPr>
        <w:spacing w:before="120" w:after="120" w:line="240" w:lineRule="auto"/>
        <w:ind w:firstLine="720"/>
        <w:jc w:val="both"/>
        <w:rPr>
          <w:rFonts w:ascii="Times New Roman" w:hAnsi="Times New Roman" w:cs="Times New Roman"/>
          <w:color w:val="000000" w:themeColor="text1"/>
          <w:sz w:val="24"/>
          <w:szCs w:val="24"/>
        </w:rPr>
      </w:pPr>
    </w:p>
    <w:p w14:paraId="6FA7B7E2" w14:textId="77777777" w:rsidR="00C0189F" w:rsidRPr="00C0189F" w:rsidRDefault="00C0189F" w:rsidP="00C0189F">
      <w:pPr>
        <w:spacing w:before="120" w:after="120" w:line="240" w:lineRule="auto"/>
        <w:ind w:firstLine="720"/>
        <w:jc w:val="both"/>
        <w:rPr>
          <w:rFonts w:ascii="Times New Roman" w:hAnsi="Times New Roman" w:cs="Times New Roman"/>
          <w:color w:val="000000" w:themeColor="text1"/>
          <w:sz w:val="24"/>
          <w:szCs w:val="24"/>
        </w:rPr>
      </w:pPr>
    </w:p>
    <w:p w14:paraId="387B9DC4" w14:textId="14F32577" w:rsidR="00631168" w:rsidRPr="00EA3B36" w:rsidRDefault="00631168" w:rsidP="00C0189F">
      <w:pPr>
        <w:spacing w:before="120" w:after="120" w:line="240" w:lineRule="auto"/>
        <w:jc w:val="right"/>
        <w:rPr>
          <w:rFonts w:ascii="Times New Roman" w:eastAsiaTheme="minorHAnsi" w:hAnsi="Times New Roman"/>
          <w:b/>
          <w:i/>
          <w:color w:val="000000" w:themeColor="text1"/>
          <w:sz w:val="24"/>
        </w:rPr>
      </w:pPr>
      <w:r w:rsidRPr="00EA3B36">
        <w:rPr>
          <w:rFonts w:ascii="Times New Roman" w:eastAsiaTheme="minorHAnsi" w:hAnsi="Times New Roman"/>
          <w:b/>
          <w:color w:val="000000" w:themeColor="text1"/>
          <w:sz w:val="24"/>
        </w:rPr>
        <w:t>Tabula Nr.</w:t>
      </w:r>
      <w:r w:rsidR="004A682A" w:rsidRPr="00EA3B36">
        <w:rPr>
          <w:rFonts w:ascii="Times New Roman" w:eastAsiaTheme="minorHAnsi" w:hAnsi="Times New Roman"/>
          <w:b/>
          <w:color w:val="000000" w:themeColor="text1"/>
          <w:sz w:val="24"/>
        </w:rPr>
        <w:t>2.6.2</w:t>
      </w:r>
      <w:r w:rsidRPr="00EA3B36">
        <w:rPr>
          <w:rFonts w:ascii="Times New Roman" w:eastAsiaTheme="minorHAnsi" w:hAnsi="Times New Roman"/>
          <w:b/>
          <w:color w:val="000000" w:themeColor="text1"/>
          <w:sz w:val="24"/>
        </w:rPr>
        <w:t xml:space="preserve"> 80.</w:t>
      </w:r>
      <w:r w:rsidR="005145AD">
        <w:rPr>
          <w:rFonts w:ascii="Times New Roman" w:eastAsiaTheme="minorHAnsi" w:hAnsi="Times New Roman"/>
          <w:b/>
          <w:color w:val="000000" w:themeColor="text1"/>
          <w:sz w:val="24"/>
        </w:rPr>
        <w:t xml:space="preserve"> </w:t>
      </w:r>
      <w:r w:rsidRPr="00EA3B36">
        <w:rPr>
          <w:rFonts w:ascii="Times New Roman" w:eastAsiaTheme="minorHAnsi" w:hAnsi="Times New Roman"/>
          <w:b/>
          <w:color w:val="000000" w:themeColor="text1"/>
          <w:sz w:val="24"/>
        </w:rPr>
        <w:t xml:space="preserve">programma un finansējuma pārdales, milj. </w:t>
      </w:r>
      <w:r w:rsidRPr="00EA3B36">
        <w:rPr>
          <w:rFonts w:ascii="Times New Roman" w:eastAsiaTheme="minorHAnsi" w:hAnsi="Times New Roman"/>
          <w:b/>
          <w:i/>
          <w:color w:val="000000" w:themeColor="text1"/>
          <w:sz w:val="24"/>
        </w:rPr>
        <w:t>euro</w:t>
      </w:r>
    </w:p>
    <w:tbl>
      <w:tblPr>
        <w:tblStyle w:val="GridTable6Colorful-Accent11"/>
        <w:tblW w:w="0" w:type="auto"/>
        <w:jc w:val="center"/>
        <w:tblLook w:val="04A0" w:firstRow="1" w:lastRow="0" w:firstColumn="1" w:lastColumn="0" w:noHBand="0" w:noVBand="1"/>
      </w:tblPr>
      <w:tblGrid>
        <w:gridCol w:w="1633"/>
        <w:gridCol w:w="1633"/>
        <w:gridCol w:w="1633"/>
        <w:gridCol w:w="1634"/>
        <w:gridCol w:w="1634"/>
      </w:tblGrid>
      <w:tr w:rsidR="004D07CB" w:rsidRPr="00B92B22" w14:paraId="468A8746" w14:textId="77777777" w:rsidTr="00E252EB">
        <w:trPr>
          <w:cnfStyle w:val="100000000000" w:firstRow="1" w:lastRow="0" w:firstColumn="0" w:lastColumn="0" w:oddVBand="0" w:evenVBand="0" w:oddHBand="0" w:evenHBand="0" w:firstRowFirstColumn="0" w:firstRowLastColumn="0" w:lastRowFirstColumn="0" w:lastRowLastColumn="0"/>
          <w:cantSplit/>
          <w:trHeight w:val="2835"/>
          <w:tblHeader/>
          <w:jc w:val="center"/>
        </w:trPr>
        <w:tc>
          <w:tcPr>
            <w:cnfStyle w:val="001000000000" w:firstRow="0" w:lastRow="0" w:firstColumn="1" w:lastColumn="0" w:oddVBand="0" w:evenVBand="0" w:oddHBand="0" w:evenHBand="0" w:firstRowFirstColumn="0" w:firstRowLastColumn="0" w:lastRowFirstColumn="0" w:lastRowLastColumn="0"/>
            <w:tcW w:w="0" w:type="dxa"/>
            <w:textDirection w:val="btLr"/>
            <w:vAlign w:val="center"/>
          </w:tcPr>
          <w:p w14:paraId="7D056B9F" w14:textId="77777777" w:rsidR="004D07CB" w:rsidRPr="00B92B22" w:rsidRDefault="2A85B581" w:rsidP="469479B5">
            <w:pPr>
              <w:ind w:left="113" w:right="113"/>
              <w:jc w:val="center"/>
              <w:rPr>
                <w:rFonts w:eastAsia="Times New Roman" w:cs="Times New Roman"/>
                <w:b w:val="0"/>
                <w:bCs w:val="0"/>
                <w:color w:val="000000"/>
                <w:sz w:val="20"/>
                <w:szCs w:val="20"/>
              </w:rPr>
            </w:pPr>
            <w:r w:rsidRPr="00B92B22">
              <w:rPr>
                <w:rFonts w:eastAsia="Times New Roman" w:cs="Times New Roman"/>
                <w:color w:val="000000" w:themeColor="text1"/>
                <w:sz w:val="20"/>
                <w:szCs w:val="20"/>
              </w:rPr>
              <w:t>Gads</w:t>
            </w:r>
          </w:p>
        </w:tc>
        <w:tc>
          <w:tcPr>
            <w:tcW w:w="0" w:type="dxa"/>
            <w:textDirection w:val="btLr"/>
            <w:vAlign w:val="center"/>
          </w:tcPr>
          <w:p w14:paraId="53FEA613" w14:textId="77777777" w:rsidR="004D07CB" w:rsidRPr="00B92B22" w:rsidRDefault="2A85B581" w:rsidP="00EF1FD3">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92B22">
              <w:rPr>
                <w:rFonts w:eastAsia="Times New Roman" w:cs="Times New Roman"/>
                <w:color w:val="000000" w:themeColor="text1"/>
                <w:sz w:val="20"/>
                <w:szCs w:val="20"/>
              </w:rPr>
              <w:t>80.00.00 programma “Nesadalītais finansējums ES politiku instrumentu un pārējās ĀFP līdzfinansēto projektu un pasākumu īstenošanai” plāns</w:t>
            </w:r>
          </w:p>
          <w:p w14:paraId="6B3615B8" w14:textId="77777777" w:rsidR="004D07CB" w:rsidRPr="00B92B22" w:rsidRDefault="004D07CB" w:rsidP="00EF1FD3">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p>
        </w:tc>
        <w:tc>
          <w:tcPr>
            <w:tcW w:w="0" w:type="dxa"/>
            <w:textDirection w:val="btLr"/>
            <w:vAlign w:val="center"/>
          </w:tcPr>
          <w:p w14:paraId="14EC267D" w14:textId="77777777" w:rsidR="004D07CB" w:rsidRPr="00B92B22" w:rsidRDefault="2A85B581" w:rsidP="00EF1FD3">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92B22">
              <w:rPr>
                <w:rFonts w:eastAsia="Times New Roman" w:cs="Times New Roman"/>
                <w:color w:val="000000" w:themeColor="text1"/>
                <w:sz w:val="20"/>
                <w:szCs w:val="20"/>
              </w:rPr>
              <w:t>Kopā pārdalītais finansējums, t.sk:</w:t>
            </w:r>
          </w:p>
          <w:p w14:paraId="428D3997" w14:textId="77777777" w:rsidR="004D07CB" w:rsidRPr="00B92B22" w:rsidRDefault="004D07CB" w:rsidP="00EF1FD3">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p>
        </w:tc>
        <w:tc>
          <w:tcPr>
            <w:tcW w:w="0" w:type="dxa"/>
            <w:textDirection w:val="btLr"/>
            <w:vAlign w:val="center"/>
          </w:tcPr>
          <w:p w14:paraId="3EE727D4" w14:textId="77777777" w:rsidR="004D07CB" w:rsidRPr="00B92B22" w:rsidRDefault="2A85B581" w:rsidP="00EF1FD3">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92B22">
              <w:rPr>
                <w:rFonts w:eastAsia="Times New Roman" w:cs="Times New Roman"/>
                <w:color w:val="000000" w:themeColor="text1"/>
                <w:sz w:val="20"/>
                <w:szCs w:val="20"/>
              </w:rPr>
              <w:t>Pārdalītais finansējums ES politiku instrumentu un pārējo ĀFP līdzfinansēto projektu un pasākumu īstenošanai</w:t>
            </w:r>
          </w:p>
          <w:p w14:paraId="44EFBEEA" w14:textId="77777777" w:rsidR="004D07CB" w:rsidRPr="00B92B22" w:rsidRDefault="004D07CB" w:rsidP="00EF1FD3">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p>
        </w:tc>
        <w:tc>
          <w:tcPr>
            <w:tcW w:w="0" w:type="dxa"/>
            <w:textDirection w:val="btLr"/>
            <w:vAlign w:val="center"/>
          </w:tcPr>
          <w:p w14:paraId="3C7BFB1D" w14:textId="77777777" w:rsidR="004D07CB" w:rsidRPr="00B92B22" w:rsidRDefault="2A85B581" w:rsidP="00EF1FD3">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92B22">
              <w:rPr>
                <w:rFonts w:eastAsia="Times New Roman" w:cs="Times New Roman"/>
                <w:color w:val="000000" w:themeColor="text1"/>
                <w:sz w:val="20"/>
                <w:szCs w:val="20"/>
              </w:rPr>
              <w:t>Pārdalītais finansējums citu projektu un pasākumu īstenošanai</w:t>
            </w:r>
          </w:p>
          <w:p w14:paraId="7B5D54C8" w14:textId="77777777" w:rsidR="004D07CB" w:rsidRPr="00B92B22" w:rsidRDefault="004D07CB" w:rsidP="00EF1FD3">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p>
        </w:tc>
      </w:tr>
      <w:tr w:rsidR="004D07CB" w:rsidRPr="00B92B22" w14:paraId="2828D504" w14:textId="77777777" w:rsidTr="00B06F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4B7463C4" w14:textId="77777777" w:rsidR="004D07CB" w:rsidRPr="00EF1FD3" w:rsidRDefault="2A85B581" w:rsidP="469479B5">
            <w:pPr>
              <w:spacing w:before="20" w:after="20"/>
              <w:jc w:val="center"/>
              <w:rPr>
                <w:rFonts w:eastAsia="Times New Roman" w:cs="Times New Roman"/>
                <w:color w:val="000000" w:themeColor="text1"/>
                <w:sz w:val="20"/>
                <w:szCs w:val="20"/>
                <w:highlight w:val="yellow"/>
              </w:rPr>
            </w:pPr>
            <w:r w:rsidRPr="00EF1FD3">
              <w:rPr>
                <w:rFonts w:eastAsia="Times New Roman" w:cs="Times New Roman"/>
                <w:color w:val="000000" w:themeColor="text1"/>
                <w:sz w:val="20"/>
                <w:szCs w:val="20"/>
              </w:rPr>
              <w:t>2014</w:t>
            </w:r>
          </w:p>
        </w:tc>
        <w:tc>
          <w:tcPr>
            <w:tcW w:w="1633" w:type="dxa"/>
            <w:vAlign w:val="bottom"/>
          </w:tcPr>
          <w:p w14:paraId="4B244027"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highlight w:val="yellow"/>
              </w:rPr>
            </w:pPr>
            <w:r w:rsidRPr="00EF1FD3">
              <w:rPr>
                <w:rFonts w:eastAsia="Times New Roman" w:cs="Times New Roman"/>
                <w:color w:val="000000" w:themeColor="text1"/>
                <w:sz w:val="20"/>
                <w:szCs w:val="20"/>
              </w:rPr>
              <w:t>154,4</w:t>
            </w:r>
          </w:p>
        </w:tc>
        <w:tc>
          <w:tcPr>
            <w:tcW w:w="1633" w:type="dxa"/>
            <w:vAlign w:val="bottom"/>
          </w:tcPr>
          <w:p w14:paraId="48BDEBDD"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highlight w:val="yellow"/>
              </w:rPr>
            </w:pPr>
            <w:r w:rsidRPr="00EF1FD3">
              <w:rPr>
                <w:rFonts w:eastAsia="Times New Roman" w:cs="Times New Roman"/>
                <w:color w:val="000000" w:themeColor="text1"/>
                <w:sz w:val="20"/>
                <w:szCs w:val="20"/>
              </w:rPr>
              <w:t>136,8</w:t>
            </w:r>
          </w:p>
        </w:tc>
        <w:tc>
          <w:tcPr>
            <w:tcW w:w="1634" w:type="dxa"/>
            <w:vAlign w:val="bottom"/>
          </w:tcPr>
          <w:p w14:paraId="390E5301"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highlight w:val="yellow"/>
              </w:rPr>
            </w:pPr>
            <w:r w:rsidRPr="00EF1FD3">
              <w:rPr>
                <w:rFonts w:eastAsia="Times New Roman" w:cs="Times New Roman"/>
                <w:color w:val="000000" w:themeColor="text1"/>
                <w:sz w:val="20"/>
                <w:szCs w:val="20"/>
              </w:rPr>
              <w:t>120,1</w:t>
            </w:r>
          </w:p>
        </w:tc>
        <w:tc>
          <w:tcPr>
            <w:tcW w:w="1634" w:type="dxa"/>
            <w:vAlign w:val="bottom"/>
          </w:tcPr>
          <w:p w14:paraId="75931F68"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highlight w:val="yellow"/>
              </w:rPr>
            </w:pPr>
            <w:r w:rsidRPr="00EF1FD3">
              <w:rPr>
                <w:rFonts w:eastAsia="Times New Roman" w:cs="Times New Roman"/>
                <w:color w:val="000000" w:themeColor="text1"/>
                <w:sz w:val="20"/>
                <w:szCs w:val="20"/>
              </w:rPr>
              <w:t>16,8</w:t>
            </w:r>
          </w:p>
        </w:tc>
      </w:tr>
      <w:tr w:rsidR="004D07CB" w:rsidRPr="00B92B22" w14:paraId="6A4182B1" w14:textId="77777777" w:rsidTr="00B06F79">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4180B439" w14:textId="77777777" w:rsidR="004D07CB" w:rsidRPr="00EF1FD3" w:rsidRDefault="2A85B581" w:rsidP="469479B5">
            <w:pPr>
              <w:spacing w:before="20" w:after="20"/>
              <w:jc w:val="center"/>
              <w:rPr>
                <w:rFonts w:eastAsia="Times New Roman" w:cs="Times New Roman"/>
                <w:color w:val="000000" w:themeColor="text1"/>
                <w:sz w:val="20"/>
                <w:szCs w:val="20"/>
              </w:rPr>
            </w:pPr>
            <w:r w:rsidRPr="00EF1FD3">
              <w:rPr>
                <w:rFonts w:eastAsia="Times New Roman" w:cs="Times New Roman"/>
                <w:color w:val="000000" w:themeColor="text1"/>
                <w:sz w:val="20"/>
                <w:szCs w:val="20"/>
              </w:rPr>
              <w:t>2015</w:t>
            </w:r>
          </w:p>
        </w:tc>
        <w:tc>
          <w:tcPr>
            <w:tcW w:w="1633" w:type="dxa"/>
            <w:vAlign w:val="bottom"/>
          </w:tcPr>
          <w:p w14:paraId="018ECA46"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137,3</w:t>
            </w:r>
          </w:p>
        </w:tc>
        <w:tc>
          <w:tcPr>
            <w:tcW w:w="1633" w:type="dxa"/>
            <w:vAlign w:val="bottom"/>
          </w:tcPr>
          <w:p w14:paraId="5DF2918E"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131,7</w:t>
            </w:r>
          </w:p>
        </w:tc>
        <w:tc>
          <w:tcPr>
            <w:tcW w:w="1634" w:type="dxa"/>
            <w:vAlign w:val="bottom"/>
          </w:tcPr>
          <w:p w14:paraId="3DC6E248"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115,4</w:t>
            </w:r>
          </w:p>
        </w:tc>
        <w:tc>
          <w:tcPr>
            <w:tcW w:w="1634" w:type="dxa"/>
            <w:vAlign w:val="bottom"/>
          </w:tcPr>
          <w:p w14:paraId="11E3C677"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16,3</w:t>
            </w:r>
          </w:p>
        </w:tc>
      </w:tr>
      <w:tr w:rsidR="004D07CB" w:rsidRPr="00B92B22" w14:paraId="14F818D7" w14:textId="77777777" w:rsidTr="00B06F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6E3FBABB" w14:textId="77777777" w:rsidR="004D07CB" w:rsidRPr="00EF1FD3" w:rsidRDefault="2A85B581" w:rsidP="469479B5">
            <w:pPr>
              <w:spacing w:before="20" w:after="20"/>
              <w:jc w:val="center"/>
              <w:rPr>
                <w:rFonts w:eastAsia="Times New Roman" w:cs="Times New Roman"/>
                <w:color w:val="000000" w:themeColor="text1"/>
                <w:sz w:val="20"/>
                <w:szCs w:val="20"/>
              </w:rPr>
            </w:pPr>
            <w:r w:rsidRPr="00EF1FD3">
              <w:rPr>
                <w:rFonts w:eastAsia="Times New Roman" w:cs="Times New Roman"/>
                <w:color w:val="000000" w:themeColor="text1"/>
                <w:sz w:val="20"/>
                <w:szCs w:val="20"/>
              </w:rPr>
              <w:t>2016</w:t>
            </w:r>
          </w:p>
        </w:tc>
        <w:tc>
          <w:tcPr>
            <w:tcW w:w="1633" w:type="dxa"/>
            <w:vAlign w:val="bottom"/>
          </w:tcPr>
          <w:p w14:paraId="1DEB907F"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438,6</w:t>
            </w:r>
          </w:p>
        </w:tc>
        <w:tc>
          <w:tcPr>
            <w:tcW w:w="1633" w:type="dxa"/>
            <w:vAlign w:val="bottom"/>
          </w:tcPr>
          <w:p w14:paraId="711315A6"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291,3</w:t>
            </w:r>
          </w:p>
        </w:tc>
        <w:tc>
          <w:tcPr>
            <w:tcW w:w="1634" w:type="dxa"/>
            <w:vAlign w:val="bottom"/>
          </w:tcPr>
          <w:p w14:paraId="04328662"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291,3</w:t>
            </w:r>
          </w:p>
        </w:tc>
        <w:tc>
          <w:tcPr>
            <w:tcW w:w="1634" w:type="dxa"/>
            <w:vAlign w:val="bottom"/>
          </w:tcPr>
          <w:p w14:paraId="215A017F"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0,0</w:t>
            </w:r>
          </w:p>
        </w:tc>
      </w:tr>
      <w:tr w:rsidR="004D07CB" w:rsidRPr="00B92B22" w14:paraId="22DC400B" w14:textId="77777777" w:rsidTr="469479B5">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0CDDB053" w14:textId="77777777" w:rsidR="004D07CB" w:rsidRPr="00EF1FD3" w:rsidRDefault="2A85B581" w:rsidP="469479B5">
            <w:pPr>
              <w:spacing w:before="20" w:after="20"/>
              <w:jc w:val="center"/>
              <w:rPr>
                <w:rFonts w:eastAsia="Times New Roman" w:cs="Times New Roman"/>
                <w:b w:val="0"/>
                <w:bCs w:val="0"/>
                <w:color w:val="000000" w:themeColor="text1"/>
                <w:sz w:val="20"/>
                <w:szCs w:val="20"/>
              </w:rPr>
            </w:pPr>
            <w:r w:rsidRPr="00EF1FD3">
              <w:rPr>
                <w:rFonts w:eastAsia="Times New Roman" w:cs="Times New Roman"/>
                <w:color w:val="000000" w:themeColor="text1"/>
                <w:sz w:val="20"/>
                <w:szCs w:val="20"/>
              </w:rPr>
              <w:t>2017</w:t>
            </w:r>
          </w:p>
        </w:tc>
        <w:tc>
          <w:tcPr>
            <w:tcW w:w="1633" w:type="dxa"/>
          </w:tcPr>
          <w:p w14:paraId="2FC206D1"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519,8</w:t>
            </w:r>
          </w:p>
        </w:tc>
        <w:tc>
          <w:tcPr>
            <w:tcW w:w="1633" w:type="dxa"/>
          </w:tcPr>
          <w:p w14:paraId="418C4F46"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298,4</w:t>
            </w:r>
          </w:p>
        </w:tc>
        <w:tc>
          <w:tcPr>
            <w:tcW w:w="1634" w:type="dxa"/>
          </w:tcPr>
          <w:p w14:paraId="3ECA17FB"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291,3</w:t>
            </w:r>
          </w:p>
        </w:tc>
        <w:tc>
          <w:tcPr>
            <w:tcW w:w="1634" w:type="dxa"/>
          </w:tcPr>
          <w:p w14:paraId="6A06D312"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7,1</w:t>
            </w:r>
          </w:p>
        </w:tc>
      </w:tr>
      <w:tr w:rsidR="004D07CB" w:rsidRPr="00B92B22" w14:paraId="41C3573A" w14:textId="7777777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7691AC0D" w14:textId="77777777" w:rsidR="004D07CB" w:rsidRPr="00EF1FD3" w:rsidRDefault="2A85B581" w:rsidP="469479B5">
            <w:pPr>
              <w:spacing w:before="20" w:after="20"/>
              <w:jc w:val="center"/>
              <w:rPr>
                <w:rFonts w:eastAsia="Times New Roman" w:cs="Times New Roman"/>
                <w:b w:val="0"/>
                <w:bCs w:val="0"/>
                <w:color w:val="000000" w:themeColor="text1"/>
                <w:sz w:val="20"/>
                <w:szCs w:val="20"/>
              </w:rPr>
            </w:pPr>
            <w:r w:rsidRPr="00EF1FD3">
              <w:rPr>
                <w:rFonts w:eastAsia="Times New Roman" w:cs="Times New Roman"/>
                <w:color w:val="000000" w:themeColor="text1"/>
                <w:sz w:val="20"/>
                <w:szCs w:val="20"/>
              </w:rPr>
              <w:t>2018</w:t>
            </w:r>
          </w:p>
        </w:tc>
        <w:tc>
          <w:tcPr>
            <w:tcW w:w="1633" w:type="dxa"/>
          </w:tcPr>
          <w:p w14:paraId="4D82688E"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125,6</w:t>
            </w:r>
          </w:p>
        </w:tc>
        <w:tc>
          <w:tcPr>
            <w:tcW w:w="1633" w:type="dxa"/>
          </w:tcPr>
          <w:p w14:paraId="1EF1F6EA"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125,5</w:t>
            </w:r>
          </w:p>
        </w:tc>
        <w:tc>
          <w:tcPr>
            <w:tcW w:w="1634" w:type="dxa"/>
          </w:tcPr>
          <w:p w14:paraId="439A34FE"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123,2</w:t>
            </w:r>
          </w:p>
        </w:tc>
        <w:tc>
          <w:tcPr>
            <w:tcW w:w="1634" w:type="dxa"/>
          </w:tcPr>
          <w:p w14:paraId="0DEFC0C7"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2,3</w:t>
            </w:r>
          </w:p>
        </w:tc>
      </w:tr>
      <w:tr w:rsidR="004D07CB" w:rsidRPr="00B92B22" w14:paraId="086F2CB3" w14:textId="77777777" w:rsidTr="469479B5">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7DF62A1A" w14:textId="77777777" w:rsidR="004D07CB" w:rsidRPr="00EF1FD3" w:rsidRDefault="2A85B581" w:rsidP="469479B5">
            <w:pPr>
              <w:spacing w:before="20" w:after="20"/>
              <w:jc w:val="center"/>
              <w:rPr>
                <w:rFonts w:eastAsia="Times New Roman" w:cs="Times New Roman"/>
                <w:b w:val="0"/>
                <w:bCs w:val="0"/>
                <w:color w:val="000000" w:themeColor="text1"/>
                <w:sz w:val="20"/>
                <w:szCs w:val="20"/>
              </w:rPr>
            </w:pPr>
            <w:r w:rsidRPr="00EF1FD3">
              <w:rPr>
                <w:rFonts w:eastAsia="Times New Roman" w:cs="Times New Roman"/>
                <w:color w:val="000000" w:themeColor="text1"/>
                <w:sz w:val="20"/>
                <w:szCs w:val="20"/>
              </w:rPr>
              <w:t>2019</w:t>
            </w:r>
          </w:p>
        </w:tc>
        <w:tc>
          <w:tcPr>
            <w:tcW w:w="1633" w:type="dxa"/>
          </w:tcPr>
          <w:p w14:paraId="67BA2612"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29,2</w:t>
            </w:r>
          </w:p>
        </w:tc>
        <w:tc>
          <w:tcPr>
            <w:tcW w:w="1633" w:type="dxa"/>
          </w:tcPr>
          <w:p w14:paraId="6B537FD7"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29,1</w:t>
            </w:r>
          </w:p>
        </w:tc>
        <w:tc>
          <w:tcPr>
            <w:tcW w:w="1634" w:type="dxa"/>
          </w:tcPr>
          <w:p w14:paraId="7D5C4C3E"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22,6</w:t>
            </w:r>
          </w:p>
        </w:tc>
        <w:tc>
          <w:tcPr>
            <w:tcW w:w="1634" w:type="dxa"/>
          </w:tcPr>
          <w:p w14:paraId="58E5F184"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6,5</w:t>
            </w:r>
          </w:p>
        </w:tc>
      </w:tr>
      <w:tr w:rsidR="004D07CB" w:rsidRPr="00B92B22" w14:paraId="71E585BE" w14:textId="7777777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2C12770A" w14:textId="77777777" w:rsidR="004D07CB" w:rsidRPr="00EF1FD3" w:rsidRDefault="2A85B581" w:rsidP="469479B5">
            <w:pPr>
              <w:spacing w:before="20" w:after="20"/>
              <w:jc w:val="center"/>
              <w:rPr>
                <w:rFonts w:eastAsia="Times New Roman" w:cs="Times New Roman"/>
                <w:b w:val="0"/>
                <w:bCs w:val="0"/>
                <w:color w:val="000000" w:themeColor="text1"/>
                <w:sz w:val="20"/>
                <w:szCs w:val="20"/>
              </w:rPr>
            </w:pPr>
            <w:r w:rsidRPr="00EF1FD3">
              <w:rPr>
                <w:rFonts w:eastAsia="Times New Roman" w:cs="Times New Roman"/>
                <w:color w:val="000000" w:themeColor="text1"/>
                <w:sz w:val="20"/>
                <w:szCs w:val="20"/>
              </w:rPr>
              <w:t>2020</w:t>
            </w:r>
          </w:p>
        </w:tc>
        <w:tc>
          <w:tcPr>
            <w:tcW w:w="1633" w:type="dxa"/>
          </w:tcPr>
          <w:p w14:paraId="5B6D9452"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136,2</w:t>
            </w:r>
          </w:p>
        </w:tc>
        <w:tc>
          <w:tcPr>
            <w:tcW w:w="1633" w:type="dxa"/>
          </w:tcPr>
          <w:p w14:paraId="15DFF7E4"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111,6</w:t>
            </w:r>
          </w:p>
        </w:tc>
        <w:tc>
          <w:tcPr>
            <w:tcW w:w="1634" w:type="dxa"/>
          </w:tcPr>
          <w:p w14:paraId="4C35A119"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111,5</w:t>
            </w:r>
          </w:p>
        </w:tc>
        <w:tc>
          <w:tcPr>
            <w:tcW w:w="1634" w:type="dxa"/>
          </w:tcPr>
          <w:p w14:paraId="4072098F"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0,1</w:t>
            </w:r>
          </w:p>
        </w:tc>
      </w:tr>
      <w:tr w:rsidR="004D07CB" w:rsidRPr="00B92B22" w14:paraId="38F55974" w14:textId="77777777" w:rsidTr="469479B5">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0D48BF37" w14:textId="77777777" w:rsidR="004D07CB" w:rsidRPr="00EF1FD3" w:rsidRDefault="2A85B581" w:rsidP="469479B5">
            <w:pPr>
              <w:spacing w:before="20" w:after="20"/>
              <w:jc w:val="center"/>
              <w:rPr>
                <w:rFonts w:eastAsia="Times New Roman" w:cs="Times New Roman"/>
                <w:b w:val="0"/>
                <w:bCs w:val="0"/>
                <w:color w:val="000000" w:themeColor="text1"/>
                <w:sz w:val="20"/>
                <w:szCs w:val="20"/>
              </w:rPr>
            </w:pPr>
            <w:r w:rsidRPr="00EF1FD3">
              <w:rPr>
                <w:rFonts w:eastAsia="Times New Roman" w:cs="Times New Roman"/>
                <w:color w:val="000000" w:themeColor="text1"/>
                <w:sz w:val="20"/>
                <w:szCs w:val="20"/>
              </w:rPr>
              <w:t>2021</w:t>
            </w:r>
          </w:p>
        </w:tc>
        <w:tc>
          <w:tcPr>
            <w:tcW w:w="1633" w:type="dxa"/>
          </w:tcPr>
          <w:p w14:paraId="3ADC57C1"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573,4</w:t>
            </w:r>
          </w:p>
        </w:tc>
        <w:tc>
          <w:tcPr>
            <w:tcW w:w="1633" w:type="dxa"/>
          </w:tcPr>
          <w:p w14:paraId="321F587D"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351,6</w:t>
            </w:r>
          </w:p>
        </w:tc>
        <w:tc>
          <w:tcPr>
            <w:tcW w:w="1634" w:type="dxa"/>
          </w:tcPr>
          <w:p w14:paraId="779270EC"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351,6</w:t>
            </w:r>
          </w:p>
        </w:tc>
        <w:tc>
          <w:tcPr>
            <w:tcW w:w="1634" w:type="dxa"/>
          </w:tcPr>
          <w:p w14:paraId="480312CF" w14:textId="77777777" w:rsidR="004D07CB" w:rsidRPr="00EF1FD3"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0,0</w:t>
            </w:r>
          </w:p>
        </w:tc>
      </w:tr>
      <w:tr w:rsidR="004D07CB" w:rsidRPr="00B92B22" w14:paraId="2A784A19" w14:textId="7777777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37759135" w14:textId="77777777" w:rsidR="004D07CB" w:rsidRPr="00EF1FD3" w:rsidRDefault="2A85B581" w:rsidP="469479B5">
            <w:pPr>
              <w:spacing w:before="20" w:after="20"/>
              <w:jc w:val="center"/>
              <w:rPr>
                <w:rFonts w:eastAsia="Times New Roman" w:cs="Times New Roman"/>
                <w:b w:val="0"/>
                <w:bCs w:val="0"/>
                <w:color w:val="000000" w:themeColor="text1"/>
                <w:sz w:val="20"/>
                <w:szCs w:val="20"/>
              </w:rPr>
            </w:pPr>
            <w:r w:rsidRPr="00EF1FD3">
              <w:rPr>
                <w:rFonts w:eastAsia="Times New Roman" w:cs="Times New Roman"/>
                <w:color w:val="000000" w:themeColor="text1"/>
                <w:sz w:val="20"/>
                <w:szCs w:val="20"/>
              </w:rPr>
              <w:t>2022</w:t>
            </w:r>
          </w:p>
        </w:tc>
        <w:tc>
          <w:tcPr>
            <w:tcW w:w="1633" w:type="dxa"/>
          </w:tcPr>
          <w:p w14:paraId="34505E78"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586,1</w:t>
            </w:r>
          </w:p>
        </w:tc>
        <w:tc>
          <w:tcPr>
            <w:tcW w:w="1633" w:type="dxa"/>
          </w:tcPr>
          <w:p w14:paraId="0A44EEA0"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255,1</w:t>
            </w:r>
          </w:p>
        </w:tc>
        <w:tc>
          <w:tcPr>
            <w:tcW w:w="1634" w:type="dxa"/>
          </w:tcPr>
          <w:p w14:paraId="1183191D"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164,1</w:t>
            </w:r>
          </w:p>
        </w:tc>
        <w:tc>
          <w:tcPr>
            <w:tcW w:w="1634" w:type="dxa"/>
          </w:tcPr>
          <w:p w14:paraId="6D672EB8" w14:textId="77777777" w:rsidR="004D07CB" w:rsidRPr="00EF1FD3"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rPr>
            </w:pPr>
            <w:r w:rsidRPr="00EF1FD3">
              <w:rPr>
                <w:rFonts w:eastAsia="Times New Roman" w:cs="Times New Roman"/>
                <w:color w:val="000000" w:themeColor="text1"/>
                <w:sz w:val="20"/>
                <w:szCs w:val="20"/>
              </w:rPr>
              <w:t>91,0</w:t>
            </w:r>
          </w:p>
        </w:tc>
      </w:tr>
      <w:tr w:rsidR="004D07CB" w:rsidRPr="00B92B22" w14:paraId="13B0AF7D" w14:textId="77777777" w:rsidTr="00B06F79">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63BF614B" w14:textId="77777777" w:rsidR="004D07CB" w:rsidRPr="00826C80" w:rsidRDefault="2A85B581" w:rsidP="469479B5">
            <w:pPr>
              <w:spacing w:before="20" w:after="20"/>
              <w:jc w:val="center"/>
              <w:rPr>
                <w:rFonts w:eastAsia="Times New Roman" w:cs="Times New Roman"/>
                <w:color w:val="000000" w:themeColor="text1"/>
                <w:sz w:val="20"/>
                <w:szCs w:val="20"/>
              </w:rPr>
            </w:pPr>
            <w:r w:rsidRPr="00826C80">
              <w:rPr>
                <w:rFonts w:eastAsia="Times New Roman" w:cs="Times New Roman"/>
                <w:color w:val="000000" w:themeColor="text1"/>
                <w:sz w:val="20"/>
                <w:szCs w:val="20"/>
              </w:rPr>
              <w:t>2023</w:t>
            </w:r>
          </w:p>
        </w:tc>
        <w:tc>
          <w:tcPr>
            <w:tcW w:w="1633" w:type="dxa"/>
            <w:vAlign w:val="bottom"/>
          </w:tcPr>
          <w:p w14:paraId="40046DA3" w14:textId="77777777" w:rsidR="004D07CB" w:rsidRPr="00826C80"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407,6</w:t>
            </w:r>
          </w:p>
        </w:tc>
        <w:tc>
          <w:tcPr>
            <w:tcW w:w="1633" w:type="dxa"/>
            <w:vAlign w:val="bottom"/>
          </w:tcPr>
          <w:p w14:paraId="04EED591" w14:textId="77777777" w:rsidR="004D07CB" w:rsidRPr="00826C80"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406,6</w:t>
            </w:r>
          </w:p>
        </w:tc>
        <w:tc>
          <w:tcPr>
            <w:tcW w:w="1634" w:type="dxa"/>
            <w:vAlign w:val="bottom"/>
          </w:tcPr>
          <w:p w14:paraId="5983DCDD" w14:textId="77777777" w:rsidR="004D07CB" w:rsidRPr="00826C80"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376,8</w:t>
            </w:r>
          </w:p>
        </w:tc>
        <w:tc>
          <w:tcPr>
            <w:tcW w:w="1634" w:type="dxa"/>
            <w:vAlign w:val="bottom"/>
          </w:tcPr>
          <w:p w14:paraId="32BCE52D" w14:textId="77777777" w:rsidR="004D07CB" w:rsidRPr="00826C80"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29,8</w:t>
            </w:r>
          </w:p>
        </w:tc>
      </w:tr>
      <w:tr w:rsidR="00B92B22" w:rsidRPr="00B92B22" w14:paraId="4E9C3725" w14:textId="77777777" w:rsidTr="00B06F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2E57224A" w14:textId="01057B5F" w:rsidR="00B92B22" w:rsidRPr="00826C80" w:rsidRDefault="00B92B22" w:rsidP="00B92B22">
            <w:pPr>
              <w:spacing w:before="20" w:after="20"/>
              <w:jc w:val="center"/>
              <w:rPr>
                <w:rFonts w:eastAsia="Times New Roman" w:cs="Times New Roman"/>
                <w:color w:val="000000" w:themeColor="text1"/>
                <w:sz w:val="20"/>
                <w:szCs w:val="20"/>
              </w:rPr>
            </w:pPr>
            <w:r w:rsidRPr="00826C80">
              <w:rPr>
                <w:rFonts w:eastAsia="Times New Roman" w:cs="Times New Roman"/>
                <w:color w:val="000000" w:themeColor="text1"/>
                <w:sz w:val="20"/>
                <w:szCs w:val="20"/>
              </w:rPr>
              <w:t>2024</w:t>
            </w:r>
          </w:p>
        </w:tc>
        <w:tc>
          <w:tcPr>
            <w:tcW w:w="1633" w:type="dxa"/>
            <w:vAlign w:val="bottom"/>
          </w:tcPr>
          <w:p w14:paraId="5FCB2E2C" w14:textId="0D906E97" w:rsidR="00B92B22" w:rsidRPr="00826C80" w:rsidRDefault="00B92B22" w:rsidP="00B92B22">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92B22">
              <w:rPr>
                <w:rFonts w:eastAsia="Times New Roman" w:cs="Times New Roman"/>
                <w:color w:val="000000" w:themeColor="text1"/>
                <w:sz w:val="20"/>
                <w:szCs w:val="20"/>
              </w:rPr>
              <w:t>1145,7</w:t>
            </w:r>
          </w:p>
        </w:tc>
        <w:tc>
          <w:tcPr>
            <w:tcW w:w="1633" w:type="dxa"/>
            <w:vAlign w:val="bottom"/>
          </w:tcPr>
          <w:p w14:paraId="10B73E28" w14:textId="78EF44DC" w:rsidR="00B92B22" w:rsidRPr="00826C80" w:rsidRDefault="00B92B22" w:rsidP="00B92B22">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92B22">
              <w:rPr>
                <w:rFonts w:eastAsia="Times New Roman" w:cs="Times New Roman"/>
                <w:color w:val="000000" w:themeColor="text1"/>
                <w:sz w:val="20"/>
                <w:szCs w:val="20"/>
              </w:rPr>
              <w:t>437,8</w:t>
            </w:r>
          </w:p>
        </w:tc>
        <w:tc>
          <w:tcPr>
            <w:tcW w:w="1634" w:type="dxa"/>
            <w:vAlign w:val="bottom"/>
          </w:tcPr>
          <w:p w14:paraId="60D834C9" w14:textId="0E3199FF" w:rsidR="00B92B22" w:rsidRPr="00826C80" w:rsidRDefault="00B92B22" w:rsidP="00B92B22">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92B22">
              <w:rPr>
                <w:rFonts w:eastAsia="Times New Roman" w:cs="Times New Roman"/>
                <w:color w:val="000000" w:themeColor="text1"/>
                <w:sz w:val="20"/>
                <w:szCs w:val="20"/>
              </w:rPr>
              <w:t>420,4</w:t>
            </w:r>
          </w:p>
        </w:tc>
        <w:tc>
          <w:tcPr>
            <w:tcW w:w="1634" w:type="dxa"/>
            <w:vAlign w:val="bottom"/>
          </w:tcPr>
          <w:p w14:paraId="616DDBF5" w14:textId="1FED78AC" w:rsidR="00B92B22" w:rsidRPr="00826C80" w:rsidRDefault="00B92B22" w:rsidP="00B92B22">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92B22">
              <w:rPr>
                <w:rFonts w:eastAsia="Times New Roman" w:cs="Times New Roman"/>
                <w:color w:val="000000" w:themeColor="text1"/>
                <w:sz w:val="20"/>
                <w:szCs w:val="20"/>
              </w:rPr>
              <w:t>17,5</w:t>
            </w:r>
          </w:p>
        </w:tc>
      </w:tr>
    </w:tbl>
    <w:p w14:paraId="4C4FF6CB" w14:textId="77777777" w:rsidR="00631168" w:rsidRPr="00883EE7" w:rsidRDefault="00631168" w:rsidP="00497710">
      <w:pPr>
        <w:spacing w:after="0" w:line="240" w:lineRule="auto"/>
        <w:jc w:val="both"/>
        <w:rPr>
          <w:rFonts w:ascii="Times New Roman" w:hAnsi="Times New Roman"/>
          <w:color w:val="000000" w:themeColor="text1"/>
          <w:sz w:val="24"/>
          <w:szCs w:val="24"/>
          <w:highlight w:val="yellow"/>
        </w:rPr>
      </w:pPr>
    </w:p>
    <w:p w14:paraId="6F93B894" w14:textId="0B641127" w:rsidR="00F474E2" w:rsidRPr="004D07CB" w:rsidRDefault="00631168" w:rsidP="00E252EB">
      <w:pPr>
        <w:spacing w:after="240" w:line="240" w:lineRule="auto"/>
        <w:ind w:firstLine="720"/>
        <w:jc w:val="both"/>
        <w:rPr>
          <w:rFonts w:ascii="Times New Roman" w:hAnsi="Times New Roman" w:cs="Times New Roman"/>
          <w:color w:val="000000" w:themeColor="text1"/>
          <w:sz w:val="24"/>
          <w:szCs w:val="24"/>
        </w:rPr>
      </w:pPr>
      <w:r w:rsidRPr="004D07CB">
        <w:rPr>
          <w:rFonts w:ascii="Times New Roman" w:eastAsiaTheme="minorHAnsi" w:hAnsi="Times New Roman"/>
          <w:bCs/>
          <w:iCs/>
          <w:color w:val="000000" w:themeColor="text1"/>
          <w:sz w:val="24"/>
        </w:rPr>
        <w:t xml:space="preserve">Lai iegūtu pilnīgu ainu par fiskālā riska iestāšanos, tiek novērtēts, ņemot vērā papildus budžeta finansētos </w:t>
      </w:r>
      <w:r w:rsidRPr="004D07CB">
        <w:rPr>
          <w:rFonts w:ascii="Times New Roman" w:hAnsi="Times New Roman" w:cs="Times New Roman"/>
          <w:color w:val="000000" w:themeColor="text1"/>
          <w:sz w:val="24"/>
          <w:szCs w:val="24"/>
        </w:rPr>
        <w:t>klimata pārmaiņu un emisijas kvotu izsolīšanas instrumenta projektus, vai pietiekošā apjomā 80.</w:t>
      </w:r>
      <w:r w:rsidR="005145AD">
        <w:rPr>
          <w:rFonts w:ascii="Times New Roman" w:hAnsi="Times New Roman" w:cs="Times New Roman"/>
          <w:color w:val="000000" w:themeColor="text1"/>
          <w:sz w:val="24"/>
          <w:szCs w:val="24"/>
        </w:rPr>
        <w:t xml:space="preserve"> </w:t>
      </w:r>
      <w:r w:rsidRPr="004D07CB">
        <w:rPr>
          <w:rFonts w:ascii="Times New Roman" w:hAnsi="Times New Roman" w:cs="Times New Roman"/>
          <w:color w:val="000000" w:themeColor="text1"/>
          <w:sz w:val="24"/>
          <w:szCs w:val="24"/>
        </w:rPr>
        <w:t>programmā tika ieplānots budžeta līdzfinansējums. Tabulā Nr.</w:t>
      </w:r>
      <w:r w:rsidR="004A682A" w:rsidRPr="004D07CB">
        <w:rPr>
          <w:rFonts w:ascii="Times New Roman" w:hAnsi="Times New Roman" w:cs="Times New Roman"/>
          <w:color w:val="000000" w:themeColor="text1"/>
          <w:sz w:val="24"/>
          <w:szCs w:val="24"/>
        </w:rPr>
        <w:t>2.6.3</w:t>
      </w:r>
      <w:r w:rsidRPr="004D07CB">
        <w:rPr>
          <w:rFonts w:ascii="Times New Roman" w:hAnsi="Times New Roman" w:cs="Times New Roman"/>
          <w:color w:val="000000" w:themeColor="text1"/>
          <w:sz w:val="24"/>
          <w:szCs w:val="24"/>
        </w:rPr>
        <w:t xml:space="preserve"> ir norādīts kopējais valsts budžeta finansējums, kas bija nepieciešamas </w:t>
      </w:r>
      <w:r w:rsidR="00B92B22" w:rsidRPr="469479B5">
        <w:rPr>
          <w:rFonts w:ascii="Times New Roman" w:hAnsi="Times New Roman"/>
          <w:sz w:val="24"/>
          <w:szCs w:val="24"/>
        </w:rPr>
        <w:t>ES politiku instrumentu un citu ĀFP programmu</w:t>
      </w:r>
      <w:r w:rsidR="00B92B22" w:rsidRPr="004D07CB" w:rsidDel="00FF51B2">
        <w:rPr>
          <w:rFonts w:ascii="Times New Roman" w:hAnsi="Times New Roman" w:cs="Times New Roman"/>
          <w:color w:val="000000" w:themeColor="text1"/>
          <w:sz w:val="24"/>
          <w:szCs w:val="24"/>
        </w:rPr>
        <w:t xml:space="preserve"> </w:t>
      </w:r>
      <w:r w:rsidRPr="004D07CB">
        <w:rPr>
          <w:rFonts w:ascii="Times New Roman" w:hAnsi="Times New Roman" w:cs="Times New Roman"/>
          <w:color w:val="000000" w:themeColor="text1"/>
          <w:sz w:val="24"/>
          <w:szCs w:val="24"/>
        </w:rPr>
        <w:t>īstenošanai, kā arī finansējums, kas tika pārdalīts uz valsts budžeta finansētajiem klimata pārmaiņu un emisijas kvotu izsolīšanas instrumenta projektiem.</w:t>
      </w:r>
    </w:p>
    <w:p w14:paraId="69729AC2" w14:textId="3C6AA620" w:rsidR="00631168" w:rsidRPr="004D07CB" w:rsidRDefault="00631168" w:rsidP="008921AF">
      <w:pPr>
        <w:spacing w:line="240" w:lineRule="auto"/>
        <w:jc w:val="right"/>
        <w:rPr>
          <w:rFonts w:ascii="Times New Roman" w:eastAsiaTheme="minorHAnsi" w:hAnsi="Times New Roman"/>
          <w:b/>
          <w:i/>
          <w:color w:val="000000" w:themeColor="text1"/>
          <w:sz w:val="24"/>
        </w:rPr>
      </w:pPr>
      <w:r w:rsidRPr="004D07CB">
        <w:rPr>
          <w:rFonts w:ascii="Times New Roman" w:eastAsiaTheme="minorHAnsi" w:hAnsi="Times New Roman"/>
          <w:b/>
          <w:color w:val="000000" w:themeColor="text1"/>
          <w:sz w:val="24"/>
        </w:rPr>
        <w:t>Tabula Nr.</w:t>
      </w:r>
      <w:r w:rsidR="004A682A" w:rsidRPr="004D07CB">
        <w:rPr>
          <w:rFonts w:ascii="Times New Roman" w:eastAsiaTheme="minorHAnsi" w:hAnsi="Times New Roman"/>
          <w:b/>
          <w:color w:val="000000" w:themeColor="text1"/>
          <w:sz w:val="24"/>
        </w:rPr>
        <w:t>2.6.3</w:t>
      </w:r>
      <w:r w:rsidRPr="004D07CB">
        <w:rPr>
          <w:rFonts w:ascii="Times New Roman" w:eastAsiaTheme="minorHAnsi" w:hAnsi="Times New Roman"/>
          <w:b/>
          <w:color w:val="000000" w:themeColor="text1"/>
          <w:sz w:val="24"/>
        </w:rPr>
        <w:t xml:space="preserve"> Valsts budžeta līdzfinansējums </w:t>
      </w:r>
      <w:r w:rsidR="00B92B22" w:rsidRPr="009A2E0A">
        <w:rPr>
          <w:rFonts w:ascii="Times New Roman" w:hAnsi="Times New Roman"/>
          <w:b/>
          <w:bCs/>
          <w:sz w:val="24"/>
          <w:szCs w:val="24"/>
        </w:rPr>
        <w:t>ES politiku instrumentu un citu ĀFP programmu</w:t>
      </w:r>
      <w:r w:rsidR="00B92B22" w:rsidRPr="004D07CB">
        <w:rPr>
          <w:rFonts w:ascii="Times New Roman" w:eastAsiaTheme="minorHAnsi" w:hAnsi="Times New Roman"/>
          <w:b/>
          <w:color w:val="000000" w:themeColor="text1"/>
          <w:sz w:val="24"/>
        </w:rPr>
        <w:t xml:space="preserve"> </w:t>
      </w:r>
      <w:r w:rsidRPr="004D07CB">
        <w:rPr>
          <w:rFonts w:ascii="Times New Roman" w:eastAsiaTheme="minorHAnsi" w:hAnsi="Times New Roman"/>
          <w:b/>
          <w:color w:val="000000" w:themeColor="text1"/>
          <w:sz w:val="24"/>
        </w:rPr>
        <w:t>īstenošanai</w:t>
      </w:r>
      <w:r w:rsidR="00B92B22">
        <w:rPr>
          <w:rFonts w:ascii="Times New Roman" w:eastAsiaTheme="minorHAnsi" w:hAnsi="Times New Roman"/>
          <w:b/>
          <w:color w:val="000000" w:themeColor="text1"/>
          <w:sz w:val="24"/>
        </w:rPr>
        <w:t>, kā arī</w:t>
      </w:r>
      <w:r w:rsidRPr="004D07CB">
        <w:rPr>
          <w:rFonts w:ascii="Times New Roman" w:eastAsiaTheme="minorHAnsi" w:hAnsi="Times New Roman"/>
          <w:b/>
          <w:color w:val="000000" w:themeColor="text1"/>
          <w:sz w:val="24"/>
        </w:rPr>
        <w:t xml:space="preserve"> </w:t>
      </w:r>
      <w:r w:rsidRPr="004D07CB">
        <w:rPr>
          <w:rFonts w:ascii="Times New Roman" w:hAnsi="Times New Roman" w:cs="Times New Roman"/>
          <w:b/>
          <w:color w:val="000000" w:themeColor="text1"/>
          <w:sz w:val="24"/>
          <w:szCs w:val="24"/>
        </w:rPr>
        <w:t>klimata pārmaiņu un emisijas kvotu izsolīšanas instrumenta projektiem</w:t>
      </w:r>
      <w:r w:rsidRPr="004D07CB">
        <w:rPr>
          <w:rFonts w:ascii="Times New Roman" w:eastAsiaTheme="minorHAnsi" w:hAnsi="Times New Roman"/>
          <w:b/>
          <w:color w:val="000000" w:themeColor="text1"/>
          <w:sz w:val="24"/>
        </w:rPr>
        <w:t xml:space="preserve">, milj. </w:t>
      </w:r>
      <w:r w:rsidRPr="004D07CB">
        <w:rPr>
          <w:rFonts w:ascii="Times New Roman" w:eastAsiaTheme="minorHAnsi" w:hAnsi="Times New Roman"/>
          <w:b/>
          <w:i/>
          <w:color w:val="000000" w:themeColor="text1"/>
          <w:sz w:val="24"/>
        </w:rPr>
        <w:t>euro</w:t>
      </w:r>
    </w:p>
    <w:tbl>
      <w:tblPr>
        <w:tblStyle w:val="GridTable6Colorful-Accent11"/>
        <w:tblW w:w="0" w:type="auto"/>
        <w:tblLayout w:type="fixed"/>
        <w:tblLook w:val="04A0" w:firstRow="1" w:lastRow="0" w:firstColumn="1" w:lastColumn="0" w:noHBand="0" w:noVBand="1"/>
      </w:tblPr>
      <w:tblGrid>
        <w:gridCol w:w="851"/>
        <w:gridCol w:w="2268"/>
        <w:gridCol w:w="2268"/>
        <w:gridCol w:w="2268"/>
        <w:gridCol w:w="2268"/>
      </w:tblGrid>
      <w:tr w:rsidR="004D07CB" w:rsidRPr="00B92B22" w14:paraId="656F1DF7" w14:textId="77777777" w:rsidTr="00E252EB">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0" w:type="dxa"/>
            <w:gridSpan w:val="2"/>
            <w:vAlign w:val="center"/>
          </w:tcPr>
          <w:p w14:paraId="379FB3D5" w14:textId="77777777" w:rsidR="004D07CB" w:rsidRPr="00BF317F" w:rsidRDefault="2A85B581" w:rsidP="008921AF">
            <w:pPr>
              <w:jc w:val="center"/>
              <w:rPr>
                <w:rFonts w:eastAsia="Times New Roman" w:cs="Times New Roman"/>
                <w:b w:val="0"/>
                <w:bCs w:val="0"/>
                <w:color w:val="000000"/>
                <w:sz w:val="20"/>
                <w:szCs w:val="20"/>
              </w:rPr>
            </w:pPr>
            <w:r w:rsidRPr="00BF317F">
              <w:rPr>
                <w:rFonts w:eastAsia="Times New Roman" w:cs="Times New Roman"/>
                <w:color w:val="000000" w:themeColor="text1"/>
                <w:sz w:val="20"/>
                <w:szCs w:val="20"/>
              </w:rPr>
              <w:t>Gads/rādītājs</w:t>
            </w:r>
          </w:p>
        </w:tc>
        <w:tc>
          <w:tcPr>
            <w:tcW w:w="0" w:type="dxa"/>
            <w:vAlign w:val="center"/>
          </w:tcPr>
          <w:p w14:paraId="04C2CE2C" w14:textId="77777777" w:rsidR="004D07CB" w:rsidRPr="00BF317F" w:rsidRDefault="2A85B581" w:rsidP="008921A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rPr>
            </w:pPr>
            <w:r w:rsidRPr="00BF317F">
              <w:rPr>
                <w:rFonts w:eastAsia="Times New Roman" w:cs="Times New Roman"/>
                <w:color w:val="000000" w:themeColor="text1"/>
                <w:sz w:val="20"/>
                <w:szCs w:val="20"/>
              </w:rPr>
              <w:t>Valsts budžeta līdzfinansējums</w:t>
            </w:r>
          </w:p>
        </w:tc>
        <w:tc>
          <w:tcPr>
            <w:tcW w:w="0" w:type="dxa"/>
            <w:vAlign w:val="center"/>
          </w:tcPr>
          <w:p w14:paraId="406C0EA7" w14:textId="77777777" w:rsidR="004D07CB" w:rsidRPr="00BF317F" w:rsidRDefault="2A85B581" w:rsidP="008921A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rPr>
            </w:pPr>
            <w:r w:rsidRPr="00BF317F">
              <w:rPr>
                <w:rFonts w:eastAsia="Times New Roman" w:cs="Times New Roman"/>
                <w:color w:val="000000" w:themeColor="text1"/>
                <w:sz w:val="20"/>
                <w:szCs w:val="20"/>
              </w:rPr>
              <w:t>Pārdalītais finansējums citu projektu un pasākumu īstenošanai</w:t>
            </w:r>
          </w:p>
        </w:tc>
        <w:tc>
          <w:tcPr>
            <w:tcW w:w="0" w:type="dxa"/>
            <w:vAlign w:val="center"/>
          </w:tcPr>
          <w:p w14:paraId="0C7AFE01" w14:textId="77777777" w:rsidR="004D07CB" w:rsidRPr="00BF317F" w:rsidRDefault="2A85B581" w:rsidP="008921A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F317F">
              <w:rPr>
                <w:rFonts w:eastAsia="Times New Roman" w:cs="Times New Roman"/>
                <w:color w:val="000000" w:themeColor="text1"/>
                <w:sz w:val="20"/>
                <w:szCs w:val="20"/>
              </w:rPr>
              <w:t>Kopējie valsts budžeta izdevumi</w:t>
            </w:r>
          </w:p>
        </w:tc>
      </w:tr>
      <w:tr w:rsidR="004668AA" w:rsidRPr="00B92B22" w14:paraId="37381062"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72DD7002" w14:textId="77777777" w:rsidR="004D07CB" w:rsidRPr="00BF317F" w:rsidRDefault="2A85B581" w:rsidP="00F474E2">
            <w:pPr>
              <w:spacing w:after="120"/>
              <w:jc w:val="center"/>
              <w:rPr>
                <w:rFonts w:eastAsia="Times New Roman" w:cs="Times New Roman"/>
                <w:color w:val="000000" w:themeColor="text1"/>
                <w:sz w:val="20"/>
                <w:szCs w:val="20"/>
              </w:rPr>
            </w:pPr>
            <w:r w:rsidRPr="00BF317F">
              <w:rPr>
                <w:rFonts w:eastAsia="Times New Roman" w:cs="Times New Roman"/>
                <w:color w:val="000000" w:themeColor="text1"/>
                <w:sz w:val="20"/>
                <w:szCs w:val="20"/>
              </w:rPr>
              <w:t>2014</w:t>
            </w:r>
          </w:p>
        </w:tc>
        <w:tc>
          <w:tcPr>
            <w:tcW w:w="2268" w:type="dxa"/>
          </w:tcPr>
          <w:p w14:paraId="341EF06B" w14:textId="77777777" w:rsidR="004D07CB" w:rsidRPr="00BF317F"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Plāns</w:t>
            </w:r>
          </w:p>
        </w:tc>
        <w:tc>
          <w:tcPr>
            <w:tcW w:w="2268" w:type="dxa"/>
            <w:vAlign w:val="bottom"/>
          </w:tcPr>
          <w:p w14:paraId="21F9FDBB"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204,2</w:t>
            </w:r>
          </w:p>
        </w:tc>
        <w:tc>
          <w:tcPr>
            <w:tcW w:w="2268" w:type="dxa"/>
            <w:vAlign w:val="bottom"/>
          </w:tcPr>
          <w:p w14:paraId="0E87C601"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vAlign w:val="bottom"/>
          </w:tcPr>
          <w:p w14:paraId="09C3CA64"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204,2</w:t>
            </w:r>
          </w:p>
        </w:tc>
      </w:tr>
      <w:tr w:rsidR="004668AA" w:rsidRPr="00B92B22" w14:paraId="6AD882D5"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7CD93FF6" w14:textId="77777777" w:rsidR="004D07CB" w:rsidRPr="00826C80" w:rsidRDefault="004D07CB" w:rsidP="00F474E2">
            <w:pPr>
              <w:spacing w:after="120"/>
              <w:jc w:val="center"/>
              <w:rPr>
                <w:rFonts w:cs="Times New Roman"/>
                <w:color w:val="000000" w:themeColor="text1"/>
                <w:sz w:val="20"/>
                <w:szCs w:val="20"/>
              </w:rPr>
            </w:pPr>
          </w:p>
        </w:tc>
        <w:tc>
          <w:tcPr>
            <w:tcW w:w="0" w:type="dxa"/>
          </w:tcPr>
          <w:p w14:paraId="3577C1B2" w14:textId="77777777" w:rsidR="004D07CB" w:rsidRPr="00826C80"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Izpilde</w:t>
            </w:r>
          </w:p>
        </w:tc>
        <w:tc>
          <w:tcPr>
            <w:tcW w:w="0" w:type="dxa"/>
            <w:vAlign w:val="bottom"/>
          </w:tcPr>
          <w:p w14:paraId="4E4E90EC" w14:textId="77777777" w:rsidR="004D07CB" w:rsidRPr="00826C80"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224,6</w:t>
            </w:r>
          </w:p>
        </w:tc>
        <w:tc>
          <w:tcPr>
            <w:tcW w:w="2268" w:type="dxa"/>
            <w:vAlign w:val="bottom"/>
          </w:tcPr>
          <w:p w14:paraId="371A7D9C" w14:textId="77777777" w:rsidR="004D07CB" w:rsidRPr="00826C80"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16,8</w:t>
            </w:r>
          </w:p>
        </w:tc>
        <w:tc>
          <w:tcPr>
            <w:tcW w:w="2268" w:type="dxa"/>
            <w:vAlign w:val="bottom"/>
          </w:tcPr>
          <w:p w14:paraId="0E519547" w14:textId="77777777" w:rsidR="004D07CB" w:rsidRPr="00826C80"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241,4</w:t>
            </w:r>
          </w:p>
        </w:tc>
      </w:tr>
      <w:tr w:rsidR="004668AA" w:rsidRPr="00B92B22" w14:paraId="45968422"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0F200E82" w14:textId="77777777" w:rsidR="004D07CB" w:rsidRPr="00826C80" w:rsidRDefault="004D07CB" w:rsidP="00F474E2">
            <w:pPr>
              <w:spacing w:after="120"/>
              <w:jc w:val="center"/>
              <w:rPr>
                <w:rFonts w:cs="Times New Roman"/>
                <w:color w:val="000000" w:themeColor="text1"/>
                <w:sz w:val="20"/>
                <w:szCs w:val="20"/>
              </w:rPr>
            </w:pPr>
          </w:p>
        </w:tc>
        <w:tc>
          <w:tcPr>
            <w:tcW w:w="2268" w:type="dxa"/>
          </w:tcPr>
          <w:p w14:paraId="5BD93EB5" w14:textId="77777777" w:rsidR="004D07CB" w:rsidRPr="00826C80"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Novirze no plāna %</w:t>
            </w:r>
          </w:p>
        </w:tc>
        <w:tc>
          <w:tcPr>
            <w:tcW w:w="2268" w:type="dxa"/>
            <w:vAlign w:val="bottom"/>
          </w:tcPr>
          <w:p w14:paraId="38478969"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10,0%</w:t>
            </w:r>
          </w:p>
        </w:tc>
        <w:tc>
          <w:tcPr>
            <w:tcW w:w="2268" w:type="dxa"/>
            <w:vAlign w:val="bottom"/>
          </w:tcPr>
          <w:p w14:paraId="2B6F4AF3"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 </w:t>
            </w:r>
          </w:p>
        </w:tc>
        <w:tc>
          <w:tcPr>
            <w:tcW w:w="2268" w:type="dxa"/>
            <w:vAlign w:val="bottom"/>
          </w:tcPr>
          <w:p w14:paraId="679B22E4"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18,2%</w:t>
            </w:r>
          </w:p>
        </w:tc>
      </w:tr>
      <w:tr w:rsidR="004668AA" w:rsidRPr="00B92B22" w14:paraId="7BCB842C"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3A57D721" w14:textId="77777777" w:rsidR="004D07CB" w:rsidRPr="00BF317F" w:rsidRDefault="2A85B581" w:rsidP="00F474E2">
            <w:pPr>
              <w:spacing w:after="120"/>
              <w:jc w:val="center"/>
              <w:rPr>
                <w:rFonts w:eastAsia="Times New Roman" w:cs="Times New Roman"/>
                <w:color w:val="000000" w:themeColor="text1"/>
                <w:sz w:val="20"/>
                <w:szCs w:val="20"/>
              </w:rPr>
            </w:pPr>
            <w:r w:rsidRPr="00BF317F">
              <w:rPr>
                <w:rFonts w:eastAsia="Times New Roman" w:cs="Times New Roman"/>
                <w:color w:val="000000" w:themeColor="text1"/>
                <w:sz w:val="20"/>
                <w:szCs w:val="20"/>
              </w:rPr>
              <w:t>2015</w:t>
            </w:r>
          </w:p>
        </w:tc>
        <w:tc>
          <w:tcPr>
            <w:tcW w:w="0" w:type="dxa"/>
          </w:tcPr>
          <w:p w14:paraId="56E4F177"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Plāns</w:t>
            </w:r>
          </w:p>
        </w:tc>
        <w:tc>
          <w:tcPr>
            <w:tcW w:w="0" w:type="dxa"/>
            <w:vAlign w:val="bottom"/>
          </w:tcPr>
          <w:p w14:paraId="28105253"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172,9</w:t>
            </w:r>
          </w:p>
        </w:tc>
        <w:tc>
          <w:tcPr>
            <w:tcW w:w="2268" w:type="dxa"/>
            <w:vAlign w:val="bottom"/>
          </w:tcPr>
          <w:p w14:paraId="153309CE"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vAlign w:val="bottom"/>
          </w:tcPr>
          <w:p w14:paraId="620BDA88"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172,9</w:t>
            </w:r>
          </w:p>
        </w:tc>
      </w:tr>
      <w:tr w:rsidR="004668AA" w:rsidRPr="00B92B22" w14:paraId="1FFC92AA"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499A73FC" w14:textId="77777777" w:rsidR="004D07CB" w:rsidRPr="00826C80" w:rsidRDefault="004D07CB" w:rsidP="00F474E2">
            <w:pPr>
              <w:spacing w:after="120"/>
              <w:jc w:val="center"/>
              <w:rPr>
                <w:rFonts w:cs="Times New Roman"/>
                <w:color w:val="000000" w:themeColor="text1"/>
                <w:sz w:val="20"/>
                <w:szCs w:val="20"/>
              </w:rPr>
            </w:pPr>
          </w:p>
        </w:tc>
        <w:tc>
          <w:tcPr>
            <w:tcW w:w="2268" w:type="dxa"/>
          </w:tcPr>
          <w:p w14:paraId="456068E2" w14:textId="77777777" w:rsidR="004D07CB" w:rsidRPr="00826C80"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Izpilde</w:t>
            </w:r>
          </w:p>
        </w:tc>
        <w:tc>
          <w:tcPr>
            <w:tcW w:w="2268" w:type="dxa"/>
            <w:vAlign w:val="bottom"/>
          </w:tcPr>
          <w:p w14:paraId="1EA473E1" w14:textId="77777777" w:rsidR="004D07CB" w:rsidRPr="00826C80"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224,1</w:t>
            </w:r>
          </w:p>
        </w:tc>
        <w:tc>
          <w:tcPr>
            <w:tcW w:w="2268" w:type="dxa"/>
            <w:vAlign w:val="bottom"/>
          </w:tcPr>
          <w:p w14:paraId="25FE470C" w14:textId="77777777" w:rsidR="004D07CB" w:rsidRPr="00826C80"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16,3</w:t>
            </w:r>
          </w:p>
        </w:tc>
        <w:tc>
          <w:tcPr>
            <w:tcW w:w="2268" w:type="dxa"/>
            <w:vAlign w:val="bottom"/>
          </w:tcPr>
          <w:p w14:paraId="26F855B4" w14:textId="77777777" w:rsidR="004D07CB" w:rsidRPr="00826C80"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240,5</w:t>
            </w:r>
          </w:p>
        </w:tc>
      </w:tr>
      <w:tr w:rsidR="004668AA" w:rsidRPr="00B92B22" w14:paraId="604A2CC1"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3793470B" w14:textId="77777777" w:rsidR="004D07CB" w:rsidRPr="00826C80" w:rsidRDefault="004D07CB" w:rsidP="00F474E2">
            <w:pPr>
              <w:spacing w:after="120"/>
              <w:jc w:val="center"/>
              <w:rPr>
                <w:rFonts w:cs="Times New Roman"/>
                <w:color w:val="000000" w:themeColor="text1"/>
                <w:sz w:val="20"/>
                <w:szCs w:val="20"/>
              </w:rPr>
            </w:pPr>
          </w:p>
        </w:tc>
        <w:tc>
          <w:tcPr>
            <w:tcW w:w="0" w:type="dxa"/>
          </w:tcPr>
          <w:p w14:paraId="28194F2F" w14:textId="77777777" w:rsidR="004D07CB" w:rsidRPr="00826C80"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826C80">
              <w:rPr>
                <w:rFonts w:eastAsia="Times New Roman" w:cs="Times New Roman"/>
                <w:color w:val="000000" w:themeColor="text1"/>
                <w:sz w:val="20"/>
                <w:szCs w:val="20"/>
              </w:rPr>
              <w:t>Novirze no plāna %</w:t>
            </w:r>
          </w:p>
        </w:tc>
        <w:tc>
          <w:tcPr>
            <w:tcW w:w="0" w:type="dxa"/>
            <w:vAlign w:val="bottom"/>
          </w:tcPr>
          <w:p w14:paraId="6DFF7DE9"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29,6%</w:t>
            </w:r>
          </w:p>
        </w:tc>
        <w:tc>
          <w:tcPr>
            <w:tcW w:w="2268" w:type="dxa"/>
            <w:vAlign w:val="bottom"/>
          </w:tcPr>
          <w:p w14:paraId="7D8E4A8D"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 </w:t>
            </w:r>
          </w:p>
        </w:tc>
        <w:tc>
          <w:tcPr>
            <w:tcW w:w="2268" w:type="dxa"/>
            <w:vAlign w:val="bottom"/>
          </w:tcPr>
          <w:p w14:paraId="56CF0D9D"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39,1%</w:t>
            </w:r>
          </w:p>
        </w:tc>
      </w:tr>
      <w:tr w:rsidR="004668AA" w:rsidRPr="00B92B22" w14:paraId="61E2B60B"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18A3D776" w14:textId="77777777" w:rsidR="004D07CB" w:rsidRPr="00BF317F" w:rsidRDefault="2A85B581" w:rsidP="00F474E2">
            <w:pPr>
              <w:spacing w:after="120"/>
              <w:jc w:val="center"/>
              <w:rPr>
                <w:rFonts w:eastAsia="Times New Roman" w:cs="Times New Roman"/>
                <w:color w:val="000000" w:themeColor="text1"/>
                <w:sz w:val="20"/>
                <w:szCs w:val="20"/>
              </w:rPr>
            </w:pPr>
            <w:r w:rsidRPr="00BF317F">
              <w:rPr>
                <w:rFonts w:eastAsia="Times New Roman" w:cs="Times New Roman"/>
                <w:color w:val="000000" w:themeColor="text1"/>
                <w:sz w:val="20"/>
                <w:szCs w:val="20"/>
              </w:rPr>
              <w:t>2016</w:t>
            </w:r>
          </w:p>
        </w:tc>
        <w:tc>
          <w:tcPr>
            <w:tcW w:w="2268" w:type="dxa"/>
          </w:tcPr>
          <w:p w14:paraId="608D7A32" w14:textId="77777777" w:rsidR="004D07CB" w:rsidRPr="00BF317F"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Plāns</w:t>
            </w:r>
          </w:p>
        </w:tc>
        <w:tc>
          <w:tcPr>
            <w:tcW w:w="2268" w:type="dxa"/>
            <w:vAlign w:val="bottom"/>
          </w:tcPr>
          <w:p w14:paraId="2E95B013"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190,0</w:t>
            </w:r>
          </w:p>
        </w:tc>
        <w:tc>
          <w:tcPr>
            <w:tcW w:w="2268" w:type="dxa"/>
            <w:vAlign w:val="bottom"/>
          </w:tcPr>
          <w:p w14:paraId="3F908F8F"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vAlign w:val="bottom"/>
          </w:tcPr>
          <w:p w14:paraId="27E045CE"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190,0</w:t>
            </w:r>
          </w:p>
        </w:tc>
      </w:tr>
      <w:tr w:rsidR="004668AA" w:rsidRPr="00B92B22" w14:paraId="2A79A1AD"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516EA567" w14:textId="77777777" w:rsidR="004D07CB" w:rsidRPr="003C25FA" w:rsidRDefault="004D07CB" w:rsidP="00F474E2">
            <w:pPr>
              <w:spacing w:after="120"/>
              <w:jc w:val="center"/>
              <w:rPr>
                <w:rFonts w:cs="Times New Roman"/>
                <w:color w:val="000000" w:themeColor="text1"/>
                <w:sz w:val="20"/>
                <w:szCs w:val="20"/>
              </w:rPr>
            </w:pPr>
          </w:p>
        </w:tc>
        <w:tc>
          <w:tcPr>
            <w:tcW w:w="0" w:type="dxa"/>
          </w:tcPr>
          <w:p w14:paraId="1CCC3F5B" w14:textId="77777777" w:rsidR="004D07CB" w:rsidRPr="003C25FA"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Izpilde</w:t>
            </w:r>
          </w:p>
        </w:tc>
        <w:tc>
          <w:tcPr>
            <w:tcW w:w="0" w:type="dxa"/>
            <w:vAlign w:val="bottom"/>
          </w:tcPr>
          <w:p w14:paraId="62A73EDA" w14:textId="77777777" w:rsidR="004D07CB" w:rsidRPr="003C25FA"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213,7</w:t>
            </w:r>
          </w:p>
        </w:tc>
        <w:tc>
          <w:tcPr>
            <w:tcW w:w="2268" w:type="dxa"/>
            <w:vAlign w:val="bottom"/>
          </w:tcPr>
          <w:p w14:paraId="45232542" w14:textId="77777777" w:rsidR="004D07CB" w:rsidRPr="003C25FA"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0,0</w:t>
            </w:r>
          </w:p>
        </w:tc>
        <w:tc>
          <w:tcPr>
            <w:tcW w:w="2268" w:type="dxa"/>
            <w:vAlign w:val="bottom"/>
          </w:tcPr>
          <w:p w14:paraId="70593CAD" w14:textId="77777777" w:rsidR="004D07CB" w:rsidRPr="003C25FA"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213,7</w:t>
            </w:r>
          </w:p>
        </w:tc>
      </w:tr>
      <w:tr w:rsidR="004668AA" w:rsidRPr="00B92B22" w14:paraId="6D34271F"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173C21D2" w14:textId="77777777" w:rsidR="004D07CB" w:rsidRPr="003C25FA" w:rsidRDefault="004D07CB" w:rsidP="00F474E2">
            <w:pPr>
              <w:spacing w:after="120"/>
              <w:jc w:val="center"/>
              <w:rPr>
                <w:rFonts w:cs="Times New Roman"/>
                <w:color w:val="000000" w:themeColor="text1"/>
                <w:sz w:val="20"/>
                <w:szCs w:val="20"/>
              </w:rPr>
            </w:pPr>
          </w:p>
        </w:tc>
        <w:tc>
          <w:tcPr>
            <w:tcW w:w="2268" w:type="dxa"/>
          </w:tcPr>
          <w:p w14:paraId="78EA4310" w14:textId="77777777" w:rsidR="004D07CB" w:rsidRPr="003C25FA"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Novirze no plāna %</w:t>
            </w:r>
          </w:p>
        </w:tc>
        <w:tc>
          <w:tcPr>
            <w:tcW w:w="2268" w:type="dxa"/>
            <w:vAlign w:val="bottom"/>
          </w:tcPr>
          <w:p w14:paraId="4E1BAB7B"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12,5%</w:t>
            </w:r>
          </w:p>
        </w:tc>
        <w:tc>
          <w:tcPr>
            <w:tcW w:w="2268" w:type="dxa"/>
            <w:vAlign w:val="bottom"/>
          </w:tcPr>
          <w:p w14:paraId="168E7277"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 </w:t>
            </w:r>
          </w:p>
        </w:tc>
        <w:tc>
          <w:tcPr>
            <w:tcW w:w="2268" w:type="dxa"/>
            <w:vAlign w:val="bottom"/>
          </w:tcPr>
          <w:p w14:paraId="71C9FE78"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12,5%</w:t>
            </w:r>
          </w:p>
        </w:tc>
      </w:tr>
      <w:tr w:rsidR="004668AA" w:rsidRPr="00B92B22" w14:paraId="308DF854"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04CDAEE6" w14:textId="77777777" w:rsidR="004D07CB" w:rsidRPr="00BF317F" w:rsidRDefault="2A85B581" w:rsidP="00F474E2">
            <w:pPr>
              <w:spacing w:after="120"/>
              <w:jc w:val="center"/>
              <w:rPr>
                <w:rFonts w:eastAsia="Times New Roman" w:cs="Times New Roman"/>
                <w:color w:val="000000" w:themeColor="text1"/>
                <w:sz w:val="20"/>
                <w:szCs w:val="20"/>
              </w:rPr>
            </w:pPr>
            <w:r w:rsidRPr="00BF317F">
              <w:rPr>
                <w:rFonts w:eastAsia="Times New Roman" w:cs="Times New Roman"/>
                <w:color w:val="000000" w:themeColor="text1"/>
                <w:sz w:val="20"/>
                <w:szCs w:val="20"/>
              </w:rPr>
              <w:t>2017</w:t>
            </w:r>
          </w:p>
        </w:tc>
        <w:tc>
          <w:tcPr>
            <w:tcW w:w="0" w:type="dxa"/>
          </w:tcPr>
          <w:p w14:paraId="61BB70EA"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Plāns</w:t>
            </w:r>
          </w:p>
        </w:tc>
        <w:tc>
          <w:tcPr>
            <w:tcW w:w="0" w:type="dxa"/>
          </w:tcPr>
          <w:p w14:paraId="6EE7A629"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182,7</w:t>
            </w:r>
          </w:p>
        </w:tc>
        <w:tc>
          <w:tcPr>
            <w:tcW w:w="0" w:type="dxa"/>
          </w:tcPr>
          <w:p w14:paraId="47DE54FA"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tcPr>
          <w:p w14:paraId="376ECBD2"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182,7</w:t>
            </w:r>
          </w:p>
        </w:tc>
      </w:tr>
      <w:tr w:rsidR="004668AA" w:rsidRPr="00B92B22" w14:paraId="65EE1157"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517C7B77" w14:textId="77777777" w:rsidR="004D07CB" w:rsidRPr="003C25FA" w:rsidRDefault="004D07CB" w:rsidP="00F474E2">
            <w:pPr>
              <w:spacing w:after="120"/>
              <w:jc w:val="center"/>
              <w:rPr>
                <w:rFonts w:cs="Times New Roman"/>
                <w:bCs w:val="0"/>
                <w:iCs/>
                <w:color w:val="000000" w:themeColor="text1"/>
                <w:sz w:val="20"/>
                <w:szCs w:val="20"/>
              </w:rPr>
            </w:pPr>
          </w:p>
        </w:tc>
        <w:tc>
          <w:tcPr>
            <w:tcW w:w="0" w:type="dxa"/>
          </w:tcPr>
          <w:p w14:paraId="2F9972FA" w14:textId="77777777" w:rsidR="004D07CB" w:rsidRPr="003C25FA"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Izpilde</w:t>
            </w:r>
          </w:p>
        </w:tc>
        <w:tc>
          <w:tcPr>
            <w:tcW w:w="2268" w:type="dxa"/>
          </w:tcPr>
          <w:p w14:paraId="2CDCA621" w14:textId="77777777" w:rsidR="004D07CB" w:rsidRPr="003C25FA"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170,5</w:t>
            </w:r>
          </w:p>
        </w:tc>
        <w:tc>
          <w:tcPr>
            <w:tcW w:w="2268" w:type="dxa"/>
          </w:tcPr>
          <w:p w14:paraId="27DE1A81" w14:textId="77777777" w:rsidR="004D07CB" w:rsidRPr="003C25FA"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7,1</w:t>
            </w:r>
          </w:p>
        </w:tc>
        <w:tc>
          <w:tcPr>
            <w:tcW w:w="2268" w:type="dxa"/>
          </w:tcPr>
          <w:p w14:paraId="0EAB8A87" w14:textId="77777777" w:rsidR="004D07CB" w:rsidRPr="003C25FA"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177,6</w:t>
            </w:r>
          </w:p>
        </w:tc>
      </w:tr>
      <w:tr w:rsidR="004668AA" w:rsidRPr="00B92B22" w14:paraId="687BF6EE"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791C2E90"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49334319"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Novirze no plāna %</w:t>
            </w:r>
          </w:p>
        </w:tc>
        <w:tc>
          <w:tcPr>
            <w:tcW w:w="0" w:type="dxa"/>
          </w:tcPr>
          <w:p w14:paraId="4EA1E86D"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-6,7%</w:t>
            </w:r>
          </w:p>
        </w:tc>
        <w:tc>
          <w:tcPr>
            <w:tcW w:w="0" w:type="dxa"/>
          </w:tcPr>
          <w:p w14:paraId="345E8F57" w14:textId="77777777" w:rsidR="004D07CB" w:rsidRPr="00BF317F" w:rsidRDefault="004D07CB"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p>
        </w:tc>
        <w:tc>
          <w:tcPr>
            <w:tcW w:w="2268" w:type="dxa"/>
          </w:tcPr>
          <w:p w14:paraId="2AADCC1B"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-2,8%</w:t>
            </w:r>
          </w:p>
        </w:tc>
      </w:tr>
      <w:tr w:rsidR="004668AA" w:rsidRPr="00B92B22" w14:paraId="0A855BC7"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76BD0178" w14:textId="77777777" w:rsidR="004D07CB" w:rsidRPr="00BF317F" w:rsidRDefault="2A85B581" w:rsidP="00F474E2">
            <w:pPr>
              <w:spacing w:after="120"/>
              <w:jc w:val="center"/>
              <w:rPr>
                <w:rFonts w:eastAsia="Times New Roman" w:cs="Times New Roman"/>
                <w:color w:val="000000" w:themeColor="text1"/>
                <w:sz w:val="20"/>
                <w:szCs w:val="20"/>
              </w:rPr>
            </w:pPr>
            <w:r w:rsidRPr="00BF317F">
              <w:rPr>
                <w:rFonts w:eastAsia="Times New Roman" w:cs="Times New Roman"/>
                <w:color w:val="000000" w:themeColor="text1"/>
                <w:sz w:val="20"/>
                <w:szCs w:val="20"/>
              </w:rPr>
              <w:t>2018</w:t>
            </w:r>
          </w:p>
        </w:tc>
        <w:tc>
          <w:tcPr>
            <w:tcW w:w="0" w:type="dxa"/>
          </w:tcPr>
          <w:p w14:paraId="4BEE3FD8" w14:textId="77777777" w:rsidR="004D07CB" w:rsidRPr="00BF317F"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Plāns</w:t>
            </w:r>
          </w:p>
        </w:tc>
        <w:tc>
          <w:tcPr>
            <w:tcW w:w="2268" w:type="dxa"/>
          </w:tcPr>
          <w:p w14:paraId="0E142700"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160,6</w:t>
            </w:r>
          </w:p>
        </w:tc>
        <w:tc>
          <w:tcPr>
            <w:tcW w:w="2268" w:type="dxa"/>
          </w:tcPr>
          <w:p w14:paraId="3628E332"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tcPr>
          <w:p w14:paraId="59A0D7D8"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160,6</w:t>
            </w:r>
          </w:p>
        </w:tc>
      </w:tr>
      <w:tr w:rsidR="004668AA" w:rsidRPr="00B92B22" w14:paraId="16BC2C6B"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391EA0C2"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670A068B"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Izpilde</w:t>
            </w:r>
          </w:p>
        </w:tc>
        <w:tc>
          <w:tcPr>
            <w:tcW w:w="0" w:type="dxa"/>
          </w:tcPr>
          <w:p w14:paraId="06A9FB0F"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218,6</w:t>
            </w:r>
          </w:p>
        </w:tc>
        <w:tc>
          <w:tcPr>
            <w:tcW w:w="0" w:type="dxa"/>
          </w:tcPr>
          <w:p w14:paraId="42112BE4"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2,3</w:t>
            </w:r>
          </w:p>
        </w:tc>
        <w:tc>
          <w:tcPr>
            <w:tcW w:w="2268" w:type="dxa"/>
          </w:tcPr>
          <w:p w14:paraId="27CDA192"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220,9</w:t>
            </w:r>
          </w:p>
        </w:tc>
      </w:tr>
      <w:tr w:rsidR="004668AA" w:rsidRPr="00B92B22" w14:paraId="161F3568"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4C00B832"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52A74043" w14:textId="77777777" w:rsidR="004D07CB" w:rsidRPr="00BF317F"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Novirze no plāna %</w:t>
            </w:r>
          </w:p>
        </w:tc>
        <w:tc>
          <w:tcPr>
            <w:tcW w:w="2268" w:type="dxa"/>
          </w:tcPr>
          <w:p w14:paraId="75592BF8"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36,1%</w:t>
            </w:r>
          </w:p>
        </w:tc>
        <w:tc>
          <w:tcPr>
            <w:tcW w:w="2268" w:type="dxa"/>
          </w:tcPr>
          <w:p w14:paraId="78F8BCEE" w14:textId="77777777" w:rsidR="004D07CB" w:rsidRPr="00BF317F" w:rsidRDefault="004D07CB"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p>
        </w:tc>
        <w:tc>
          <w:tcPr>
            <w:tcW w:w="2268" w:type="dxa"/>
          </w:tcPr>
          <w:p w14:paraId="7974EFC4"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37,6%</w:t>
            </w:r>
          </w:p>
        </w:tc>
      </w:tr>
      <w:tr w:rsidR="004668AA" w:rsidRPr="00B92B22" w14:paraId="417FD47B"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46508C5B" w14:textId="77777777" w:rsidR="004D07CB" w:rsidRPr="00BF317F" w:rsidRDefault="2A85B581" w:rsidP="00F474E2">
            <w:pPr>
              <w:spacing w:after="120"/>
              <w:jc w:val="center"/>
              <w:rPr>
                <w:rFonts w:eastAsia="Times New Roman" w:cs="Times New Roman"/>
                <w:color w:val="000000" w:themeColor="text1"/>
                <w:sz w:val="20"/>
                <w:szCs w:val="20"/>
              </w:rPr>
            </w:pPr>
            <w:r w:rsidRPr="00BF317F">
              <w:rPr>
                <w:rFonts w:eastAsia="Times New Roman" w:cs="Times New Roman"/>
                <w:color w:val="000000" w:themeColor="text1"/>
                <w:sz w:val="20"/>
                <w:szCs w:val="20"/>
              </w:rPr>
              <w:t>2019</w:t>
            </w:r>
          </w:p>
        </w:tc>
        <w:tc>
          <w:tcPr>
            <w:tcW w:w="0" w:type="dxa"/>
          </w:tcPr>
          <w:p w14:paraId="1B255408"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Plāns</w:t>
            </w:r>
          </w:p>
        </w:tc>
        <w:tc>
          <w:tcPr>
            <w:tcW w:w="0" w:type="dxa"/>
          </w:tcPr>
          <w:p w14:paraId="021569A3"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203,2</w:t>
            </w:r>
          </w:p>
        </w:tc>
        <w:tc>
          <w:tcPr>
            <w:tcW w:w="0" w:type="dxa"/>
          </w:tcPr>
          <w:p w14:paraId="0A824492"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tcPr>
          <w:p w14:paraId="428D4AEA"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203,2</w:t>
            </w:r>
          </w:p>
        </w:tc>
      </w:tr>
      <w:tr w:rsidR="004668AA" w:rsidRPr="00B92B22" w14:paraId="0036F816"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6007494D"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1293E7EA" w14:textId="77777777" w:rsidR="004D07CB" w:rsidRPr="00BF317F"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Izpilde</w:t>
            </w:r>
          </w:p>
        </w:tc>
        <w:tc>
          <w:tcPr>
            <w:tcW w:w="2268" w:type="dxa"/>
          </w:tcPr>
          <w:p w14:paraId="4F34C6C9"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241,1</w:t>
            </w:r>
          </w:p>
        </w:tc>
        <w:tc>
          <w:tcPr>
            <w:tcW w:w="2268" w:type="dxa"/>
          </w:tcPr>
          <w:p w14:paraId="36BAF180"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6,5</w:t>
            </w:r>
          </w:p>
        </w:tc>
        <w:tc>
          <w:tcPr>
            <w:tcW w:w="2268" w:type="dxa"/>
          </w:tcPr>
          <w:p w14:paraId="3CCF853B"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247,6</w:t>
            </w:r>
          </w:p>
        </w:tc>
      </w:tr>
      <w:tr w:rsidR="004668AA" w:rsidRPr="00B92B22" w14:paraId="6F9F3301"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57D81AB0"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1884C2B5"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Novirze no plāna %</w:t>
            </w:r>
          </w:p>
        </w:tc>
        <w:tc>
          <w:tcPr>
            <w:tcW w:w="0" w:type="dxa"/>
          </w:tcPr>
          <w:p w14:paraId="382E69C7"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18,6%</w:t>
            </w:r>
          </w:p>
        </w:tc>
        <w:tc>
          <w:tcPr>
            <w:tcW w:w="0" w:type="dxa"/>
          </w:tcPr>
          <w:p w14:paraId="679CD0D5" w14:textId="77777777" w:rsidR="004D07CB" w:rsidRPr="00BF317F" w:rsidRDefault="004D07CB"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p>
        </w:tc>
        <w:tc>
          <w:tcPr>
            <w:tcW w:w="2268" w:type="dxa"/>
          </w:tcPr>
          <w:p w14:paraId="0604578B"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21,9%</w:t>
            </w:r>
          </w:p>
        </w:tc>
      </w:tr>
      <w:tr w:rsidR="004668AA" w:rsidRPr="00B92B22" w14:paraId="597D639D"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4974A074" w14:textId="77777777" w:rsidR="004D07CB" w:rsidRPr="00BF317F" w:rsidRDefault="2A85B581" w:rsidP="00F474E2">
            <w:pPr>
              <w:spacing w:after="120"/>
              <w:jc w:val="center"/>
              <w:rPr>
                <w:rFonts w:eastAsia="Times New Roman" w:cs="Times New Roman"/>
                <w:color w:val="000000" w:themeColor="text1"/>
                <w:sz w:val="20"/>
                <w:szCs w:val="20"/>
              </w:rPr>
            </w:pPr>
            <w:r w:rsidRPr="00BF317F">
              <w:rPr>
                <w:rFonts w:eastAsia="Times New Roman" w:cs="Times New Roman"/>
                <w:color w:val="000000" w:themeColor="text1"/>
                <w:sz w:val="20"/>
                <w:szCs w:val="20"/>
              </w:rPr>
              <w:t>2020</w:t>
            </w:r>
          </w:p>
        </w:tc>
        <w:tc>
          <w:tcPr>
            <w:tcW w:w="0" w:type="dxa"/>
          </w:tcPr>
          <w:p w14:paraId="1A3C5BFB" w14:textId="77777777" w:rsidR="004D07CB" w:rsidRPr="00BF317F"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Plāns</w:t>
            </w:r>
          </w:p>
        </w:tc>
        <w:tc>
          <w:tcPr>
            <w:tcW w:w="2268" w:type="dxa"/>
          </w:tcPr>
          <w:p w14:paraId="18A17DDC"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194,4</w:t>
            </w:r>
          </w:p>
        </w:tc>
        <w:tc>
          <w:tcPr>
            <w:tcW w:w="2268" w:type="dxa"/>
          </w:tcPr>
          <w:p w14:paraId="066613F4"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tcPr>
          <w:p w14:paraId="15181F81"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194,4</w:t>
            </w:r>
          </w:p>
        </w:tc>
      </w:tr>
      <w:tr w:rsidR="004668AA" w:rsidRPr="00B92B22" w14:paraId="74BC45C8"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3A637060"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13DAF3C3"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Izpilde</w:t>
            </w:r>
          </w:p>
        </w:tc>
        <w:tc>
          <w:tcPr>
            <w:tcW w:w="0" w:type="dxa"/>
          </w:tcPr>
          <w:p w14:paraId="51C62DFF"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171,4</w:t>
            </w:r>
          </w:p>
        </w:tc>
        <w:tc>
          <w:tcPr>
            <w:tcW w:w="0" w:type="dxa"/>
          </w:tcPr>
          <w:p w14:paraId="3ADF6548"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0,1</w:t>
            </w:r>
          </w:p>
        </w:tc>
        <w:tc>
          <w:tcPr>
            <w:tcW w:w="2268" w:type="dxa"/>
          </w:tcPr>
          <w:p w14:paraId="273D463C"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171,5</w:t>
            </w:r>
          </w:p>
        </w:tc>
      </w:tr>
      <w:tr w:rsidR="004668AA" w:rsidRPr="00B92B22" w14:paraId="04357F92"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75CE0FA0"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7D3A64A2" w14:textId="77777777" w:rsidR="004D07CB" w:rsidRPr="00BF317F"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Novirze no plāna %</w:t>
            </w:r>
          </w:p>
        </w:tc>
        <w:tc>
          <w:tcPr>
            <w:tcW w:w="2268" w:type="dxa"/>
          </w:tcPr>
          <w:p w14:paraId="44339044"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-11,8%</w:t>
            </w:r>
          </w:p>
        </w:tc>
        <w:tc>
          <w:tcPr>
            <w:tcW w:w="2268" w:type="dxa"/>
          </w:tcPr>
          <w:p w14:paraId="09324C76" w14:textId="77777777" w:rsidR="004D07CB" w:rsidRPr="00BF317F" w:rsidRDefault="004D07CB"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p>
        </w:tc>
        <w:tc>
          <w:tcPr>
            <w:tcW w:w="2268" w:type="dxa"/>
          </w:tcPr>
          <w:p w14:paraId="69ABF07B"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-11,8%</w:t>
            </w:r>
          </w:p>
        </w:tc>
      </w:tr>
      <w:tr w:rsidR="004668AA" w:rsidRPr="00B92B22" w14:paraId="1E353BDA"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136BB233" w14:textId="77777777" w:rsidR="004D07CB" w:rsidRPr="00BF317F" w:rsidRDefault="2A85B581" w:rsidP="00F474E2">
            <w:pPr>
              <w:spacing w:after="120"/>
              <w:jc w:val="center"/>
              <w:rPr>
                <w:rFonts w:eastAsia="Times New Roman" w:cs="Times New Roman"/>
                <w:color w:val="000000" w:themeColor="text1"/>
                <w:sz w:val="20"/>
                <w:szCs w:val="20"/>
              </w:rPr>
            </w:pPr>
            <w:r w:rsidRPr="00BF317F">
              <w:rPr>
                <w:rFonts w:eastAsia="Times New Roman" w:cs="Times New Roman"/>
                <w:color w:val="000000" w:themeColor="text1"/>
                <w:sz w:val="20"/>
                <w:szCs w:val="20"/>
              </w:rPr>
              <w:t>2021</w:t>
            </w:r>
          </w:p>
        </w:tc>
        <w:tc>
          <w:tcPr>
            <w:tcW w:w="0" w:type="dxa"/>
          </w:tcPr>
          <w:p w14:paraId="259FFDCF"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Plāns</w:t>
            </w:r>
          </w:p>
        </w:tc>
        <w:tc>
          <w:tcPr>
            <w:tcW w:w="0" w:type="dxa"/>
          </w:tcPr>
          <w:p w14:paraId="05D8B948"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312,9</w:t>
            </w:r>
          </w:p>
        </w:tc>
        <w:tc>
          <w:tcPr>
            <w:tcW w:w="0" w:type="dxa"/>
          </w:tcPr>
          <w:p w14:paraId="6648B2C8"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tcPr>
          <w:p w14:paraId="0DFF8245"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312,9</w:t>
            </w:r>
          </w:p>
        </w:tc>
      </w:tr>
      <w:tr w:rsidR="004668AA" w:rsidRPr="00B92B22" w14:paraId="04D3E81C"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7B45E92B"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440F01B2" w14:textId="77777777" w:rsidR="004D07CB" w:rsidRPr="00BF317F"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Izpilde</w:t>
            </w:r>
          </w:p>
        </w:tc>
        <w:tc>
          <w:tcPr>
            <w:tcW w:w="2268" w:type="dxa"/>
          </w:tcPr>
          <w:p w14:paraId="0EC0D2DF"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161,7</w:t>
            </w:r>
          </w:p>
        </w:tc>
        <w:tc>
          <w:tcPr>
            <w:tcW w:w="2268" w:type="dxa"/>
          </w:tcPr>
          <w:p w14:paraId="16667A40"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0,0</w:t>
            </w:r>
          </w:p>
        </w:tc>
        <w:tc>
          <w:tcPr>
            <w:tcW w:w="2268" w:type="dxa"/>
          </w:tcPr>
          <w:p w14:paraId="746C966E" w14:textId="77777777" w:rsidR="004D07CB" w:rsidRPr="00BF317F"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161,7</w:t>
            </w:r>
          </w:p>
        </w:tc>
      </w:tr>
      <w:tr w:rsidR="004668AA" w:rsidRPr="00B92B22" w14:paraId="01DE3704"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507C2E3F" w14:textId="77777777" w:rsidR="004D07CB" w:rsidRPr="00BF317F" w:rsidRDefault="004D07CB" w:rsidP="00F474E2">
            <w:pPr>
              <w:spacing w:after="120"/>
              <w:jc w:val="center"/>
              <w:rPr>
                <w:rFonts w:cs="Times New Roman"/>
                <w:bCs w:val="0"/>
                <w:iCs/>
                <w:color w:val="000000" w:themeColor="text1"/>
                <w:sz w:val="20"/>
                <w:szCs w:val="20"/>
              </w:rPr>
            </w:pPr>
          </w:p>
        </w:tc>
        <w:tc>
          <w:tcPr>
            <w:tcW w:w="0" w:type="dxa"/>
          </w:tcPr>
          <w:p w14:paraId="470709F1" w14:textId="77777777" w:rsidR="004D07CB" w:rsidRPr="00BF317F"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BF317F">
              <w:rPr>
                <w:rFonts w:eastAsia="Times New Roman" w:cs="Times New Roman"/>
                <w:color w:val="000000" w:themeColor="text1"/>
                <w:sz w:val="20"/>
                <w:szCs w:val="20"/>
              </w:rPr>
              <w:t>Novirze no plāna %</w:t>
            </w:r>
          </w:p>
        </w:tc>
        <w:tc>
          <w:tcPr>
            <w:tcW w:w="0" w:type="dxa"/>
          </w:tcPr>
          <w:p w14:paraId="74154155"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-48,3%</w:t>
            </w:r>
          </w:p>
        </w:tc>
        <w:tc>
          <w:tcPr>
            <w:tcW w:w="0" w:type="dxa"/>
          </w:tcPr>
          <w:p w14:paraId="6E785176" w14:textId="77777777" w:rsidR="004D07CB" w:rsidRPr="00BF317F" w:rsidRDefault="004D07CB"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p>
        </w:tc>
        <w:tc>
          <w:tcPr>
            <w:tcW w:w="2268" w:type="dxa"/>
          </w:tcPr>
          <w:p w14:paraId="18DA182D" w14:textId="77777777" w:rsidR="004D07CB" w:rsidRPr="00BF317F"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BF317F">
              <w:rPr>
                <w:rFonts w:eastAsia="Times New Roman" w:cs="Times New Roman"/>
                <w:i/>
                <w:iCs/>
                <w:color w:val="000000" w:themeColor="text1"/>
                <w:sz w:val="20"/>
                <w:szCs w:val="20"/>
              </w:rPr>
              <w:t>-48,3%</w:t>
            </w:r>
          </w:p>
        </w:tc>
      </w:tr>
      <w:tr w:rsidR="004668AA" w:rsidRPr="00B92B22" w14:paraId="3C2E412D"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44F13E90" w14:textId="77777777" w:rsidR="004D07CB" w:rsidRPr="00EF1FD3" w:rsidRDefault="2A85B581" w:rsidP="00F474E2">
            <w:pPr>
              <w:spacing w:after="120"/>
              <w:jc w:val="center"/>
              <w:rPr>
                <w:rFonts w:eastAsia="Times New Roman" w:cs="Times New Roman"/>
                <w:color w:val="000000" w:themeColor="text1"/>
                <w:sz w:val="20"/>
                <w:szCs w:val="20"/>
              </w:rPr>
            </w:pPr>
            <w:r w:rsidRPr="00EF1FD3">
              <w:rPr>
                <w:rFonts w:eastAsia="Times New Roman" w:cs="Times New Roman"/>
                <w:color w:val="000000" w:themeColor="text1"/>
                <w:sz w:val="20"/>
                <w:szCs w:val="20"/>
              </w:rPr>
              <w:t>2022</w:t>
            </w:r>
          </w:p>
        </w:tc>
        <w:tc>
          <w:tcPr>
            <w:tcW w:w="0" w:type="dxa"/>
          </w:tcPr>
          <w:p w14:paraId="75F9F74C" w14:textId="77777777" w:rsidR="004D07CB" w:rsidRPr="00EF1FD3"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Plāns</w:t>
            </w:r>
          </w:p>
        </w:tc>
        <w:tc>
          <w:tcPr>
            <w:tcW w:w="2268" w:type="dxa"/>
          </w:tcPr>
          <w:p w14:paraId="11911F6A" w14:textId="77777777" w:rsidR="004D07CB" w:rsidRPr="00EF1FD3"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207,1</w:t>
            </w:r>
          </w:p>
        </w:tc>
        <w:tc>
          <w:tcPr>
            <w:tcW w:w="2268" w:type="dxa"/>
          </w:tcPr>
          <w:p w14:paraId="076EE247" w14:textId="77777777" w:rsidR="004D07CB" w:rsidRPr="00EF1FD3"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0,0</w:t>
            </w:r>
          </w:p>
        </w:tc>
        <w:tc>
          <w:tcPr>
            <w:tcW w:w="2268" w:type="dxa"/>
          </w:tcPr>
          <w:p w14:paraId="43EB7D2F" w14:textId="77777777" w:rsidR="004D07CB" w:rsidRPr="00EF1FD3"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207,1</w:t>
            </w:r>
          </w:p>
        </w:tc>
      </w:tr>
      <w:tr w:rsidR="004668AA" w:rsidRPr="00B92B22" w14:paraId="627129D6"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558731AA" w14:textId="77777777" w:rsidR="004D07CB" w:rsidRPr="00EF1FD3" w:rsidRDefault="004D07CB" w:rsidP="00F474E2">
            <w:pPr>
              <w:spacing w:after="120"/>
              <w:jc w:val="center"/>
              <w:rPr>
                <w:rFonts w:cs="Times New Roman"/>
                <w:bCs w:val="0"/>
                <w:iCs/>
                <w:color w:val="000000" w:themeColor="text1"/>
                <w:sz w:val="20"/>
                <w:szCs w:val="20"/>
              </w:rPr>
            </w:pPr>
          </w:p>
        </w:tc>
        <w:tc>
          <w:tcPr>
            <w:tcW w:w="0" w:type="dxa"/>
          </w:tcPr>
          <w:p w14:paraId="3E892A30" w14:textId="77777777" w:rsidR="004D07CB" w:rsidRPr="00EF1FD3"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EF1FD3">
              <w:rPr>
                <w:rFonts w:eastAsia="Times New Roman" w:cs="Times New Roman"/>
                <w:color w:val="000000" w:themeColor="text1"/>
                <w:sz w:val="20"/>
                <w:szCs w:val="20"/>
              </w:rPr>
              <w:t>Izpilde</w:t>
            </w:r>
          </w:p>
        </w:tc>
        <w:tc>
          <w:tcPr>
            <w:tcW w:w="0" w:type="dxa"/>
          </w:tcPr>
          <w:p w14:paraId="2F244EB4" w14:textId="1321361B" w:rsidR="004D07CB" w:rsidRPr="003C25FA" w:rsidRDefault="00B92B2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Pr>
                <w:rFonts w:eastAsia="Times New Roman" w:cs="Times New Roman"/>
                <w:color w:val="000000" w:themeColor="text1"/>
                <w:sz w:val="20"/>
                <w:szCs w:val="20"/>
              </w:rPr>
              <w:t>183,6</w:t>
            </w:r>
          </w:p>
        </w:tc>
        <w:tc>
          <w:tcPr>
            <w:tcW w:w="0" w:type="dxa"/>
          </w:tcPr>
          <w:p w14:paraId="1EEC0C03" w14:textId="77777777" w:rsidR="004D07CB" w:rsidRPr="003C25FA"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91,0</w:t>
            </w:r>
          </w:p>
        </w:tc>
        <w:tc>
          <w:tcPr>
            <w:tcW w:w="2268" w:type="dxa"/>
          </w:tcPr>
          <w:p w14:paraId="6095808A" w14:textId="7C2567D9" w:rsidR="004D07CB" w:rsidRPr="003C25FA" w:rsidRDefault="00B92B2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Pr>
                <w:rFonts w:eastAsia="Times New Roman" w:cs="Times New Roman"/>
                <w:color w:val="000000" w:themeColor="text1"/>
                <w:sz w:val="20"/>
                <w:szCs w:val="20"/>
              </w:rPr>
              <w:t>274,6</w:t>
            </w:r>
          </w:p>
        </w:tc>
      </w:tr>
      <w:tr w:rsidR="004668AA" w:rsidRPr="00B92B22" w14:paraId="00576562"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2A5EF2AD" w14:textId="77777777" w:rsidR="004D07CB" w:rsidRPr="003C25FA" w:rsidRDefault="004D07CB" w:rsidP="00F474E2">
            <w:pPr>
              <w:spacing w:after="120"/>
              <w:jc w:val="center"/>
              <w:rPr>
                <w:rFonts w:cs="Times New Roman"/>
                <w:bCs w:val="0"/>
                <w:iCs/>
                <w:color w:val="000000" w:themeColor="text1"/>
                <w:sz w:val="20"/>
                <w:szCs w:val="20"/>
              </w:rPr>
            </w:pPr>
          </w:p>
        </w:tc>
        <w:tc>
          <w:tcPr>
            <w:tcW w:w="0" w:type="dxa"/>
          </w:tcPr>
          <w:p w14:paraId="17909AF6" w14:textId="77777777" w:rsidR="004D07CB" w:rsidRPr="003C25FA"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Novirze no plāna %</w:t>
            </w:r>
          </w:p>
        </w:tc>
        <w:tc>
          <w:tcPr>
            <w:tcW w:w="2268" w:type="dxa"/>
          </w:tcPr>
          <w:p w14:paraId="2195871E" w14:textId="420DD8F5" w:rsidR="004D07CB" w:rsidRPr="003C25FA"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3C25FA">
              <w:rPr>
                <w:rFonts w:eastAsia="Times New Roman" w:cs="Times New Roman"/>
                <w:i/>
                <w:iCs/>
                <w:color w:val="000000" w:themeColor="text1"/>
                <w:sz w:val="20"/>
                <w:szCs w:val="20"/>
              </w:rPr>
              <w:t>-</w:t>
            </w:r>
            <w:r w:rsidR="00B92B22" w:rsidRPr="003C25FA">
              <w:rPr>
                <w:rFonts w:eastAsia="Times New Roman" w:cs="Times New Roman"/>
                <w:i/>
                <w:iCs/>
                <w:color w:val="000000" w:themeColor="text1"/>
                <w:sz w:val="20"/>
                <w:szCs w:val="20"/>
              </w:rPr>
              <w:t>11,4</w:t>
            </w:r>
            <w:r w:rsidRPr="003C25FA">
              <w:rPr>
                <w:rFonts w:eastAsia="Times New Roman" w:cs="Times New Roman"/>
                <w:i/>
                <w:iCs/>
                <w:color w:val="000000" w:themeColor="text1"/>
                <w:sz w:val="20"/>
                <w:szCs w:val="20"/>
              </w:rPr>
              <w:t>%</w:t>
            </w:r>
          </w:p>
        </w:tc>
        <w:tc>
          <w:tcPr>
            <w:tcW w:w="2268" w:type="dxa"/>
          </w:tcPr>
          <w:p w14:paraId="006D42C6" w14:textId="77777777" w:rsidR="004D07CB" w:rsidRPr="003C25FA" w:rsidRDefault="004D07CB"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p>
        </w:tc>
        <w:tc>
          <w:tcPr>
            <w:tcW w:w="2268" w:type="dxa"/>
          </w:tcPr>
          <w:p w14:paraId="7AA7543B" w14:textId="284902DA" w:rsidR="004D07CB" w:rsidRPr="003C25FA" w:rsidRDefault="00B92B2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rPr>
            </w:pPr>
            <w:r w:rsidRPr="003C25FA">
              <w:rPr>
                <w:rFonts w:eastAsia="Times New Roman" w:cs="Times New Roman"/>
                <w:i/>
                <w:iCs/>
                <w:color w:val="000000" w:themeColor="text1"/>
                <w:sz w:val="20"/>
                <w:szCs w:val="20"/>
              </w:rPr>
              <w:t>32,6</w:t>
            </w:r>
            <w:r w:rsidR="2A85B581" w:rsidRPr="003C25FA">
              <w:rPr>
                <w:rFonts w:eastAsia="Times New Roman" w:cs="Times New Roman"/>
                <w:i/>
                <w:iCs/>
                <w:color w:val="000000" w:themeColor="text1"/>
                <w:sz w:val="20"/>
                <w:szCs w:val="20"/>
              </w:rPr>
              <w:t>%</w:t>
            </w:r>
          </w:p>
        </w:tc>
      </w:tr>
      <w:tr w:rsidR="004668AA" w:rsidRPr="00B92B22" w14:paraId="7E2EA8BE"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33D908B0" w14:textId="228C305B" w:rsidR="00B06F79" w:rsidRPr="003C25FA" w:rsidRDefault="00B06F79" w:rsidP="00F474E2">
            <w:pPr>
              <w:spacing w:after="120"/>
              <w:jc w:val="center"/>
              <w:rPr>
                <w:rFonts w:eastAsia="Times New Roman" w:cs="Times New Roman"/>
                <w:color w:val="000000" w:themeColor="text1"/>
                <w:sz w:val="20"/>
                <w:szCs w:val="20"/>
              </w:rPr>
            </w:pPr>
            <w:r w:rsidRPr="003C25FA">
              <w:rPr>
                <w:rFonts w:eastAsia="Times New Roman" w:cs="Times New Roman"/>
                <w:color w:val="000000" w:themeColor="text1"/>
                <w:sz w:val="20"/>
                <w:szCs w:val="20"/>
              </w:rPr>
              <w:t>2023</w:t>
            </w:r>
          </w:p>
        </w:tc>
        <w:tc>
          <w:tcPr>
            <w:tcW w:w="0" w:type="dxa"/>
          </w:tcPr>
          <w:p w14:paraId="282F2899" w14:textId="4C710202" w:rsidR="00B06F79" w:rsidRPr="003C25FA" w:rsidRDefault="00B06F79" w:rsidP="00B06F7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Plāns</w:t>
            </w:r>
          </w:p>
        </w:tc>
        <w:tc>
          <w:tcPr>
            <w:tcW w:w="0" w:type="dxa"/>
            <w:vAlign w:val="bottom"/>
          </w:tcPr>
          <w:p w14:paraId="34354395" w14:textId="567F4CCB" w:rsidR="00B06F79" w:rsidRPr="003C25FA" w:rsidRDefault="00B06F79" w:rsidP="00B06F7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247,7</w:t>
            </w:r>
          </w:p>
        </w:tc>
        <w:tc>
          <w:tcPr>
            <w:tcW w:w="2268" w:type="dxa"/>
            <w:vAlign w:val="bottom"/>
          </w:tcPr>
          <w:p w14:paraId="7A6E8856" w14:textId="7DE057E7" w:rsidR="00B06F79" w:rsidRPr="003C25FA" w:rsidRDefault="00B06F79" w:rsidP="00B06F7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0,0</w:t>
            </w:r>
          </w:p>
        </w:tc>
        <w:tc>
          <w:tcPr>
            <w:tcW w:w="2268" w:type="dxa"/>
            <w:vAlign w:val="bottom"/>
          </w:tcPr>
          <w:p w14:paraId="7D7149F1" w14:textId="6C8A1C7D" w:rsidR="00B06F79" w:rsidRPr="003C25FA" w:rsidRDefault="00B06F79" w:rsidP="00B06F7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247,7</w:t>
            </w:r>
          </w:p>
        </w:tc>
      </w:tr>
      <w:tr w:rsidR="004668AA" w:rsidRPr="00B92B22" w14:paraId="5EF2B781"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5F0C8D83" w14:textId="77777777" w:rsidR="004D07CB" w:rsidRPr="003C25FA" w:rsidRDefault="004D07CB" w:rsidP="00F474E2">
            <w:pPr>
              <w:spacing w:after="120"/>
              <w:jc w:val="center"/>
              <w:rPr>
                <w:rFonts w:cs="Times New Roman"/>
                <w:color w:val="000000" w:themeColor="text1"/>
                <w:sz w:val="20"/>
                <w:szCs w:val="20"/>
              </w:rPr>
            </w:pPr>
          </w:p>
        </w:tc>
        <w:tc>
          <w:tcPr>
            <w:tcW w:w="2268" w:type="dxa"/>
          </w:tcPr>
          <w:p w14:paraId="7F9DCA9B" w14:textId="77777777" w:rsidR="004D07CB" w:rsidRPr="003C25FA"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Izpilde</w:t>
            </w:r>
          </w:p>
        </w:tc>
        <w:tc>
          <w:tcPr>
            <w:tcW w:w="2268" w:type="dxa"/>
            <w:vAlign w:val="bottom"/>
          </w:tcPr>
          <w:p w14:paraId="63728B5A" w14:textId="13FF227D" w:rsidR="004D07CB" w:rsidRPr="003C25FA" w:rsidRDefault="00B92B2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Pr>
                <w:rFonts w:eastAsia="Times New Roman" w:cs="Times New Roman"/>
                <w:color w:val="000000" w:themeColor="text1"/>
                <w:sz w:val="20"/>
                <w:szCs w:val="20"/>
              </w:rPr>
              <w:t>197,0</w:t>
            </w:r>
          </w:p>
        </w:tc>
        <w:tc>
          <w:tcPr>
            <w:tcW w:w="2268" w:type="dxa"/>
            <w:vAlign w:val="bottom"/>
          </w:tcPr>
          <w:p w14:paraId="3C58DD07" w14:textId="77777777" w:rsidR="004D07CB" w:rsidRPr="003C25FA"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29,8</w:t>
            </w:r>
          </w:p>
        </w:tc>
        <w:tc>
          <w:tcPr>
            <w:tcW w:w="2268" w:type="dxa"/>
            <w:vAlign w:val="bottom"/>
          </w:tcPr>
          <w:p w14:paraId="38242D82" w14:textId="3DDADF37" w:rsidR="004D07CB" w:rsidRPr="003C25FA" w:rsidRDefault="00B92B2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Pr>
                <w:rFonts w:eastAsia="Times New Roman" w:cs="Times New Roman"/>
                <w:color w:val="000000" w:themeColor="text1"/>
                <w:sz w:val="20"/>
                <w:szCs w:val="20"/>
              </w:rPr>
              <w:t>226,7</w:t>
            </w:r>
          </w:p>
        </w:tc>
      </w:tr>
      <w:tr w:rsidR="004668AA" w:rsidRPr="00B92B22" w14:paraId="2DFF6B5E" w14:textId="77777777" w:rsidTr="00F474E2">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2076C38E" w14:textId="77777777" w:rsidR="004D07CB" w:rsidRPr="003C25FA" w:rsidRDefault="004D07CB" w:rsidP="00F474E2">
            <w:pPr>
              <w:spacing w:after="120"/>
              <w:jc w:val="center"/>
              <w:rPr>
                <w:rFonts w:cs="Times New Roman"/>
                <w:color w:val="000000" w:themeColor="text1"/>
                <w:sz w:val="20"/>
                <w:szCs w:val="20"/>
                <w:highlight w:val="yellow"/>
              </w:rPr>
            </w:pPr>
          </w:p>
        </w:tc>
        <w:tc>
          <w:tcPr>
            <w:tcW w:w="0" w:type="dxa"/>
          </w:tcPr>
          <w:p w14:paraId="0738E373" w14:textId="77777777" w:rsidR="004D07CB" w:rsidRPr="003C25FA"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Novirze no plāna %</w:t>
            </w:r>
          </w:p>
        </w:tc>
        <w:tc>
          <w:tcPr>
            <w:tcW w:w="0" w:type="dxa"/>
            <w:vAlign w:val="bottom"/>
          </w:tcPr>
          <w:p w14:paraId="2C7A637B" w14:textId="10B2179A" w:rsidR="004D07CB" w:rsidRPr="003C25FA"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3C25FA">
              <w:rPr>
                <w:rFonts w:eastAsia="Times New Roman" w:cs="Times New Roman"/>
                <w:i/>
                <w:iCs/>
                <w:color w:val="000000" w:themeColor="text1"/>
                <w:sz w:val="20"/>
                <w:szCs w:val="20"/>
              </w:rPr>
              <w:t>-</w:t>
            </w:r>
            <w:r w:rsidR="00B92B22" w:rsidRPr="003C25FA">
              <w:rPr>
                <w:rFonts w:eastAsia="Times New Roman" w:cs="Times New Roman"/>
                <w:i/>
                <w:iCs/>
                <w:color w:val="000000" w:themeColor="text1"/>
                <w:sz w:val="20"/>
                <w:szCs w:val="20"/>
              </w:rPr>
              <w:t>20,5</w:t>
            </w:r>
            <w:r w:rsidRPr="003C25FA">
              <w:rPr>
                <w:rFonts w:eastAsia="Times New Roman" w:cs="Times New Roman"/>
                <w:i/>
                <w:iCs/>
                <w:color w:val="000000" w:themeColor="text1"/>
                <w:sz w:val="20"/>
                <w:szCs w:val="20"/>
              </w:rPr>
              <w:t>%</w:t>
            </w:r>
          </w:p>
        </w:tc>
        <w:tc>
          <w:tcPr>
            <w:tcW w:w="2268" w:type="dxa"/>
            <w:vAlign w:val="bottom"/>
          </w:tcPr>
          <w:p w14:paraId="6E474211" w14:textId="77777777" w:rsidR="004D07CB" w:rsidRPr="003C25FA"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3C25FA">
              <w:rPr>
                <w:rFonts w:eastAsia="Times New Roman" w:cs="Times New Roman"/>
                <w:i/>
                <w:iCs/>
                <w:color w:val="000000" w:themeColor="text1"/>
                <w:sz w:val="20"/>
                <w:szCs w:val="20"/>
              </w:rPr>
              <w:t> </w:t>
            </w:r>
          </w:p>
        </w:tc>
        <w:tc>
          <w:tcPr>
            <w:tcW w:w="2268" w:type="dxa"/>
            <w:vAlign w:val="bottom"/>
          </w:tcPr>
          <w:p w14:paraId="3EBE84F4" w14:textId="1B402186" w:rsidR="004D07CB" w:rsidRPr="003C25FA"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rPr>
            </w:pPr>
            <w:r w:rsidRPr="003C25FA">
              <w:rPr>
                <w:rFonts w:eastAsia="Times New Roman" w:cs="Times New Roman"/>
                <w:i/>
                <w:iCs/>
                <w:color w:val="000000" w:themeColor="text1"/>
                <w:sz w:val="20"/>
                <w:szCs w:val="20"/>
              </w:rPr>
              <w:t>-</w:t>
            </w:r>
            <w:r w:rsidR="00B92B22" w:rsidRPr="003C25FA">
              <w:rPr>
                <w:rFonts w:eastAsia="Times New Roman" w:cs="Times New Roman"/>
                <w:i/>
                <w:iCs/>
                <w:color w:val="000000" w:themeColor="text1"/>
                <w:sz w:val="20"/>
                <w:szCs w:val="20"/>
              </w:rPr>
              <w:t>8,5</w:t>
            </w:r>
            <w:r w:rsidRPr="003C25FA">
              <w:rPr>
                <w:rFonts w:eastAsia="Times New Roman" w:cs="Times New Roman"/>
                <w:i/>
                <w:iCs/>
                <w:color w:val="000000" w:themeColor="text1"/>
                <w:sz w:val="20"/>
                <w:szCs w:val="20"/>
              </w:rPr>
              <w:t>%</w:t>
            </w:r>
          </w:p>
        </w:tc>
      </w:tr>
      <w:tr w:rsidR="00B92B22" w:rsidRPr="00B92B22" w14:paraId="252F4D64"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7F640214" w14:textId="7B4A2D36" w:rsidR="00B92B22" w:rsidRPr="003C25FA" w:rsidRDefault="00B92B22" w:rsidP="00F474E2">
            <w:pPr>
              <w:spacing w:after="120"/>
              <w:jc w:val="center"/>
              <w:rPr>
                <w:rFonts w:cs="Times New Roman"/>
                <w:color w:val="000000" w:themeColor="text1"/>
                <w:sz w:val="20"/>
                <w:szCs w:val="20"/>
                <w:highlight w:val="yellow"/>
              </w:rPr>
            </w:pPr>
            <w:r w:rsidRPr="003C25FA">
              <w:rPr>
                <w:rFonts w:cs="Times New Roman"/>
                <w:color w:val="000000" w:themeColor="text1"/>
                <w:sz w:val="20"/>
                <w:szCs w:val="20"/>
              </w:rPr>
              <w:t>2024</w:t>
            </w:r>
          </w:p>
        </w:tc>
        <w:tc>
          <w:tcPr>
            <w:tcW w:w="2268" w:type="dxa"/>
          </w:tcPr>
          <w:p w14:paraId="3AB0C47C" w14:textId="79861410" w:rsidR="00B92B22" w:rsidRPr="003C25FA" w:rsidRDefault="00B92B22" w:rsidP="00B92B2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Plāns</w:t>
            </w:r>
          </w:p>
        </w:tc>
        <w:tc>
          <w:tcPr>
            <w:tcW w:w="2268" w:type="dxa"/>
            <w:vAlign w:val="bottom"/>
          </w:tcPr>
          <w:p w14:paraId="2A6E8F68" w14:textId="482C4714" w:rsidR="00B92B22" w:rsidRPr="003C25FA"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color w:val="000000" w:themeColor="text1"/>
                <w:sz w:val="20"/>
                <w:szCs w:val="20"/>
              </w:rPr>
              <w:t>399,9</w:t>
            </w:r>
          </w:p>
        </w:tc>
        <w:tc>
          <w:tcPr>
            <w:tcW w:w="2268" w:type="dxa"/>
            <w:vAlign w:val="bottom"/>
          </w:tcPr>
          <w:p w14:paraId="6E8051C2" w14:textId="65AFB6C3" w:rsidR="00B92B22" w:rsidRPr="003C25FA"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color w:val="000000" w:themeColor="text1"/>
                <w:sz w:val="20"/>
                <w:szCs w:val="20"/>
              </w:rPr>
              <w:t>0,0</w:t>
            </w:r>
          </w:p>
        </w:tc>
        <w:tc>
          <w:tcPr>
            <w:tcW w:w="2268" w:type="dxa"/>
            <w:vAlign w:val="bottom"/>
          </w:tcPr>
          <w:p w14:paraId="4BCD7C88" w14:textId="21033148" w:rsidR="00B92B22" w:rsidRPr="003C25FA"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color w:val="000000" w:themeColor="text1"/>
                <w:sz w:val="20"/>
                <w:szCs w:val="20"/>
              </w:rPr>
              <w:t>399,9</w:t>
            </w:r>
          </w:p>
        </w:tc>
      </w:tr>
      <w:tr w:rsidR="00B92B22" w:rsidRPr="00B92B22" w14:paraId="576058E4" w14:textId="77777777" w:rsidTr="00F474E2">
        <w:tc>
          <w:tcPr>
            <w:cnfStyle w:val="001000000000" w:firstRow="0" w:lastRow="0" w:firstColumn="1" w:lastColumn="0" w:oddVBand="0" w:evenVBand="0" w:oddHBand="0" w:evenHBand="0" w:firstRowFirstColumn="0" w:firstRowLastColumn="0" w:lastRowFirstColumn="0" w:lastRowLastColumn="0"/>
            <w:tcW w:w="851" w:type="dxa"/>
            <w:vMerge/>
          </w:tcPr>
          <w:p w14:paraId="329C4D3E" w14:textId="77777777" w:rsidR="00B92B22" w:rsidRPr="003C25FA" w:rsidRDefault="00B92B22" w:rsidP="00B92B22">
            <w:pPr>
              <w:spacing w:after="120"/>
              <w:jc w:val="center"/>
              <w:rPr>
                <w:rFonts w:eastAsia="Times New Roman" w:cs="Times New Roman"/>
                <w:color w:val="000000" w:themeColor="text1"/>
                <w:sz w:val="20"/>
                <w:szCs w:val="20"/>
              </w:rPr>
            </w:pPr>
          </w:p>
        </w:tc>
        <w:tc>
          <w:tcPr>
            <w:tcW w:w="2268" w:type="dxa"/>
          </w:tcPr>
          <w:p w14:paraId="314C16EB" w14:textId="263EF626" w:rsidR="00B92B22" w:rsidRPr="003C25FA" w:rsidRDefault="00B92B22" w:rsidP="00B92B2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Izpilde</w:t>
            </w:r>
          </w:p>
        </w:tc>
        <w:tc>
          <w:tcPr>
            <w:tcW w:w="2268" w:type="dxa"/>
            <w:vAlign w:val="bottom"/>
          </w:tcPr>
          <w:p w14:paraId="4F181594" w14:textId="128653DA" w:rsidR="00B92B22" w:rsidRPr="003C25FA" w:rsidRDefault="00B92B22" w:rsidP="00B92B2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color w:val="000000" w:themeColor="text1"/>
                <w:sz w:val="20"/>
                <w:szCs w:val="20"/>
              </w:rPr>
              <w:t>271,0</w:t>
            </w:r>
          </w:p>
        </w:tc>
        <w:tc>
          <w:tcPr>
            <w:tcW w:w="2268" w:type="dxa"/>
            <w:vAlign w:val="bottom"/>
          </w:tcPr>
          <w:p w14:paraId="6A00B14B" w14:textId="464B8A9E" w:rsidR="00B92B22" w:rsidRPr="003C25FA" w:rsidRDefault="00B92B22" w:rsidP="00B92B2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color w:val="000000" w:themeColor="text1"/>
                <w:sz w:val="20"/>
                <w:szCs w:val="20"/>
              </w:rPr>
              <w:t>17,5</w:t>
            </w:r>
          </w:p>
        </w:tc>
        <w:tc>
          <w:tcPr>
            <w:tcW w:w="2268" w:type="dxa"/>
            <w:vAlign w:val="bottom"/>
          </w:tcPr>
          <w:p w14:paraId="379E84FB" w14:textId="5B11A09F" w:rsidR="00B92B22" w:rsidRPr="003C25FA" w:rsidRDefault="00B92B22" w:rsidP="00B92B2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color w:val="000000" w:themeColor="text1"/>
                <w:sz w:val="20"/>
                <w:szCs w:val="20"/>
              </w:rPr>
              <w:t>288,4</w:t>
            </w:r>
          </w:p>
        </w:tc>
      </w:tr>
      <w:tr w:rsidR="00B92B22" w:rsidRPr="00B92B22" w14:paraId="2CDF246F" w14:textId="77777777" w:rsidTr="00F47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7FCBBECF" w14:textId="77777777" w:rsidR="00B92B22" w:rsidRPr="003C25FA" w:rsidRDefault="00B92B22" w:rsidP="00B92B22">
            <w:pPr>
              <w:spacing w:after="120"/>
              <w:jc w:val="center"/>
              <w:rPr>
                <w:rFonts w:eastAsia="Times New Roman" w:cs="Times New Roman"/>
                <w:color w:val="000000" w:themeColor="text1"/>
                <w:sz w:val="20"/>
                <w:szCs w:val="20"/>
              </w:rPr>
            </w:pPr>
          </w:p>
        </w:tc>
        <w:tc>
          <w:tcPr>
            <w:tcW w:w="0" w:type="dxa"/>
          </w:tcPr>
          <w:p w14:paraId="4663FE70" w14:textId="07857F29" w:rsidR="00B92B22" w:rsidRPr="003C25FA" w:rsidRDefault="00B92B22" w:rsidP="00B92B2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3C25FA">
              <w:rPr>
                <w:rFonts w:eastAsia="Times New Roman" w:cs="Times New Roman"/>
                <w:color w:val="000000" w:themeColor="text1"/>
                <w:sz w:val="20"/>
                <w:szCs w:val="20"/>
              </w:rPr>
              <w:t>Novirze no plāna %</w:t>
            </w:r>
          </w:p>
        </w:tc>
        <w:tc>
          <w:tcPr>
            <w:tcW w:w="0" w:type="dxa"/>
            <w:vAlign w:val="bottom"/>
          </w:tcPr>
          <w:p w14:paraId="0524F69E" w14:textId="4E4BC9B4" w:rsidR="00B92B22" w:rsidRPr="003C25FA"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i/>
                <w:iCs/>
                <w:color w:val="000000" w:themeColor="text1"/>
                <w:sz w:val="20"/>
                <w:szCs w:val="20"/>
              </w:rPr>
              <w:t>-32,2%</w:t>
            </w:r>
          </w:p>
        </w:tc>
        <w:tc>
          <w:tcPr>
            <w:tcW w:w="0" w:type="dxa"/>
            <w:vAlign w:val="bottom"/>
          </w:tcPr>
          <w:p w14:paraId="7615BC66" w14:textId="0652DC76" w:rsidR="00B92B22" w:rsidRPr="003C25FA"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i/>
                <w:iCs/>
                <w:color w:val="000000" w:themeColor="text1"/>
                <w:sz w:val="20"/>
                <w:szCs w:val="20"/>
              </w:rPr>
              <w:t> </w:t>
            </w:r>
          </w:p>
        </w:tc>
        <w:tc>
          <w:tcPr>
            <w:tcW w:w="2268" w:type="dxa"/>
            <w:vAlign w:val="bottom"/>
          </w:tcPr>
          <w:p w14:paraId="3AE98D51" w14:textId="18B64511" w:rsidR="00B92B22" w:rsidRPr="003C25FA" w:rsidRDefault="00B92B22" w:rsidP="00B92B2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9A2E0A">
              <w:rPr>
                <w:rFonts w:eastAsia="Times New Roman" w:cs="Times New Roman"/>
                <w:i/>
                <w:iCs/>
                <w:color w:val="000000" w:themeColor="text1"/>
                <w:sz w:val="20"/>
                <w:szCs w:val="20"/>
              </w:rPr>
              <w:t>-27,9%</w:t>
            </w:r>
          </w:p>
        </w:tc>
      </w:tr>
    </w:tbl>
    <w:p w14:paraId="3FB479AB" w14:textId="77777777" w:rsidR="00631168" w:rsidRPr="00883EE7" w:rsidRDefault="00631168" w:rsidP="00631168">
      <w:pPr>
        <w:spacing w:after="0" w:line="240" w:lineRule="auto"/>
        <w:ind w:firstLine="720"/>
        <w:jc w:val="both"/>
        <w:rPr>
          <w:sz w:val="4"/>
          <w:szCs w:val="4"/>
          <w:highlight w:val="yellow"/>
        </w:rPr>
      </w:pPr>
    </w:p>
    <w:p w14:paraId="6D4E9E21" w14:textId="77777777" w:rsidR="00497710" w:rsidRPr="00883EE7" w:rsidRDefault="00497710" w:rsidP="00631168">
      <w:pPr>
        <w:spacing w:after="0" w:line="240" w:lineRule="auto"/>
        <w:ind w:firstLine="720"/>
        <w:jc w:val="both"/>
        <w:rPr>
          <w:sz w:val="4"/>
          <w:szCs w:val="4"/>
          <w:highlight w:val="yellow"/>
        </w:rPr>
      </w:pPr>
    </w:p>
    <w:p w14:paraId="506000AF" w14:textId="77777777" w:rsidR="00497710" w:rsidRPr="00883EE7" w:rsidRDefault="00497710" w:rsidP="00A96163">
      <w:pPr>
        <w:spacing w:after="0" w:line="240" w:lineRule="auto"/>
        <w:ind w:firstLine="720"/>
        <w:jc w:val="both"/>
        <w:rPr>
          <w:rFonts w:ascii="Times New Roman" w:eastAsiaTheme="minorHAnsi" w:hAnsi="Times New Roman"/>
          <w:bCs/>
          <w:iCs/>
          <w:color w:val="000000" w:themeColor="text1"/>
          <w:sz w:val="24"/>
          <w:highlight w:val="yellow"/>
        </w:rPr>
      </w:pPr>
    </w:p>
    <w:p w14:paraId="04C0E35F" w14:textId="4D8602B6" w:rsidR="00497710" w:rsidRDefault="21C7E381" w:rsidP="469479B5">
      <w:pPr>
        <w:spacing w:after="120" w:line="240" w:lineRule="auto"/>
        <w:ind w:firstLine="720"/>
        <w:jc w:val="both"/>
        <w:rPr>
          <w:rFonts w:ascii="Times New Roman" w:hAnsi="Times New Roman"/>
          <w:color w:val="000000" w:themeColor="text1"/>
          <w:sz w:val="24"/>
          <w:szCs w:val="24"/>
        </w:rPr>
      </w:pPr>
      <w:r w:rsidRPr="469479B5">
        <w:rPr>
          <w:rFonts w:ascii="Times New Roman" w:hAnsi="Times New Roman"/>
          <w:color w:val="000000" w:themeColor="text1"/>
          <w:sz w:val="24"/>
          <w:szCs w:val="24"/>
        </w:rPr>
        <w:t xml:space="preserve">Atbilstoši tabulā </w:t>
      </w:r>
      <w:r w:rsidR="43B306BB" w:rsidRPr="469479B5">
        <w:rPr>
          <w:rFonts w:ascii="Times New Roman" w:hAnsi="Times New Roman"/>
          <w:color w:val="000000" w:themeColor="text1"/>
          <w:sz w:val="24"/>
          <w:szCs w:val="24"/>
        </w:rPr>
        <w:t>Nr.2.6.3</w:t>
      </w:r>
      <w:r w:rsidRPr="469479B5">
        <w:rPr>
          <w:rFonts w:ascii="Times New Roman" w:hAnsi="Times New Roman"/>
          <w:color w:val="000000" w:themeColor="text1"/>
          <w:sz w:val="24"/>
          <w:szCs w:val="24"/>
        </w:rPr>
        <w:t xml:space="preserve"> norādītajam secināms, ka valsts budžeta līdzfinansējums, salīdzinot ar rezultātiem </w:t>
      </w:r>
      <w:r w:rsidR="3EA95970" w:rsidRPr="469479B5">
        <w:rPr>
          <w:rFonts w:ascii="Times New Roman" w:hAnsi="Times New Roman"/>
          <w:color w:val="000000" w:themeColor="text1"/>
          <w:sz w:val="24"/>
          <w:szCs w:val="24"/>
        </w:rPr>
        <w:t xml:space="preserve">2.6.1 </w:t>
      </w:r>
      <w:r w:rsidRPr="469479B5">
        <w:rPr>
          <w:rFonts w:ascii="Times New Roman" w:hAnsi="Times New Roman"/>
          <w:color w:val="000000" w:themeColor="text1"/>
          <w:sz w:val="24"/>
          <w:szCs w:val="24"/>
        </w:rPr>
        <w:t>tabulā, nav bijis pietiekošs tikai 2022.</w:t>
      </w:r>
      <w:r w:rsidR="29C44110" w:rsidRPr="469479B5">
        <w:rPr>
          <w:rFonts w:ascii="Times New Roman" w:hAnsi="Times New Roman" w:cs="Times New Roman"/>
          <w:b/>
          <w:bCs/>
          <w:sz w:val="24"/>
          <w:szCs w:val="24"/>
        </w:rPr>
        <w:t xml:space="preserve"> </w:t>
      </w:r>
      <w:r w:rsidRPr="469479B5">
        <w:rPr>
          <w:rFonts w:ascii="Times New Roman" w:hAnsi="Times New Roman"/>
          <w:color w:val="000000" w:themeColor="text1"/>
          <w:sz w:val="24"/>
          <w:szCs w:val="24"/>
        </w:rPr>
        <w:t xml:space="preserve">gadā, kad 77,9 milj. </w:t>
      </w:r>
      <w:r w:rsidRPr="469479B5">
        <w:rPr>
          <w:rFonts w:ascii="Times New Roman" w:hAnsi="Times New Roman"/>
          <w:i/>
          <w:iCs/>
          <w:color w:val="000000" w:themeColor="text1"/>
          <w:sz w:val="24"/>
          <w:szCs w:val="24"/>
        </w:rPr>
        <w:t>euro</w:t>
      </w:r>
      <w:r w:rsidRPr="469479B5">
        <w:rPr>
          <w:rFonts w:ascii="Times New Roman" w:hAnsi="Times New Roman"/>
          <w:color w:val="000000" w:themeColor="text1"/>
          <w:sz w:val="24"/>
          <w:szCs w:val="24"/>
        </w:rPr>
        <w:t xml:space="preserve"> no 80.</w:t>
      </w:r>
      <w:r w:rsidR="00917BA6">
        <w:rPr>
          <w:rFonts w:ascii="Times New Roman" w:hAnsi="Times New Roman"/>
          <w:color w:val="000000" w:themeColor="text1"/>
          <w:sz w:val="24"/>
          <w:szCs w:val="24"/>
        </w:rPr>
        <w:t xml:space="preserve"> </w:t>
      </w:r>
      <w:r w:rsidRPr="469479B5">
        <w:rPr>
          <w:rFonts w:ascii="Times New Roman" w:hAnsi="Times New Roman"/>
          <w:color w:val="000000" w:themeColor="text1"/>
          <w:sz w:val="24"/>
          <w:szCs w:val="24"/>
        </w:rPr>
        <w:t xml:space="preserve">programmas tika pārdalīti </w:t>
      </w:r>
      <w:r w:rsidR="00035061">
        <w:rPr>
          <w:rFonts w:ascii="Times New Roman" w:hAnsi="Times New Roman"/>
          <w:color w:val="000000" w:themeColor="text1"/>
          <w:sz w:val="24"/>
          <w:szCs w:val="24"/>
        </w:rPr>
        <w:t>EM</w:t>
      </w:r>
      <w:r w:rsidRPr="469479B5">
        <w:rPr>
          <w:rFonts w:ascii="Times New Roman" w:hAnsi="Times New Roman"/>
          <w:color w:val="000000" w:themeColor="text1"/>
          <w:sz w:val="24"/>
          <w:szCs w:val="24"/>
        </w:rPr>
        <w:t xml:space="preserve"> programmai 29.07.00 “Emisijas kvotu izsolīšanas instrumenta finansējums elektroenerģijas lietotāju atbalstam”. Ņemot vērā, ka negatīvā ietekme uz vispārējās valdības budžeta bilanci</w:t>
      </w:r>
      <w:r w:rsidR="00B92B22">
        <w:rPr>
          <w:rFonts w:ascii="Times New Roman" w:hAnsi="Times New Roman"/>
          <w:color w:val="000000" w:themeColor="text1"/>
          <w:sz w:val="24"/>
          <w:szCs w:val="24"/>
        </w:rPr>
        <w:t>, ņemot vērā pārdales no 80. programmas citu projektu un pasākumu īstenošanai,</w:t>
      </w:r>
      <w:r w:rsidRPr="469479B5">
        <w:rPr>
          <w:rFonts w:ascii="Times New Roman" w:hAnsi="Times New Roman"/>
          <w:color w:val="000000" w:themeColor="text1"/>
          <w:sz w:val="24"/>
          <w:szCs w:val="24"/>
        </w:rPr>
        <w:t xml:space="preserve"> ir bijusi novērota tikai vienu reizi kopš 2014.</w:t>
      </w:r>
      <w:r w:rsidR="06959429" w:rsidRPr="469479B5">
        <w:rPr>
          <w:rFonts w:ascii="Times New Roman" w:hAnsi="Times New Roman" w:cs="Times New Roman"/>
          <w:b/>
          <w:bCs/>
          <w:sz w:val="24"/>
          <w:szCs w:val="24"/>
        </w:rPr>
        <w:t xml:space="preserve"> </w:t>
      </w:r>
      <w:r w:rsidRPr="469479B5">
        <w:rPr>
          <w:rFonts w:ascii="Times New Roman" w:hAnsi="Times New Roman"/>
          <w:color w:val="000000" w:themeColor="text1"/>
          <w:sz w:val="24"/>
          <w:szCs w:val="24"/>
        </w:rPr>
        <w:t>gada, tad</w:t>
      </w:r>
      <w:r w:rsidR="00B92B22" w:rsidRPr="00B92B22">
        <w:rPr>
          <w:rFonts w:ascii="Times New Roman" w:hAnsi="Times New Roman"/>
          <w:color w:val="000000" w:themeColor="text1"/>
          <w:sz w:val="24"/>
          <w:szCs w:val="24"/>
        </w:rPr>
        <w:t xml:space="preserve"> </w:t>
      </w:r>
      <w:r w:rsidR="00B92B22">
        <w:rPr>
          <w:rFonts w:ascii="Times New Roman" w:hAnsi="Times New Roman"/>
          <w:color w:val="000000" w:themeColor="text1"/>
          <w:sz w:val="24"/>
          <w:szCs w:val="24"/>
        </w:rPr>
        <w:t>kopējo fiskālā riska novērtējum</w:t>
      </w:r>
      <w:r w:rsidR="00D606CA">
        <w:rPr>
          <w:rFonts w:ascii="Times New Roman" w:hAnsi="Times New Roman"/>
          <w:color w:val="000000" w:themeColor="text1"/>
          <w:sz w:val="24"/>
          <w:szCs w:val="24"/>
        </w:rPr>
        <w:t>u</w:t>
      </w:r>
      <w:r w:rsidR="00B92B22">
        <w:rPr>
          <w:rFonts w:ascii="Times New Roman" w:hAnsi="Times New Roman"/>
          <w:color w:val="000000" w:themeColor="text1"/>
          <w:sz w:val="24"/>
          <w:szCs w:val="24"/>
        </w:rPr>
        <w:t xml:space="preserve"> tas nemaina, un attiecīgi</w:t>
      </w:r>
      <w:r w:rsidRPr="469479B5">
        <w:rPr>
          <w:rFonts w:ascii="Times New Roman" w:hAnsi="Times New Roman"/>
          <w:color w:val="000000" w:themeColor="text1"/>
          <w:sz w:val="24"/>
          <w:szCs w:val="24"/>
        </w:rPr>
        <w:t xml:space="preserve"> papildus </w:t>
      </w:r>
      <w:r w:rsidRPr="469479B5">
        <w:rPr>
          <w:rFonts w:ascii="Times New Roman" w:hAnsi="Times New Roman"/>
          <w:b/>
          <w:bCs/>
          <w:color w:val="000000" w:themeColor="text1"/>
          <w:sz w:val="24"/>
          <w:szCs w:val="24"/>
        </w:rPr>
        <w:t>fiskālā nodrošinājuma rezerve šim riskam netiek veidota</w:t>
      </w:r>
      <w:r w:rsidRPr="469479B5">
        <w:rPr>
          <w:rFonts w:ascii="Times New Roman" w:hAnsi="Times New Roman"/>
          <w:color w:val="000000" w:themeColor="text1"/>
          <w:sz w:val="24"/>
          <w:szCs w:val="24"/>
        </w:rPr>
        <w:t>. T</w:t>
      </w:r>
      <w:r w:rsidR="3F9AC807" w:rsidRPr="469479B5">
        <w:rPr>
          <w:rFonts w:ascii="Times New Roman" w:hAnsi="Times New Roman"/>
          <w:color w:val="000000" w:themeColor="text1"/>
          <w:sz w:val="24"/>
          <w:szCs w:val="24"/>
        </w:rPr>
        <w:t>omēr arī t</w:t>
      </w:r>
      <w:r w:rsidRPr="469479B5">
        <w:rPr>
          <w:rFonts w:ascii="Times New Roman" w:hAnsi="Times New Roman"/>
          <w:color w:val="000000" w:themeColor="text1"/>
          <w:sz w:val="24"/>
          <w:szCs w:val="24"/>
        </w:rPr>
        <w:t>urpmāk jāanalizē vai 80.</w:t>
      </w:r>
      <w:r w:rsidR="69442058" w:rsidRPr="469479B5">
        <w:rPr>
          <w:rFonts w:ascii="Times New Roman" w:hAnsi="Times New Roman" w:cs="Times New Roman"/>
          <w:b/>
          <w:bCs/>
          <w:sz w:val="24"/>
          <w:szCs w:val="24"/>
        </w:rPr>
        <w:t xml:space="preserve"> </w:t>
      </w:r>
      <w:r w:rsidRPr="469479B5">
        <w:rPr>
          <w:rFonts w:ascii="Times New Roman" w:hAnsi="Times New Roman"/>
          <w:color w:val="000000" w:themeColor="text1"/>
          <w:sz w:val="24"/>
          <w:szCs w:val="24"/>
        </w:rPr>
        <w:t>programmā tiek rezervēts finansējums pietiekošā apjomā un valsts budžeta līdzfinansējumam tiek noteikta atbilstoša līdzfinansējuma likme.</w:t>
      </w:r>
    </w:p>
    <w:tbl>
      <w:tblPr>
        <w:tblStyle w:val="TableGrid"/>
        <w:tblW w:w="0" w:type="auto"/>
        <w:tblLook w:val="04A0" w:firstRow="1" w:lastRow="0" w:firstColumn="1" w:lastColumn="0" w:noHBand="0" w:noVBand="1"/>
      </w:tblPr>
      <w:tblGrid>
        <w:gridCol w:w="9849"/>
      </w:tblGrid>
      <w:tr w:rsidR="00B92B22" w:rsidRPr="00883EE7" w14:paraId="1FC4FA02" w14:textId="77777777" w:rsidTr="003C25FA">
        <w:trPr>
          <w:trHeight w:val="1692"/>
        </w:trPr>
        <w:tc>
          <w:tcPr>
            <w:tcW w:w="9628" w:type="dxa"/>
            <w:tcBorders>
              <w:bottom w:val="single" w:sz="4" w:space="0" w:color="auto"/>
            </w:tcBorders>
            <w:shd w:val="clear" w:color="auto" w:fill="DEEAF6" w:themeFill="accent1" w:themeFillTint="33"/>
          </w:tcPr>
          <w:p w14:paraId="48AF7C43" w14:textId="77777777" w:rsidR="00B92B22" w:rsidRPr="00940337" w:rsidRDefault="00B92B22" w:rsidP="009A2E0A">
            <w:pPr>
              <w:spacing w:before="120"/>
              <w:ind w:firstLine="743"/>
              <w:jc w:val="center"/>
              <w:rPr>
                <w:rFonts w:eastAsia="Times New Roman" w:cs="Times New Roman"/>
                <w:b/>
                <w:bCs/>
              </w:rPr>
            </w:pPr>
            <w:r w:rsidRPr="00945DC6">
              <w:rPr>
                <w:rFonts w:eastAsia="Times New Roman" w:cs="Times New Roman"/>
                <w:b/>
                <w:bCs/>
                <w:i/>
                <w:iCs/>
              </w:rPr>
              <w:t>Rail Baltica</w:t>
            </w:r>
            <w:r w:rsidRPr="00945DC6">
              <w:rPr>
                <w:rFonts w:eastAsia="Times New Roman" w:cs="Times New Roman"/>
                <w:b/>
                <w:bCs/>
              </w:rPr>
              <w:t xml:space="preserve"> projekts</w:t>
            </w:r>
          </w:p>
          <w:p w14:paraId="0F3EE16C" w14:textId="77777777" w:rsidR="00B92B22" w:rsidRPr="00940337" w:rsidRDefault="00B92B22" w:rsidP="009A2E0A">
            <w:pPr>
              <w:ind w:firstLine="741"/>
              <w:jc w:val="center"/>
              <w:rPr>
                <w:rFonts w:eastAsia="Times New Roman" w:cs="Times New Roman"/>
                <w:b/>
                <w:bCs/>
                <w:sz w:val="14"/>
                <w:szCs w:val="14"/>
              </w:rPr>
            </w:pPr>
          </w:p>
          <w:p w14:paraId="7A5A9FDB" w14:textId="77777777" w:rsidR="00B92B22" w:rsidRPr="008921AF" w:rsidRDefault="00B92B22" w:rsidP="009A2E0A">
            <w:pPr>
              <w:ind w:firstLine="743"/>
              <w:jc w:val="both"/>
              <w:rPr>
                <w:rFonts w:eastAsia="Times New Roman" w:cs="Times New Roman"/>
                <w:szCs w:val="24"/>
              </w:rPr>
            </w:pPr>
            <w:r w:rsidRPr="008921AF">
              <w:rPr>
                <w:rFonts w:eastAsia="Times New Roman" w:cs="Times New Roman"/>
                <w:szCs w:val="24"/>
              </w:rPr>
              <w:t xml:space="preserve">Deklarācijas ietvaros atsevišķa uzmanība tiek pievērsta lielākajam infrastruktūras projektam Baltijas reģionā </w:t>
            </w:r>
            <w:r w:rsidRPr="469479B5">
              <w:rPr>
                <w:rFonts w:cs="Times New Roman"/>
                <w:color w:val="000000" w:themeColor="text1"/>
                <w:szCs w:val="24"/>
              </w:rPr>
              <w:t>–</w:t>
            </w:r>
            <w:r w:rsidRPr="008921AF">
              <w:rPr>
                <w:rFonts w:eastAsia="Times New Roman" w:cs="Times New Roman"/>
                <w:szCs w:val="24"/>
              </w:rPr>
              <w:t xml:space="preserve"> </w:t>
            </w:r>
            <w:r w:rsidRPr="008921AF">
              <w:rPr>
                <w:rFonts w:eastAsia="Times New Roman" w:cs="Times New Roman"/>
                <w:i/>
                <w:iCs/>
                <w:szCs w:val="24"/>
              </w:rPr>
              <w:t>Rail Baltica</w:t>
            </w:r>
            <w:r w:rsidRPr="008921AF">
              <w:rPr>
                <w:rFonts w:eastAsia="Times New Roman" w:cs="Times New Roman"/>
                <w:szCs w:val="24"/>
              </w:rPr>
              <w:t xml:space="preserve">. Projekta ieviešanā var veidoties būtiskas nobīdes, kas var ietekmēt vispārējās valdības budžeta bilanci. </w:t>
            </w:r>
          </w:p>
          <w:p w14:paraId="01B39A89" w14:textId="6E86E6DC" w:rsidR="00B92B22" w:rsidRPr="008921AF" w:rsidRDefault="00B92B22" w:rsidP="009A2E0A">
            <w:pPr>
              <w:ind w:firstLine="743"/>
              <w:jc w:val="both"/>
              <w:rPr>
                <w:rFonts w:eastAsia="Times New Roman" w:cs="Times New Roman"/>
                <w:szCs w:val="24"/>
              </w:rPr>
            </w:pPr>
            <w:r w:rsidRPr="008921AF">
              <w:rPr>
                <w:rFonts w:eastAsia="Times New Roman" w:cs="Times New Roman"/>
                <w:i/>
                <w:iCs/>
                <w:szCs w:val="24"/>
              </w:rPr>
              <w:t>Rail Baltica</w:t>
            </w:r>
            <w:r w:rsidRPr="008921AF">
              <w:rPr>
                <w:rFonts w:eastAsia="Times New Roman" w:cs="Times New Roman"/>
                <w:szCs w:val="24"/>
              </w:rPr>
              <w:t xml:space="preserve"> projekts ir Eiropas standarta platuma dzelzceļa transporta </w:t>
            </w:r>
            <w:r w:rsidRPr="008921AF">
              <w:rPr>
                <w:rFonts w:eastAsia="Times New Roman" w:cs="Times New Roman"/>
                <w:color w:val="000000" w:themeColor="text1"/>
                <w:szCs w:val="24"/>
              </w:rPr>
              <w:t>Eiropas transporta tīkla (turpmāk</w:t>
            </w:r>
            <w:r w:rsidR="00035061">
              <w:rPr>
                <w:rFonts w:eastAsia="Times New Roman" w:cs="Times New Roman"/>
                <w:szCs w:val="24"/>
              </w:rPr>
              <w:t xml:space="preserve"> – TEN</w:t>
            </w:r>
            <w:r w:rsidR="00F72D06">
              <w:rPr>
                <w:rFonts w:eastAsia="Times New Roman" w:cs="Times New Roman"/>
                <w:szCs w:val="24"/>
              </w:rPr>
              <w:t>–</w:t>
            </w:r>
            <w:r w:rsidR="00035061">
              <w:rPr>
                <w:rFonts w:eastAsia="Times New Roman" w:cs="Times New Roman"/>
                <w:szCs w:val="24"/>
              </w:rPr>
              <w:t>T</w:t>
            </w:r>
            <w:r w:rsidRPr="008921AF">
              <w:rPr>
                <w:rFonts w:eastAsia="Times New Roman" w:cs="Times New Roman"/>
                <w:szCs w:val="24"/>
              </w:rPr>
              <w:t xml:space="preserve">) Ziemeļjūras – Baltijas koridora transporta sistēmas elements, kas aptver četras ES dalībvalstis – Poliju, Lietuvu, Latviju un Igauniju, un netieši arī Somiju. Paredzēts, ka dzelzceļa līnija savienos Helsinkus, Tallinu, Pērnavu, Rīgu, Paņevežu, Kauņu, Viļņu un Varšavu. </w:t>
            </w:r>
            <w:r w:rsidRPr="008921AF">
              <w:rPr>
                <w:rFonts w:eastAsia="Times New Roman" w:cs="Times New Roman"/>
                <w:i/>
                <w:iCs/>
                <w:szCs w:val="24"/>
              </w:rPr>
              <w:t>Rail Baltica</w:t>
            </w:r>
            <w:r w:rsidRPr="008921AF">
              <w:rPr>
                <w:rFonts w:eastAsia="Times New Roman" w:cs="Times New Roman"/>
                <w:szCs w:val="24"/>
              </w:rPr>
              <w:t xml:space="preserve"> projekta mērķis ir savienot Baltijas valstis ar Poliju un pārējo ES ar efektīvu, modernu, drošu, videi draudzīgu un tirgus prasībām atbilstošu dzelzceļa pārvadājumu sistēmu. Ziemeļu – Dienvidu virziena 1435 mm platuma dzelzceļa līnijas izbūve veicinās Baltijas valstu transporta infrastruktūras sistēmas integrāciju ES, kā arī tautsaimniecības ilgtspēju un diversificētu attīstību, palielinot tās konkurētspēju. </w:t>
            </w:r>
          </w:p>
          <w:p w14:paraId="623C248D" w14:textId="42D56CF3" w:rsidR="00B92B22" w:rsidRDefault="00B92B22" w:rsidP="009A2E0A">
            <w:pPr>
              <w:ind w:firstLine="743"/>
              <w:jc w:val="both"/>
              <w:rPr>
                <w:rFonts w:eastAsia="Times New Roman" w:cs="Times New Roman"/>
                <w:szCs w:val="24"/>
              </w:rPr>
            </w:pPr>
            <w:r w:rsidRPr="008921AF">
              <w:rPr>
                <w:rFonts w:eastAsia="Times New Roman" w:cs="Times New Roman"/>
                <w:szCs w:val="24"/>
              </w:rPr>
              <w:t>Saskaņā ar 2017. gadā veikto ieguvumu</w:t>
            </w:r>
            <w:r w:rsidRPr="469479B5">
              <w:rPr>
                <w:rFonts w:cs="Times New Roman"/>
                <w:color w:val="000000" w:themeColor="text1"/>
                <w:szCs w:val="24"/>
              </w:rPr>
              <w:t>–</w:t>
            </w:r>
            <w:r w:rsidRPr="008921AF">
              <w:rPr>
                <w:rFonts w:eastAsia="Times New Roman" w:cs="Times New Roman"/>
                <w:szCs w:val="24"/>
              </w:rPr>
              <w:t>izdevumu analīzi</w:t>
            </w:r>
            <w:r w:rsidRPr="008921AF">
              <w:rPr>
                <w:rStyle w:val="FootnoteReference"/>
                <w:rFonts w:eastAsia="Times New Roman" w:cs="Times New Roman"/>
                <w:szCs w:val="24"/>
              </w:rPr>
              <w:footnoteReference w:id="14"/>
            </w:r>
            <w:r w:rsidRPr="008921AF">
              <w:rPr>
                <w:rFonts w:eastAsia="Times New Roman" w:cs="Times New Roman"/>
                <w:szCs w:val="24"/>
              </w:rPr>
              <w:t xml:space="preserve">, kopējās projekta būvniecības izmaksas tika aplēstas ap 5,8 mljrd. </w:t>
            </w:r>
            <w:r w:rsidRPr="008921AF">
              <w:rPr>
                <w:rFonts w:eastAsia="Times New Roman" w:cs="Times New Roman"/>
                <w:i/>
                <w:iCs/>
                <w:szCs w:val="24"/>
              </w:rPr>
              <w:t>euro</w:t>
            </w:r>
            <w:r w:rsidRPr="008921AF">
              <w:rPr>
                <w:rFonts w:eastAsia="Times New Roman" w:cs="Times New Roman"/>
                <w:szCs w:val="24"/>
              </w:rPr>
              <w:t xml:space="preserve">, no tām Latvijai – 1,97 mljrd. </w:t>
            </w:r>
            <w:r w:rsidRPr="008921AF">
              <w:rPr>
                <w:rFonts w:eastAsia="Times New Roman" w:cs="Times New Roman"/>
                <w:i/>
                <w:iCs/>
                <w:szCs w:val="24"/>
              </w:rPr>
              <w:t>euro</w:t>
            </w:r>
            <w:r w:rsidRPr="008921AF">
              <w:rPr>
                <w:rFonts w:eastAsia="Times New Roman" w:cs="Times New Roman"/>
                <w:szCs w:val="24"/>
              </w:rPr>
              <w:t xml:space="preserve">. Atbilstoši </w:t>
            </w:r>
            <w:r w:rsidR="00B35163">
              <w:rPr>
                <w:rFonts w:eastAsia="Times New Roman" w:cs="Times New Roman"/>
                <w:szCs w:val="24"/>
              </w:rPr>
              <w:t xml:space="preserve">Latvijas Republikas </w:t>
            </w:r>
            <w:r w:rsidRPr="008921AF">
              <w:rPr>
                <w:rFonts w:eastAsia="Times New Roman" w:cs="Times New Roman"/>
                <w:szCs w:val="24"/>
              </w:rPr>
              <w:t>Valsts kontroles 2024. gada situācijas izpētei</w:t>
            </w:r>
            <w:r w:rsidRPr="008921AF">
              <w:rPr>
                <w:rStyle w:val="FootnoteReference"/>
                <w:rFonts w:eastAsia="Times New Roman" w:cs="Times New Roman"/>
                <w:szCs w:val="24"/>
              </w:rPr>
              <w:footnoteReference w:id="15"/>
            </w:r>
            <w:r w:rsidRPr="008921AF">
              <w:rPr>
                <w:rFonts w:eastAsia="Times New Roman" w:cs="Times New Roman"/>
                <w:szCs w:val="24"/>
              </w:rPr>
              <w:t xml:space="preserve">, konstatēts, ka kopējās izmaksas ir pieaugušas līdz 23,8 mljrd. </w:t>
            </w:r>
            <w:r w:rsidRPr="008921AF">
              <w:rPr>
                <w:rFonts w:eastAsia="Times New Roman" w:cs="Times New Roman"/>
                <w:i/>
                <w:iCs/>
                <w:szCs w:val="24"/>
              </w:rPr>
              <w:t>euro</w:t>
            </w:r>
            <w:r w:rsidRPr="008921AF">
              <w:rPr>
                <w:rFonts w:eastAsia="Times New Roman" w:cs="Times New Roman"/>
                <w:szCs w:val="24"/>
              </w:rPr>
              <w:t xml:space="preserve">, no kuriem Latvijas posma izmaksas veido 9,6 mljrd. </w:t>
            </w:r>
            <w:r w:rsidRPr="008921AF">
              <w:rPr>
                <w:rFonts w:eastAsia="Times New Roman" w:cs="Times New Roman"/>
                <w:i/>
                <w:iCs/>
                <w:szCs w:val="24"/>
              </w:rPr>
              <w:t>euro</w:t>
            </w:r>
            <w:r w:rsidRPr="008921AF">
              <w:rPr>
                <w:rFonts w:eastAsia="Times New Roman" w:cs="Times New Roman"/>
                <w:szCs w:val="24"/>
              </w:rPr>
              <w:t>. Lai pārvaldītu pieaugošās izmaksas un sasniegtu ES regulā</w:t>
            </w:r>
            <w:r w:rsidRPr="008921AF">
              <w:rPr>
                <w:rStyle w:val="FootnoteReference"/>
                <w:rFonts w:eastAsia="Times New Roman" w:cs="Times New Roman"/>
                <w:szCs w:val="24"/>
              </w:rPr>
              <w:footnoteReference w:id="16"/>
            </w:r>
            <w:r w:rsidRPr="008921AF">
              <w:rPr>
                <w:rFonts w:eastAsia="Times New Roman" w:cs="Times New Roman"/>
                <w:szCs w:val="24"/>
              </w:rPr>
              <w:t xml:space="preserve"> noteikto termiņu, Baltijas valstis ir vienojušās īstenot projektu divās kārtās, paredzot pabeigt pirmo kārtu līdz 2030. gadam, vienlaikus samazinot plānoto darbu apjomu, tādejādi palīdzot samazināt paredzamās izmaksas Latvijā no 9,6 līdz 6,4 mljrd. </w:t>
            </w:r>
            <w:r w:rsidRPr="008921AF">
              <w:rPr>
                <w:rFonts w:eastAsia="Times New Roman" w:cs="Times New Roman"/>
                <w:i/>
                <w:iCs/>
                <w:szCs w:val="24"/>
              </w:rPr>
              <w:t>euro</w:t>
            </w:r>
            <w:r w:rsidR="000322BE">
              <w:rPr>
                <w:rFonts w:eastAsia="Times New Roman" w:cs="Times New Roman"/>
                <w:i/>
                <w:iCs/>
                <w:szCs w:val="24"/>
              </w:rPr>
              <w:t xml:space="preserve"> </w:t>
            </w:r>
            <w:r w:rsidR="000322BE" w:rsidRPr="003C25FA">
              <w:rPr>
                <w:rFonts w:eastAsia="Times New Roman" w:cs="Times New Roman"/>
                <w:szCs w:val="24"/>
              </w:rPr>
              <w:t xml:space="preserve">2023. gada cenās, savukārt ņemot vērā prognozēto inflācijas pieaugumu </w:t>
            </w:r>
            <w:r w:rsidR="00B03A56" w:rsidRPr="003C25FA">
              <w:rPr>
                <w:rFonts w:eastAsia="Times New Roman" w:cs="Times New Roman"/>
                <w:szCs w:val="24"/>
              </w:rPr>
              <w:t>no 11,4</w:t>
            </w:r>
            <w:r w:rsidR="00B03A56">
              <w:rPr>
                <w:rFonts w:eastAsia="Times New Roman" w:cs="Times New Roman"/>
                <w:i/>
                <w:iCs/>
                <w:szCs w:val="24"/>
              </w:rPr>
              <w:t xml:space="preserve"> </w:t>
            </w:r>
            <w:r w:rsidR="00B03A56" w:rsidRPr="008921AF">
              <w:rPr>
                <w:rFonts w:eastAsia="Times New Roman" w:cs="Times New Roman"/>
                <w:szCs w:val="24"/>
              </w:rPr>
              <w:t xml:space="preserve">mljrd. </w:t>
            </w:r>
            <w:r w:rsidR="00B03A56" w:rsidRPr="008921AF">
              <w:rPr>
                <w:rFonts w:eastAsia="Times New Roman" w:cs="Times New Roman"/>
                <w:i/>
                <w:iCs/>
                <w:szCs w:val="24"/>
              </w:rPr>
              <w:t>euro</w:t>
            </w:r>
            <w:r w:rsidR="00B03A56">
              <w:rPr>
                <w:rFonts w:eastAsia="Times New Roman" w:cs="Times New Roman"/>
                <w:i/>
                <w:iCs/>
                <w:szCs w:val="24"/>
              </w:rPr>
              <w:t xml:space="preserve"> </w:t>
            </w:r>
            <w:r w:rsidR="00B03A56" w:rsidRPr="003C25FA">
              <w:rPr>
                <w:rFonts w:eastAsia="Times New Roman" w:cs="Times New Roman"/>
                <w:szCs w:val="24"/>
              </w:rPr>
              <w:t>līdz 7,8</w:t>
            </w:r>
            <w:r w:rsidR="00B03A56" w:rsidRPr="008921AF">
              <w:rPr>
                <w:rFonts w:eastAsia="Times New Roman" w:cs="Times New Roman"/>
                <w:szCs w:val="24"/>
              </w:rPr>
              <w:t xml:space="preserve"> mljrd. </w:t>
            </w:r>
            <w:r w:rsidR="00B03A56" w:rsidRPr="008921AF">
              <w:rPr>
                <w:rFonts w:eastAsia="Times New Roman" w:cs="Times New Roman"/>
                <w:i/>
                <w:iCs/>
                <w:szCs w:val="24"/>
              </w:rPr>
              <w:t>euro</w:t>
            </w:r>
            <w:r w:rsidRPr="00FB1B04">
              <w:rPr>
                <w:rFonts w:eastAsia="Times New Roman" w:cs="Times New Roman"/>
                <w:szCs w:val="24"/>
                <w:vertAlign w:val="superscript"/>
              </w:rPr>
              <w:footnoteReference w:id="17"/>
            </w:r>
            <w:r w:rsidRPr="008921AF">
              <w:rPr>
                <w:rFonts w:eastAsia="Times New Roman" w:cs="Times New Roman"/>
                <w:szCs w:val="24"/>
              </w:rPr>
              <w:t xml:space="preserve">. </w:t>
            </w:r>
            <w:r w:rsidR="00B35163">
              <w:rPr>
                <w:rFonts w:eastAsia="Times New Roman" w:cs="Times New Roman"/>
                <w:szCs w:val="24"/>
              </w:rPr>
              <w:t xml:space="preserve">Latvijas Republikas </w:t>
            </w:r>
            <w:r w:rsidR="00B03A56">
              <w:rPr>
                <w:rFonts w:eastAsia="Times New Roman" w:cs="Times New Roman"/>
                <w:szCs w:val="24"/>
              </w:rPr>
              <w:t>Valsts kontrole</w:t>
            </w:r>
            <w:r w:rsidR="00B35163">
              <w:rPr>
                <w:rFonts w:eastAsia="Times New Roman" w:cs="Times New Roman"/>
                <w:szCs w:val="24"/>
              </w:rPr>
              <w:t xml:space="preserve"> savā ziņojumā </w:t>
            </w:r>
            <w:r w:rsidR="00B35163" w:rsidRPr="00455297">
              <w:rPr>
                <w:rFonts w:eastAsia="Times New Roman" w:cs="Times New Roman"/>
                <w:szCs w:val="24"/>
              </w:rPr>
              <w:t>“</w:t>
            </w:r>
            <w:r w:rsidR="00B35163" w:rsidRPr="003C25FA">
              <w:rPr>
                <w:rFonts w:eastAsia="Times New Roman" w:cs="Times New Roman"/>
                <w:i/>
                <w:iCs/>
                <w:szCs w:val="24"/>
              </w:rPr>
              <w:t>Rail Baltica projekta situācijas izpēte</w:t>
            </w:r>
            <w:r w:rsidR="00B35163" w:rsidRPr="00455297">
              <w:rPr>
                <w:rFonts w:eastAsia="Times New Roman" w:cs="Times New Roman"/>
                <w:szCs w:val="24"/>
              </w:rPr>
              <w:t>”</w:t>
            </w:r>
            <w:r w:rsidR="00B35163" w:rsidRPr="008921AF">
              <w:rPr>
                <w:rStyle w:val="FootnoteReference"/>
                <w:rFonts w:eastAsia="Times New Roman" w:cs="Times New Roman"/>
                <w:szCs w:val="24"/>
              </w:rPr>
              <w:footnoteReference w:id="18"/>
            </w:r>
            <w:r w:rsidR="00B03A56">
              <w:rPr>
                <w:rFonts w:eastAsia="Times New Roman" w:cs="Times New Roman"/>
                <w:szCs w:val="24"/>
              </w:rPr>
              <w:t xml:space="preserve"> </w:t>
            </w:r>
            <w:r w:rsidR="00B35163">
              <w:rPr>
                <w:rFonts w:eastAsia="Times New Roman" w:cs="Times New Roman"/>
                <w:szCs w:val="24"/>
              </w:rPr>
              <w:t>secināja,</w:t>
            </w:r>
            <w:r w:rsidR="00B35163">
              <w:t xml:space="preserve"> ka </w:t>
            </w:r>
            <w:r w:rsidR="00B35163">
              <w:rPr>
                <w:rFonts w:eastAsia="Times New Roman" w:cs="Times New Roman"/>
                <w:szCs w:val="24"/>
              </w:rPr>
              <w:t>ņ</w:t>
            </w:r>
            <w:r w:rsidRPr="008921AF">
              <w:rPr>
                <w:rFonts w:eastAsia="Times New Roman" w:cs="Times New Roman"/>
                <w:szCs w:val="24"/>
              </w:rPr>
              <w:t xml:space="preserve">emot vērā paredzamo un jau piešķirto finansējumu, samazinātā tvēruma pabeigšanai papildus būtu nepieciešami līdzekļi 4,4 mljrd. </w:t>
            </w:r>
            <w:r w:rsidRPr="008921AF">
              <w:rPr>
                <w:rFonts w:eastAsia="Times New Roman" w:cs="Times New Roman"/>
                <w:i/>
                <w:iCs/>
                <w:szCs w:val="24"/>
              </w:rPr>
              <w:t>euro</w:t>
            </w:r>
            <w:r w:rsidRPr="008921AF">
              <w:rPr>
                <w:rFonts w:eastAsia="Times New Roman" w:cs="Times New Roman"/>
                <w:szCs w:val="24"/>
              </w:rPr>
              <w:t xml:space="preserve"> apmērā, savukārt pilna tvēruma pabeigšanai – 7,6 mljrd. </w:t>
            </w:r>
            <w:r w:rsidRPr="008921AF">
              <w:rPr>
                <w:rFonts w:eastAsia="Times New Roman" w:cs="Times New Roman"/>
                <w:i/>
                <w:iCs/>
                <w:szCs w:val="24"/>
              </w:rPr>
              <w:t>euro</w:t>
            </w:r>
            <w:r w:rsidRPr="008921AF">
              <w:rPr>
                <w:rFonts w:eastAsia="Times New Roman" w:cs="Times New Roman"/>
                <w:szCs w:val="24"/>
              </w:rPr>
              <w:t>.</w:t>
            </w:r>
          </w:p>
          <w:p w14:paraId="7406C7E1" w14:textId="00C172C5" w:rsidR="0070333B" w:rsidRPr="008921AF" w:rsidRDefault="0070333B" w:rsidP="009A2E0A">
            <w:pPr>
              <w:ind w:firstLine="743"/>
              <w:jc w:val="both"/>
              <w:rPr>
                <w:rFonts w:eastAsia="Times New Roman" w:cs="Times New Roman"/>
                <w:szCs w:val="24"/>
              </w:rPr>
            </w:pPr>
            <w:r>
              <w:rPr>
                <w:rFonts w:eastAsia="Times New Roman" w:cs="Times New Roman"/>
                <w:szCs w:val="24"/>
              </w:rPr>
              <w:t xml:space="preserve">MK sēdē 2024. gada 11. jūnijā, izskatot SM informatīvo ziņojumu </w:t>
            </w:r>
            <w:r w:rsidR="00455297">
              <w:rPr>
                <w:rFonts w:eastAsia="Times New Roman" w:cs="Times New Roman"/>
                <w:szCs w:val="24"/>
              </w:rPr>
              <w:t>“</w:t>
            </w:r>
            <w:r w:rsidRPr="003C25FA">
              <w:rPr>
                <w:rFonts w:eastAsia="Times New Roman" w:cs="Times New Roman"/>
                <w:i/>
                <w:iCs/>
                <w:szCs w:val="24"/>
              </w:rPr>
              <w:t>Par Rail Baltica projekta tvērumu un īstenošnas plāniem, nodrošinot projekta funkcionalitāti un starpvalstu dzelzceļa līniju savienojumu</w:t>
            </w:r>
            <w:r w:rsidR="00455297" w:rsidRPr="003C25FA">
              <w:rPr>
                <w:rFonts w:eastAsia="Times New Roman" w:cs="Times New Roman"/>
                <w:szCs w:val="24"/>
              </w:rPr>
              <w:t>”</w:t>
            </w:r>
            <w:r w:rsidRPr="00455297">
              <w:rPr>
                <w:rFonts w:eastAsia="Times New Roman" w:cs="Times New Roman"/>
                <w:szCs w:val="24"/>
              </w:rPr>
              <w:t>,</w:t>
            </w:r>
            <w:r>
              <w:rPr>
                <w:rFonts w:eastAsia="Times New Roman" w:cs="Times New Roman"/>
                <w:szCs w:val="24"/>
              </w:rPr>
              <w:t xml:space="preserve"> MK uzdeva SM sadarbībā ar RB Rail AS turpināt darbu pie projekta izmaksu optimizācijas</w:t>
            </w:r>
            <w:r>
              <w:rPr>
                <w:rStyle w:val="FootnoteReference"/>
                <w:rFonts w:eastAsia="Times New Roman" w:cs="Times New Roman"/>
                <w:szCs w:val="24"/>
              </w:rPr>
              <w:footnoteReference w:id="19"/>
            </w:r>
            <w:r>
              <w:rPr>
                <w:rFonts w:eastAsia="Times New Roman" w:cs="Times New Roman"/>
                <w:szCs w:val="24"/>
              </w:rPr>
              <w:t>.</w:t>
            </w:r>
            <w:r w:rsidR="00F8028A">
              <w:rPr>
                <w:rFonts w:eastAsia="Times New Roman" w:cs="Times New Roman"/>
                <w:szCs w:val="24"/>
              </w:rPr>
              <w:t xml:space="preserve"> Savukārt MK 2024. gada 10. decembra sēdē</w:t>
            </w:r>
            <w:r w:rsidR="00F8028A">
              <w:rPr>
                <w:rStyle w:val="FootnoteReference"/>
                <w:rFonts w:eastAsia="Times New Roman" w:cs="Times New Roman"/>
                <w:szCs w:val="24"/>
              </w:rPr>
              <w:footnoteReference w:id="20"/>
            </w:r>
            <w:r w:rsidR="00F8028A">
              <w:rPr>
                <w:rFonts w:eastAsia="Times New Roman" w:cs="Times New Roman"/>
                <w:szCs w:val="24"/>
              </w:rPr>
              <w:t xml:space="preserve"> tika izskatīts SM sagatavotais informatīvais ziņojums “</w:t>
            </w:r>
            <w:r w:rsidR="00F8028A" w:rsidRPr="003C25FA">
              <w:rPr>
                <w:rFonts w:eastAsia="Times New Roman" w:cs="Times New Roman"/>
                <w:i/>
                <w:iCs/>
                <w:szCs w:val="24"/>
              </w:rPr>
              <w:t>Par Rail Baltica projekta ieviešanas scenāriju Latvijas teritorijā</w:t>
            </w:r>
            <w:r w:rsidR="00F8028A">
              <w:rPr>
                <w:rFonts w:eastAsia="Times New Roman" w:cs="Times New Roman"/>
                <w:szCs w:val="24"/>
              </w:rPr>
              <w:t xml:space="preserve">” un tika konceptuāli atbalstīts </w:t>
            </w:r>
            <w:r w:rsidR="00F8028A" w:rsidRPr="003C25FA">
              <w:rPr>
                <w:rFonts w:eastAsia="Times New Roman" w:cs="Times New Roman"/>
                <w:i/>
                <w:iCs/>
                <w:szCs w:val="24"/>
              </w:rPr>
              <w:t>Rail Baltica</w:t>
            </w:r>
            <w:r w:rsidR="00F8028A">
              <w:rPr>
                <w:rFonts w:eastAsia="Times New Roman" w:cs="Times New Roman"/>
                <w:szCs w:val="24"/>
              </w:rPr>
              <w:t xml:space="preserve"> projekta pirmās kārtas ieviešanas scenārijs Latvijas teritorijā, kurš tostarp paredz jauna dzelzceļa savienojamu izveidi no Imantas stacijas uz Rīgas lidostu, lai abas pasažieru stacijas varētu sākt izmantot 1520 mm pasažieru vilcienu apkalpošanai, integrējot Rīgas lidostas dzelzceļa staciju arī esošajā dzelzceļa tīklā, kā arī Salaspilī (Daugavkrastos) nodrošinot pārsēšanās iespēju starp </w:t>
            </w:r>
            <w:r w:rsidR="00F8028A" w:rsidRPr="003C25FA">
              <w:rPr>
                <w:rFonts w:eastAsia="Times New Roman" w:cs="Times New Roman"/>
                <w:i/>
                <w:iCs/>
                <w:szCs w:val="24"/>
              </w:rPr>
              <w:t>Rail Baltica</w:t>
            </w:r>
            <w:r w:rsidR="00F8028A">
              <w:rPr>
                <w:rFonts w:eastAsia="Times New Roman" w:cs="Times New Roman"/>
                <w:szCs w:val="24"/>
              </w:rPr>
              <w:t xml:space="preserve"> un esošo 1520 mm dzelzceļa tīklu.</w:t>
            </w:r>
            <w:r w:rsidR="0000785E">
              <w:rPr>
                <w:rFonts w:eastAsia="Times New Roman" w:cs="Times New Roman"/>
                <w:szCs w:val="24"/>
              </w:rPr>
              <w:t xml:space="preserve"> Atbilstoši SM sniegtajai informācijai </w:t>
            </w:r>
            <w:r w:rsidR="0000785E" w:rsidRPr="003C25FA">
              <w:rPr>
                <w:rFonts w:eastAsia="Times New Roman" w:cs="Times New Roman"/>
                <w:i/>
                <w:iCs/>
                <w:szCs w:val="24"/>
              </w:rPr>
              <w:t>Rail Baltica</w:t>
            </w:r>
            <w:r w:rsidR="0000785E">
              <w:rPr>
                <w:rFonts w:eastAsia="Times New Roman" w:cs="Times New Roman"/>
                <w:szCs w:val="24"/>
              </w:rPr>
              <w:t xml:space="preserve"> pirmās kārtas izmaksas izveidojot vienu sliežu ceļu no Lietuvas robežas līdz Igaunijai sasniegs 4,5 mljrd. </w:t>
            </w:r>
            <w:r w:rsidR="0000785E" w:rsidRPr="003C25FA">
              <w:rPr>
                <w:rFonts w:eastAsia="Times New Roman" w:cs="Times New Roman"/>
                <w:i/>
                <w:iCs/>
                <w:szCs w:val="24"/>
              </w:rPr>
              <w:t>euro</w:t>
            </w:r>
            <w:r w:rsidR="0000785E">
              <w:rPr>
                <w:rFonts w:eastAsia="Times New Roman" w:cs="Times New Roman"/>
                <w:i/>
                <w:iCs/>
                <w:szCs w:val="24"/>
              </w:rPr>
              <w:t xml:space="preserve"> </w:t>
            </w:r>
            <w:r w:rsidR="0000785E" w:rsidRPr="003C25FA">
              <w:rPr>
                <w:rFonts w:eastAsia="Times New Roman" w:cs="Times New Roman"/>
                <w:szCs w:val="24"/>
              </w:rPr>
              <w:t>(2023. gada cenās, bez PVN)</w:t>
            </w:r>
            <w:r w:rsidR="0000785E">
              <w:rPr>
                <w:rFonts w:eastAsia="Times New Roman" w:cs="Times New Roman"/>
                <w:szCs w:val="24"/>
              </w:rPr>
              <w:t xml:space="preserve">, savukārt būvdarbu pabeigšana abu Rīgas staciju (Rīgas lidostas un Rīgas centrālās dzelzceļa stacijas dienvidu daļā) un jaunas dzelzceļa līnijas no Imantas stacijas uz Rīgas lidostu izmaksas sasniegs 0,9 </w:t>
            </w:r>
            <w:r w:rsidR="00455297">
              <w:rPr>
                <w:rFonts w:eastAsia="Times New Roman" w:cs="Times New Roman"/>
                <w:szCs w:val="24"/>
              </w:rPr>
              <w:t xml:space="preserve">mljrd. </w:t>
            </w:r>
            <w:r w:rsidR="00455297" w:rsidRPr="003C25FA">
              <w:rPr>
                <w:rFonts w:eastAsia="Times New Roman" w:cs="Times New Roman"/>
                <w:i/>
                <w:iCs/>
                <w:szCs w:val="24"/>
              </w:rPr>
              <w:t>euro</w:t>
            </w:r>
            <w:r w:rsidR="00455297">
              <w:rPr>
                <w:rFonts w:eastAsia="Times New Roman" w:cs="Times New Roman"/>
                <w:szCs w:val="24"/>
              </w:rPr>
              <w:t xml:space="preserve"> </w:t>
            </w:r>
            <w:r w:rsidR="0000785E" w:rsidRPr="00C55158">
              <w:rPr>
                <w:rFonts w:eastAsia="Times New Roman" w:cs="Times New Roman"/>
                <w:szCs w:val="24"/>
              </w:rPr>
              <w:t>(2023. gada cenās, bez PVN)</w:t>
            </w:r>
            <w:r w:rsidR="0000785E">
              <w:rPr>
                <w:rFonts w:eastAsia="Times New Roman" w:cs="Times New Roman"/>
                <w:szCs w:val="24"/>
              </w:rPr>
              <w:t xml:space="preserve">. Kā arī MK uzdeva SM </w:t>
            </w:r>
            <w:r w:rsidR="00542767">
              <w:rPr>
                <w:rFonts w:eastAsia="Times New Roman" w:cs="Times New Roman"/>
                <w:szCs w:val="24"/>
              </w:rPr>
              <w:t xml:space="preserve">kopīgi ar RB Rail AS un “EIROPAS DZELZCEĻA LĪNIJAS” turpināt darbu pie </w:t>
            </w:r>
            <w:r w:rsidR="00542767" w:rsidRPr="003C25FA">
              <w:rPr>
                <w:rFonts w:eastAsia="Times New Roman" w:cs="Times New Roman"/>
                <w:i/>
                <w:iCs/>
                <w:szCs w:val="24"/>
              </w:rPr>
              <w:t>Rail Baltica</w:t>
            </w:r>
            <w:r w:rsidR="00542767">
              <w:rPr>
                <w:rFonts w:eastAsia="Times New Roman" w:cs="Times New Roman"/>
                <w:szCs w:val="24"/>
              </w:rPr>
              <w:t xml:space="preserve"> projektu izmaksu samazināšanas, tai skaitā administratīvo izmaksu samazināšanas.</w:t>
            </w:r>
          </w:p>
          <w:p w14:paraId="4345DCA8" w14:textId="77777777" w:rsidR="00BE5AF8" w:rsidRDefault="00B92B22" w:rsidP="009A2E0A">
            <w:pPr>
              <w:ind w:firstLine="743"/>
              <w:jc w:val="both"/>
              <w:rPr>
                <w:rFonts w:eastAsia="Times New Roman" w:cs="Times New Roman"/>
                <w:szCs w:val="24"/>
              </w:rPr>
            </w:pPr>
            <w:r w:rsidRPr="008921AF">
              <w:rPr>
                <w:rFonts w:eastAsia="Times New Roman" w:cs="Times New Roman"/>
                <w:szCs w:val="24"/>
              </w:rPr>
              <w:t>Jāatzīmē ka fiskālo risku vispārējās vadības mērķis saskaņā ar FDL 16.</w:t>
            </w:r>
            <w:r>
              <w:rPr>
                <w:rFonts w:eastAsia="Times New Roman" w:cs="Times New Roman"/>
                <w:szCs w:val="24"/>
              </w:rPr>
              <w:t xml:space="preserve"> </w:t>
            </w:r>
            <w:r w:rsidRPr="008921AF">
              <w:rPr>
                <w:rFonts w:eastAsia="Times New Roman" w:cs="Times New Roman"/>
                <w:szCs w:val="24"/>
              </w:rPr>
              <w:t xml:space="preserve">pantu ir nodrošināt fiskālo rādītāju stabilitāti vidējā termiņā neatkarīgi no ārējo faktoru izraisītām izmaiņām, kā arī mazināt ārējo faktoru izraisītu izmaiņu ietekmi uz fiskālajiem rādītājiem vidējā termiņa budžeta ietvara likuma perioda gadā. </w:t>
            </w:r>
            <w:r w:rsidRPr="008921AF">
              <w:rPr>
                <w:rFonts w:eastAsia="Times New Roman" w:cs="Times New Roman"/>
                <w:i/>
                <w:iCs/>
                <w:szCs w:val="24"/>
              </w:rPr>
              <w:t>Rail Baltica</w:t>
            </w:r>
            <w:r w:rsidRPr="008921AF">
              <w:rPr>
                <w:rFonts w:eastAsia="Times New Roman" w:cs="Times New Roman"/>
                <w:szCs w:val="24"/>
              </w:rPr>
              <w:t xml:space="preserve"> kontekstā deklarācijā būtu jāiekļauj riski, ja FM konstatētu, ka </w:t>
            </w:r>
            <w:r w:rsidRPr="003C25FA">
              <w:rPr>
                <w:rFonts w:eastAsia="Times New Roman" w:cs="Times New Roman"/>
                <w:b/>
                <w:bCs/>
                <w:i/>
                <w:iCs/>
                <w:szCs w:val="24"/>
              </w:rPr>
              <w:t>Rail Baltica</w:t>
            </w:r>
            <w:r w:rsidRPr="003C25FA">
              <w:rPr>
                <w:rFonts w:eastAsia="Times New Roman" w:cs="Times New Roman"/>
                <w:b/>
                <w:bCs/>
                <w:szCs w:val="24"/>
              </w:rPr>
              <w:t xml:space="preserve"> projektā uzņemtās saistības varētu radīt novirzi no likumā par valsts budžetu kārtējam gadam un vidējā termiņa ietvaru noteiktajiem fiskālajiem rādītājiem.</w:t>
            </w:r>
            <w:r w:rsidRPr="008921AF">
              <w:rPr>
                <w:rFonts w:eastAsia="Times New Roman" w:cs="Times New Roman"/>
                <w:szCs w:val="24"/>
              </w:rPr>
              <w:t xml:space="preserve"> Valsts tiešās vai netiešās saistības, kas rada vai var radīt papildus izmaksas nākotnē – ārpus likuma apstiprinātā vidējā termiņa budžeta ietvara ir jautājums, kas atrodas ārpus deklarācijas tvēruma. Izstrādājot jaunu vidējā termiņa budžeta ietvaru, MK lemj par ieņēmumu un izdevumu sabalansēšanu. Ja šajā procesā rodas nepieciešamība finansēt būtisku izdevumu pieaugumu, MK lemj par kompensējošiem pasākumiem.</w:t>
            </w:r>
          </w:p>
          <w:p w14:paraId="6994B206" w14:textId="1FF0410F" w:rsidR="00B92B22" w:rsidRDefault="00BE5AF8" w:rsidP="009A2E0A">
            <w:pPr>
              <w:ind w:firstLine="743"/>
              <w:jc w:val="both"/>
              <w:rPr>
                <w:rFonts w:eastAsia="Times New Roman" w:cs="Times New Roman"/>
                <w:szCs w:val="24"/>
              </w:rPr>
            </w:pPr>
            <w:r>
              <w:rPr>
                <w:rFonts w:eastAsia="Times New Roman" w:cs="Times New Roman"/>
                <w:szCs w:val="24"/>
              </w:rPr>
              <w:t>Atbilstoši FM rīcībā esošajai informācijai uz deklarācijas sagatavošanas brīdi,</w:t>
            </w:r>
            <w:r w:rsidR="00EB4ECD">
              <w:rPr>
                <w:rFonts w:eastAsia="Times New Roman" w:cs="Times New Roman"/>
                <w:szCs w:val="24"/>
              </w:rPr>
              <w:t xml:space="preserve"> Latvijai ir izdevies piesaistīt finansējumu 1,426 mljrd. </w:t>
            </w:r>
            <w:r w:rsidR="00EB4ECD" w:rsidRPr="00C55158">
              <w:rPr>
                <w:rFonts w:eastAsia="Times New Roman" w:cs="Times New Roman"/>
                <w:i/>
                <w:iCs/>
                <w:szCs w:val="24"/>
              </w:rPr>
              <w:t>euro</w:t>
            </w:r>
            <w:r>
              <w:rPr>
                <w:rFonts w:eastAsia="Times New Roman" w:cs="Times New Roman"/>
                <w:szCs w:val="24"/>
              </w:rPr>
              <w:t xml:space="preserve"> </w:t>
            </w:r>
            <w:r w:rsidR="00EB4ECD">
              <w:rPr>
                <w:rFonts w:eastAsia="Times New Roman" w:cs="Times New Roman"/>
                <w:szCs w:val="24"/>
              </w:rPr>
              <w:t>apmērā, t.sk. no EISI1</w:t>
            </w:r>
            <w:r w:rsidR="00F72D06">
              <w:rPr>
                <w:rFonts w:eastAsia="Times New Roman" w:cs="Times New Roman"/>
                <w:szCs w:val="24"/>
              </w:rPr>
              <w:t xml:space="preserve"> – EISI11</w:t>
            </w:r>
            <w:r w:rsidR="00EB4ECD">
              <w:rPr>
                <w:rFonts w:eastAsia="Times New Roman" w:cs="Times New Roman"/>
                <w:szCs w:val="24"/>
              </w:rPr>
              <w:t xml:space="preserve"> finansēšanas līgumiem</w:t>
            </w:r>
            <w:r w:rsidR="00B92B22" w:rsidRPr="008921AF">
              <w:rPr>
                <w:rFonts w:eastAsia="Times New Roman" w:cs="Times New Roman"/>
                <w:szCs w:val="24"/>
              </w:rPr>
              <w:t xml:space="preserve"> </w:t>
            </w:r>
            <w:r w:rsidR="00EB4ECD">
              <w:rPr>
                <w:rFonts w:eastAsia="Times New Roman" w:cs="Times New Roman"/>
                <w:szCs w:val="24"/>
              </w:rPr>
              <w:t xml:space="preserve">1,313 mljrd. </w:t>
            </w:r>
            <w:r w:rsidR="00EB4ECD" w:rsidRPr="00C55158">
              <w:rPr>
                <w:rFonts w:eastAsia="Times New Roman" w:cs="Times New Roman"/>
                <w:i/>
                <w:iCs/>
                <w:szCs w:val="24"/>
              </w:rPr>
              <w:t>euro</w:t>
            </w:r>
            <w:r w:rsidR="00EB4ECD">
              <w:rPr>
                <w:rFonts w:eastAsia="Times New Roman" w:cs="Times New Roman"/>
                <w:i/>
                <w:iCs/>
                <w:szCs w:val="24"/>
              </w:rPr>
              <w:t xml:space="preserve"> </w:t>
            </w:r>
            <w:r w:rsidR="00EB4ECD">
              <w:rPr>
                <w:rFonts w:eastAsia="Times New Roman" w:cs="Times New Roman"/>
                <w:szCs w:val="24"/>
              </w:rPr>
              <w:t xml:space="preserve">un no militārās </w:t>
            </w:r>
            <w:r w:rsidR="002A0226">
              <w:rPr>
                <w:rFonts w:eastAsia="Times New Roman" w:cs="Times New Roman"/>
                <w:szCs w:val="24"/>
              </w:rPr>
              <w:t xml:space="preserve">mobilitātes programmas 0,113 mljrd. </w:t>
            </w:r>
            <w:r w:rsidR="002A0226" w:rsidRPr="00C55158">
              <w:rPr>
                <w:rFonts w:eastAsia="Times New Roman" w:cs="Times New Roman"/>
                <w:i/>
                <w:iCs/>
                <w:szCs w:val="24"/>
              </w:rPr>
              <w:t>euro</w:t>
            </w:r>
            <w:r w:rsidR="002A0226" w:rsidRPr="003C25FA">
              <w:rPr>
                <w:rStyle w:val="FootnoteReference"/>
                <w:rFonts w:eastAsia="Times New Roman" w:cs="Times New Roman"/>
                <w:szCs w:val="24"/>
              </w:rPr>
              <w:footnoteReference w:id="21"/>
            </w:r>
            <w:r w:rsidR="002A0226">
              <w:rPr>
                <w:rFonts w:eastAsia="Times New Roman" w:cs="Times New Roman"/>
                <w:szCs w:val="24"/>
              </w:rPr>
              <w:t>.</w:t>
            </w:r>
            <w:r w:rsidR="00290E2D">
              <w:rPr>
                <w:rFonts w:eastAsia="Times New Roman" w:cs="Times New Roman"/>
                <w:szCs w:val="24"/>
              </w:rPr>
              <w:t xml:space="preserve"> Kā arī MK sēdē 2025. gada 18. februārī</w:t>
            </w:r>
            <w:r w:rsidR="00290E2D">
              <w:rPr>
                <w:rStyle w:val="FootnoteReference"/>
                <w:rFonts w:eastAsia="Times New Roman" w:cs="Times New Roman"/>
                <w:szCs w:val="24"/>
              </w:rPr>
              <w:footnoteReference w:id="22"/>
            </w:r>
            <w:r w:rsidR="00290E2D">
              <w:rPr>
                <w:rFonts w:eastAsia="Times New Roman" w:cs="Times New Roman"/>
                <w:szCs w:val="24"/>
              </w:rPr>
              <w:t xml:space="preserve"> tika piešķirts </w:t>
            </w:r>
            <w:r w:rsidR="000321CA">
              <w:rPr>
                <w:rFonts w:eastAsia="Times New Roman" w:cs="Times New Roman"/>
                <w:szCs w:val="24"/>
              </w:rPr>
              <w:t>ANM</w:t>
            </w:r>
            <w:r w:rsidR="00290E2D">
              <w:rPr>
                <w:rFonts w:eastAsia="Times New Roman" w:cs="Times New Roman"/>
                <w:szCs w:val="24"/>
              </w:rPr>
              <w:t xml:space="preserve"> finansējums 114,6 milj. </w:t>
            </w:r>
            <w:r w:rsidR="00290E2D" w:rsidRPr="003C25FA">
              <w:rPr>
                <w:rFonts w:eastAsia="Times New Roman" w:cs="Times New Roman"/>
                <w:i/>
                <w:iCs/>
                <w:szCs w:val="24"/>
              </w:rPr>
              <w:t>euro</w:t>
            </w:r>
            <w:r w:rsidR="00290E2D">
              <w:rPr>
                <w:rFonts w:eastAsia="Times New Roman" w:cs="Times New Roman"/>
                <w:szCs w:val="24"/>
              </w:rPr>
              <w:t xml:space="preserve"> apmērā un valsts budžeta finansējums 24,1 milj. </w:t>
            </w:r>
            <w:r w:rsidR="00290E2D" w:rsidRPr="003C25FA">
              <w:rPr>
                <w:rFonts w:eastAsia="Times New Roman" w:cs="Times New Roman"/>
                <w:i/>
                <w:iCs/>
                <w:szCs w:val="24"/>
              </w:rPr>
              <w:t>euro</w:t>
            </w:r>
            <w:r w:rsidR="00290E2D">
              <w:rPr>
                <w:rFonts w:eastAsia="Times New Roman" w:cs="Times New Roman"/>
                <w:szCs w:val="24"/>
              </w:rPr>
              <w:t xml:space="preserve"> apmērā Rīgas centrālās dzelzceļa pasažieru stacijas dienvidu daļas investīciju projekta pabeigšanai. Savukārt par EISI11 uzsaukuma rezultātiem, SM vēl nav iesniegusi informatīvo ziņojumu MK.</w:t>
            </w:r>
            <w:r w:rsidR="00D05E7C">
              <w:rPr>
                <w:rFonts w:eastAsia="Times New Roman" w:cs="Times New Roman"/>
                <w:szCs w:val="24"/>
              </w:rPr>
              <w:t xml:space="preserve"> Papildus nepieciešamo finansējumu </w:t>
            </w:r>
            <w:r w:rsidR="00D05E7C" w:rsidRPr="003C25FA">
              <w:rPr>
                <w:rFonts w:eastAsia="Times New Roman" w:cs="Times New Roman"/>
                <w:i/>
                <w:iCs/>
                <w:szCs w:val="24"/>
              </w:rPr>
              <w:t>Rail Baltica</w:t>
            </w:r>
            <w:r w:rsidR="00D05E7C">
              <w:rPr>
                <w:rFonts w:eastAsia="Times New Roman" w:cs="Times New Roman"/>
                <w:szCs w:val="24"/>
              </w:rPr>
              <w:t xml:space="preserve"> projekta īstenošanai ir plānots piesaistīt tostarp no ES daudzgadu budžeta (2028</w:t>
            </w:r>
            <w:r w:rsidR="00F72D06">
              <w:rPr>
                <w:rFonts w:eastAsia="Times New Roman" w:cs="Times New Roman"/>
                <w:szCs w:val="24"/>
              </w:rPr>
              <w:t xml:space="preserve"> – 2034</w:t>
            </w:r>
            <w:r w:rsidR="00D05E7C">
              <w:rPr>
                <w:rFonts w:eastAsia="Times New Roman" w:cs="Times New Roman"/>
                <w:szCs w:val="24"/>
              </w:rPr>
              <w:t xml:space="preserve">), kurā </w:t>
            </w:r>
            <w:r w:rsidR="00D05E7C" w:rsidRPr="003C25FA">
              <w:rPr>
                <w:rFonts w:eastAsia="Times New Roman" w:cs="Times New Roman"/>
                <w:i/>
                <w:iCs/>
                <w:szCs w:val="24"/>
              </w:rPr>
              <w:t>Rail Baltica</w:t>
            </w:r>
            <w:r w:rsidR="00D05E7C">
              <w:rPr>
                <w:rFonts w:eastAsia="Times New Roman" w:cs="Times New Roman"/>
                <w:szCs w:val="24"/>
              </w:rPr>
              <w:t xml:space="preserve"> projekts ir noteikts kā viena no Latvijas prioritātēm</w:t>
            </w:r>
            <w:r w:rsidR="00D05E7C">
              <w:rPr>
                <w:rStyle w:val="FootnoteReference"/>
                <w:rFonts w:eastAsia="Times New Roman" w:cs="Times New Roman"/>
                <w:szCs w:val="24"/>
              </w:rPr>
              <w:footnoteReference w:id="23"/>
            </w:r>
            <w:r w:rsidR="00D05E7C">
              <w:rPr>
                <w:rFonts w:eastAsia="Times New Roman" w:cs="Times New Roman"/>
                <w:szCs w:val="24"/>
              </w:rPr>
              <w:t>.</w:t>
            </w:r>
          </w:p>
          <w:p w14:paraId="6D125D7C" w14:textId="43C73BE9" w:rsidR="00061917" w:rsidRPr="002A0226" w:rsidRDefault="00061917" w:rsidP="00061917">
            <w:pPr>
              <w:ind w:firstLine="743"/>
              <w:jc w:val="both"/>
              <w:rPr>
                <w:rFonts w:eastAsia="Times New Roman" w:cs="Times New Roman"/>
                <w:szCs w:val="24"/>
              </w:rPr>
            </w:pPr>
            <w:r w:rsidRPr="003341F4">
              <w:rPr>
                <w:rFonts w:eastAsia="Times New Roman" w:cs="Times New Roman"/>
                <w:i/>
                <w:iCs/>
                <w:szCs w:val="24"/>
              </w:rPr>
              <w:t>Rail Baltica</w:t>
            </w:r>
            <w:r w:rsidRPr="00061917">
              <w:rPr>
                <w:rFonts w:eastAsia="Times New Roman" w:cs="Times New Roman"/>
                <w:szCs w:val="24"/>
              </w:rPr>
              <w:t xml:space="preserve"> projekt</w:t>
            </w:r>
            <w:r w:rsidR="00D56A20">
              <w:rPr>
                <w:rFonts w:eastAsia="Times New Roman" w:cs="Times New Roman"/>
                <w:szCs w:val="24"/>
              </w:rPr>
              <w:t>a ietvaros militārās mobilitātes pasākumus</w:t>
            </w:r>
            <w:r w:rsidRPr="00061917">
              <w:rPr>
                <w:rFonts w:eastAsia="Times New Roman" w:cs="Times New Roman"/>
                <w:szCs w:val="24"/>
              </w:rPr>
              <w:t xml:space="preserve"> var </w:t>
            </w:r>
            <w:r w:rsidR="00D56A20">
              <w:rPr>
                <w:rFonts w:eastAsia="Times New Roman" w:cs="Times New Roman"/>
                <w:szCs w:val="24"/>
              </w:rPr>
              <w:t xml:space="preserve">finansēt no </w:t>
            </w:r>
            <w:r w:rsidRPr="00061917">
              <w:rPr>
                <w:rFonts w:eastAsia="Times New Roman" w:cs="Times New Roman"/>
                <w:szCs w:val="24"/>
              </w:rPr>
              <w:t>SAFE</w:t>
            </w:r>
            <w:r w:rsidR="000508F1">
              <w:rPr>
                <w:rStyle w:val="FootnoteReference"/>
                <w:rFonts w:eastAsia="Times New Roman" w:cs="Times New Roman"/>
                <w:szCs w:val="24"/>
              </w:rPr>
              <w:footnoteReference w:id="24"/>
            </w:r>
            <w:r w:rsidRPr="00061917">
              <w:rPr>
                <w:rFonts w:eastAsia="Times New Roman" w:cs="Times New Roman"/>
                <w:szCs w:val="24"/>
              </w:rPr>
              <w:t xml:space="preserve"> aiz</w:t>
            </w:r>
            <w:r w:rsidR="00D56A20">
              <w:rPr>
                <w:rFonts w:eastAsia="Times New Roman" w:cs="Times New Roman"/>
                <w:szCs w:val="24"/>
              </w:rPr>
              <w:t>ņēmuma</w:t>
            </w:r>
            <w:r w:rsidR="00A84963">
              <w:rPr>
                <w:rFonts w:eastAsia="Times New Roman" w:cs="Times New Roman"/>
                <w:szCs w:val="24"/>
              </w:rPr>
              <w:t>.</w:t>
            </w:r>
            <w:r w:rsidRPr="00061917">
              <w:rPr>
                <w:rFonts w:eastAsia="Times New Roman" w:cs="Times New Roman"/>
                <w:szCs w:val="24"/>
              </w:rPr>
              <w:t xml:space="preserve"> Ja šāds risinājums tiek īstenots un no aiz</w:t>
            </w:r>
            <w:r w:rsidR="00D56A20">
              <w:rPr>
                <w:rFonts w:eastAsia="Times New Roman" w:cs="Times New Roman"/>
                <w:szCs w:val="24"/>
              </w:rPr>
              <w:t>ņēmu</w:t>
            </w:r>
            <w:r w:rsidRPr="00061917">
              <w:rPr>
                <w:rFonts w:eastAsia="Times New Roman" w:cs="Times New Roman"/>
                <w:szCs w:val="24"/>
              </w:rPr>
              <w:t>ma tiek finansēti pasākumi, kuriem budžetā finansējums nav paredzēts, par attiecīgo aiz</w:t>
            </w:r>
            <w:r w:rsidR="00D56A20">
              <w:rPr>
                <w:rFonts w:eastAsia="Times New Roman" w:cs="Times New Roman"/>
                <w:szCs w:val="24"/>
              </w:rPr>
              <w:t>ņēm</w:t>
            </w:r>
            <w:r w:rsidRPr="00061917">
              <w:rPr>
                <w:rFonts w:eastAsia="Times New Roman" w:cs="Times New Roman"/>
                <w:szCs w:val="24"/>
              </w:rPr>
              <w:t xml:space="preserve">uma summu palielinās negatīvā ietekme uz </w:t>
            </w:r>
            <w:r w:rsidR="00D56A20">
              <w:rPr>
                <w:rFonts w:eastAsia="Times New Roman" w:cs="Times New Roman"/>
                <w:szCs w:val="24"/>
              </w:rPr>
              <w:t xml:space="preserve">vispārējās valdības budžeta </w:t>
            </w:r>
            <w:r w:rsidRPr="00061917">
              <w:rPr>
                <w:rFonts w:eastAsia="Times New Roman" w:cs="Times New Roman"/>
                <w:szCs w:val="24"/>
              </w:rPr>
              <w:t>bilanci un bez kompensējošiem pasākumiem tiek pārkāpti fiskālie nosacījumi. Saskaņā ar FDL 9.</w:t>
            </w:r>
            <w:r w:rsidR="00F72D06">
              <w:rPr>
                <w:rFonts w:eastAsia="Times New Roman" w:cs="Times New Roman"/>
                <w:szCs w:val="24"/>
              </w:rPr>
              <w:t xml:space="preserve"> </w:t>
            </w:r>
            <w:r w:rsidRPr="00061917">
              <w:rPr>
                <w:rFonts w:eastAsia="Times New Roman" w:cs="Times New Roman"/>
                <w:szCs w:val="24"/>
              </w:rPr>
              <w:t>pantu</w:t>
            </w:r>
            <w:r w:rsidR="00A84963">
              <w:rPr>
                <w:rFonts w:eastAsia="Times New Roman" w:cs="Times New Roman"/>
                <w:szCs w:val="24"/>
              </w:rPr>
              <w:t>,</w:t>
            </w:r>
            <w:r w:rsidRPr="00061917">
              <w:rPr>
                <w:rFonts w:eastAsia="Times New Roman" w:cs="Times New Roman"/>
                <w:szCs w:val="24"/>
              </w:rPr>
              <w:t xml:space="preserve"> ja </w:t>
            </w:r>
            <w:r w:rsidR="00D56A20">
              <w:rPr>
                <w:rFonts w:eastAsia="Times New Roman" w:cs="Times New Roman"/>
                <w:szCs w:val="24"/>
              </w:rPr>
              <w:t>MK</w:t>
            </w:r>
            <w:r w:rsidRPr="00061917">
              <w:rPr>
                <w:rFonts w:eastAsia="Times New Roman" w:cs="Times New Roman"/>
                <w:szCs w:val="24"/>
              </w:rPr>
              <w:t xml:space="preserve"> pieņem normatīvo aktu, kas izraisa ietvara likumā noteikto koriģēto maksimāli pieļaujamo valsts budžeta izdevumu griestu pārsniegumu, kurš nav saistīts ar šā likuma 5.</w:t>
            </w:r>
            <w:r w:rsidR="00F72D06">
              <w:rPr>
                <w:rFonts w:eastAsia="Times New Roman" w:cs="Times New Roman"/>
                <w:szCs w:val="24"/>
              </w:rPr>
              <w:t xml:space="preserve"> </w:t>
            </w:r>
            <w:r w:rsidRPr="00061917">
              <w:rPr>
                <w:rFonts w:eastAsia="Times New Roman" w:cs="Times New Roman"/>
                <w:szCs w:val="24"/>
              </w:rPr>
              <w:t xml:space="preserve">panta pirmajā daļā minētajiem gadījumiem, vai kas izraisa ietvara likumā plānoto valsts budžeta ieņēmumu samazinājumu, </w:t>
            </w:r>
            <w:r w:rsidR="00D56A20">
              <w:rPr>
                <w:rFonts w:eastAsia="Times New Roman" w:cs="Times New Roman"/>
                <w:szCs w:val="24"/>
              </w:rPr>
              <w:t>MK</w:t>
            </w:r>
            <w:r w:rsidRPr="00061917">
              <w:rPr>
                <w:rFonts w:eastAsia="Times New Roman" w:cs="Times New Roman"/>
                <w:szCs w:val="24"/>
              </w:rPr>
              <w:t xml:space="preserve"> nodrošina, ka vienlaikus stājas spēkā arī tāds normatīvais akts vai tādi normatīvie akti, kas kompensē izdevumu pieaugumu vai ieņēmumu samazinājumu. Kompensēšana notiek, palielinot ieņēmumus vai samazinot izdevumus. Līdz ar to, ja MK pieņemtu lēmumu par aiz</w:t>
            </w:r>
            <w:r w:rsidR="00D56A20">
              <w:rPr>
                <w:rFonts w:eastAsia="Times New Roman" w:cs="Times New Roman"/>
                <w:szCs w:val="24"/>
              </w:rPr>
              <w:t>ņēm</w:t>
            </w:r>
            <w:r w:rsidRPr="00061917">
              <w:rPr>
                <w:rFonts w:eastAsia="Times New Roman" w:cs="Times New Roman"/>
                <w:szCs w:val="24"/>
              </w:rPr>
              <w:t xml:space="preserve">uma pieprasīšanu no SAFE </w:t>
            </w:r>
            <w:r w:rsidRPr="003341F4">
              <w:rPr>
                <w:rFonts w:eastAsia="Times New Roman" w:cs="Times New Roman"/>
                <w:i/>
                <w:iCs/>
                <w:szCs w:val="24"/>
              </w:rPr>
              <w:t>Rail Baltica</w:t>
            </w:r>
            <w:r w:rsidRPr="00061917">
              <w:rPr>
                <w:rFonts w:eastAsia="Times New Roman" w:cs="Times New Roman"/>
                <w:szCs w:val="24"/>
              </w:rPr>
              <w:t xml:space="preserve"> projektam, tam par attiecīgu finansējuma apjomu ir jāveic konsolidācijas pasākumi.</w:t>
            </w:r>
          </w:p>
          <w:p w14:paraId="4E5CB009" w14:textId="11D1C052" w:rsidR="00A94BB4" w:rsidRPr="00E252EB" w:rsidRDefault="00B92B22" w:rsidP="00E252EB">
            <w:pPr>
              <w:ind w:firstLine="741"/>
              <w:jc w:val="both"/>
              <w:rPr>
                <w:rFonts w:eastAsia="Times New Roman" w:cs="Times New Roman"/>
                <w:b/>
                <w:bCs/>
              </w:rPr>
            </w:pPr>
            <w:r w:rsidRPr="00940337">
              <w:rPr>
                <w:rFonts w:eastAsia="Times New Roman" w:cs="Times New Roman"/>
              </w:rPr>
              <w:t xml:space="preserve">Atbilstoši datiem tabulā Nr.2.6.4 </w:t>
            </w:r>
            <w:r w:rsidRPr="00940337">
              <w:rPr>
                <w:rFonts w:eastAsia="Times New Roman" w:cs="Times New Roman"/>
                <w:i/>
                <w:iCs/>
              </w:rPr>
              <w:t>Rail Baltica</w:t>
            </w:r>
            <w:r w:rsidRPr="00940337">
              <w:rPr>
                <w:rFonts w:eastAsia="Times New Roman" w:cs="Times New Roman"/>
              </w:rPr>
              <w:t xml:space="preserve"> projekta izdevumi ar katru gadu pieaug, tomēr ieviešana atpaliek no plānotā. Sagaidāms, ka turpmāk izdevumi projekta īstenošanai arvien pieaugs, taču uz doto brīdi nav iespējams izvērtēt vai faktiskie izdevumi varētu pārsniegt plānotos. Papildus jāņem vērā, ka fiskālais risks </w:t>
            </w:r>
            <w:r w:rsidRPr="00940337">
              <w:rPr>
                <w:rFonts w:eastAsia="Times New Roman" w:cs="Times New Roman"/>
                <w:i/>
                <w:iCs/>
              </w:rPr>
              <w:t>Rail Baltica</w:t>
            </w:r>
            <w:r w:rsidRPr="00940337">
              <w:rPr>
                <w:rFonts w:eastAsia="Times New Roman" w:cs="Times New Roman"/>
              </w:rPr>
              <w:t xml:space="preserve"> projekta ieviešanā ir jāvērtē kontekstā ar visiem </w:t>
            </w:r>
            <w:r w:rsidRPr="00940337">
              <w:rPr>
                <w:rFonts w:eastAsia="Times New Roman" w:cs="Times New Roman"/>
                <w:color w:val="000000" w:themeColor="text1"/>
              </w:rPr>
              <w:t>ES politiku instrumentu un citu ĀFP programmu</w:t>
            </w:r>
            <w:r w:rsidRPr="00940337">
              <w:rPr>
                <w:rFonts w:eastAsia="Times New Roman" w:cs="Times New Roman"/>
              </w:rPr>
              <w:t xml:space="preserve"> izdevumiem, tādējādi</w:t>
            </w:r>
            <w:r w:rsidRPr="00940337">
              <w:rPr>
                <w:rFonts w:eastAsia="Times New Roman" w:cs="Times New Roman"/>
                <w:b/>
                <w:bCs/>
              </w:rPr>
              <w:t xml:space="preserve"> fiskālā rezerve šim riskam atsevišķi netiek veidota. </w:t>
            </w:r>
          </w:p>
          <w:p w14:paraId="664BF96E" w14:textId="77777777" w:rsidR="00B92B22" w:rsidRPr="00940337" w:rsidRDefault="00B92B22" w:rsidP="009A2E0A">
            <w:pPr>
              <w:spacing w:after="160"/>
              <w:ind w:firstLine="743"/>
              <w:jc w:val="right"/>
              <w:rPr>
                <w:rFonts w:eastAsia="Times New Roman" w:cs="Times New Roman"/>
                <w:b/>
                <w:bCs/>
                <w:color w:val="000000" w:themeColor="text1"/>
              </w:rPr>
            </w:pPr>
            <w:r w:rsidRPr="00940337">
              <w:rPr>
                <w:rFonts w:eastAsia="Times New Roman" w:cs="Times New Roman"/>
                <w:b/>
                <w:bCs/>
                <w:color w:val="000000" w:themeColor="text1"/>
              </w:rPr>
              <w:t>Tabula Nr.2.6.4 TEN</w:t>
            </w:r>
            <w:r w:rsidRPr="469479B5">
              <w:rPr>
                <w:rFonts w:cs="Times New Roman"/>
                <w:color w:val="000000" w:themeColor="text1"/>
                <w:szCs w:val="24"/>
              </w:rPr>
              <w:t>–</w:t>
            </w:r>
            <w:r w:rsidRPr="00940337">
              <w:rPr>
                <w:rFonts w:eastAsia="Times New Roman" w:cs="Times New Roman"/>
                <w:b/>
                <w:bCs/>
                <w:color w:val="000000" w:themeColor="text1"/>
              </w:rPr>
              <w:t>T programmas 60.07.00 (</w:t>
            </w:r>
            <w:r w:rsidRPr="00940337">
              <w:rPr>
                <w:rFonts w:eastAsia="Times New Roman" w:cs="Times New Roman"/>
                <w:b/>
                <w:bCs/>
                <w:i/>
                <w:iCs/>
                <w:color w:val="000000" w:themeColor="text1"/>
              </w:rPr>
              <w:t>Rail Baltica</w:t>
            </w:r>
            <w:r w:rsidRPr="00940337">
              <w:rPr>
                <w:rFonts w:eastAsia="Times New Roman" w:cs="Times New Roman"/>
                <w:b/>
                <w:bCs/>
                <w:color w:val="000000" w:themeColor="text1"/>
              </w:rPr>
              <w:t xml:space="preserve">) plānotie un faktiskie izdevumi, milj. </w:t>
            </w:r>
            <w:r w:rsidRPr="00940337">
              <w:rPr>
                <w:rFonts w:eastAsia="Times New Roman" w:cs="Times New Roman"/>
                <w:b/>
                <w:bCs/>
                <w:i/>
                <w:iCs/>
                <w:color w:val="000000" w:themeColor="text1"/>
              </w:rPr>
              <w:t>euro</w:t>
            </w:r>
          </w:p>
          <w:tbl>
            <w:tblPr>
              <w:tblStyle w:val="GridTable6Colorful-Accent11"/>
              <w:tblW w:w="9623" w:type="dxa"/>
              <w:jc w:val="center"/>
              <w:tblLook w:val="04A0" w:firstRow="1" w:lastRow="0" w:firstColumn="1" w:lastColumn="0" w:noHBand="0" w:noVBand="1"/>
            </w:tblPr>
            <w:tblGrid>
              <w:gridCol w:w="1164"/>
              <w:gridCol w:w="812"/>
              <w:gridCol w:w="967"/>
              <w:gridCol w:w="967"/>
              <w:gridCol w:w="967"/>
              <w:gridCol w:w="967"/>
              <w:gridCol w:w="967"/>
              <w:gridCol w:w="967"/>
              <w:gridCol w:w="967"/>
              <w:gridCol w:w="878"/>
            </w:tblGrid>
            <w:tr w:rsidR="003C25FA" w:rsidRPr="00B57D0A" w14:paraId="424ED083" w14:textId="77777777" w:rsidTr="003C25FA">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DD6EE" w:themeFill="accent1" w:themeFillTint="66"/>
                  <w:noWrap/>
                  <w:vAlign w:val="center"/>
                  <w:hideMark/>
                </w:tcPr>
                <w:p w14:paraId="0BACD7D7" w14:textId="77777777" w:rsidR="00B92B22" w:rsidRPr="003C25FA" w:rsidRDefault="00B92B22" w:rsidP="009A2E0A">
                  <w:pPr>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 </w:t>
                  </w:r>
                </w:p>
              </w:tc>
              <w:tc>
                <w:tcPr>
                  <w:tcW w:w="0" w:type="dxa"/>
                  <w:shd w:val="clear" w:color="auto" w:fill="BDD6EE" w:themeFill="accent1" w:themeFillTint="66"/>
                  <w:noWrap/>
                  <w:vAlign w:val="center"/>
                  <w:hideMark/>
                </w:tcPr>
                <w:p w14:paraId="00E115A5"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2016</w:t>
                  </w:r>
                </w:p>
              </w:tc>
              <w:tc>
                <w:tcPr>
                  <w:tcW w:w="0" w:type="dxa"/>
                  <w:shd w:val="clear" w:color="auto" w:fill="BDD6EE" w:themeFill="accent1" w:themeFillTint="66"/>
                  <w:noWrap/>
                  <w:vAlign w:val="center"/>
                  <w:hideMark/>
                </w:tcPr>
                <w:p w14:paraId="560819CE"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2017</w:t>
                  </w:r>
                </w:p>
              </w:tc>
              <w:tc>
                <w:tcPr>
                  <w:tcW w:w="0" w:type="dxa"/>
                  <w:shd w:val="clear" w:color="auto" w:fill="BDD6EE" w:themeFill="accent1" w:themeFillTint="66"/>
                  <w:noWrap/>
                  <w:vAlign w:val="center"/>
                  <w:hideMark/>
                </w:tcPr>
                <w:p w14:paraId="0FD2DCE4"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2018</w:t>
                  </w:r>
                </w:p>
              </w:tc>
              <w:tc>
                <w:tcPr>
                  <w:tcW w:w="0" w:type="dxa"/>
                  <w:shd w:val="clear" w:color="auto" w:fill="BDD6EE" w:themeFill="accent1" w:themeFillTint="66"/>
                  <w:noWrap/>
                  <w:vAlign w:val="center"/>
                  <w:hideMark/>
                </w:tcPr>
                <w:p w14:paraId="2770C8BB"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2019</w:t>
                  </w:r>
                </w:p>
              </w:tc>
              <w:tc>
                <w:tcPr>
                  <w:tcW w:w="0" w:type="dxa"/>
                  <w:shd w:val="clear" w:color="auto" w:fill="BDD6EE" w:themeFill="accent1" w:themeFillTint="66"/>
                  <w:noWrap/>
                  <w:vAlign w:val="center"/>
                  <w:hideMark/>
                </w:tcPr>
                <w:p w14:paraId="2CD186BA"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2020</w:t>
                  </w:r>
                </w:p>
              </w:tc>
              <w:tc>
                <w:tcPr>
                  <w:tcW w:w="0" w:type="dxa"/>
                  <w:shd w:val="clear" w:color="auto" w:fill="BDD6EE" w:themeFill="accent1" w:themeFillTint="66"/>
                  <w:noWrap/>
                  <w:vAlign w:val="center"/>
                  <w:hideMark/>
                </w:tcPr>
                <w:p w14:paraId="7D2A4A69"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2021</w:t>
                  </w:r>
                </w:p>
              </w:tc>
              <w:tc>
                <w:tcPr>
                  <w:tcW w:w="0" w:type="dxa"/>
                  <w:shd w:val="clear" w:color="auto" w:fill="BDD6EE" w:themeFill="accent1" w:themeFillTint="66"/>
                  <w:vAlign w:val="center"/>
                </w:tcPr>
                <w:p w14:paraId="5A758ADD"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2022</w:t>
                  </w:r>
                </w:p>
              </w:tc>
              <w:tc>
                <w:tcPr>
                  <w:tcW w:w="0" w:type="dxa"/>
                  <w:shd w:val="clear" w:color="auto" w:fill="BDD6EE" w:themeFill="accent1" w:themeFillTint="66"/>
                  <w:vAlign w:val="center"/>
                </w:tcPr>
                <w:p w14:paraId="6A5D2FB4"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2023</w:t>
                  </w:r>
                </w:p>
              </w:tc>
              <w:tc>
                <w:tcPr>
                  <w:tcW w:w="0" w:type="dxa"/>
                  <w:shd w:val="clear" w:color="auto" w:fill="BDD6EE" w:themeFill="accent1" w:themeFillTint="66"/>
                  <w:vAlign w:val="center"/>
                </w:tcPr>
                <w:p w14:paraId="13FBEA0E" w14:textId="77777777" w:rsidR="00B92B22" w:rsidRPr="003C25FA" w:rsidRDefault="00B92B22" w:rsidP="009A2E0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lang w:eastAsia="lv-LV"/>
                    </w:rPr>
                    <w:t>2024</w:t>
                  </w:r>
                </w:p>
              </w:tc>
            </w:tr>
            <w:tr w:rsidR="00B92B22" w:rsidRPr="00B57D0A" w14:paraId="768BF7C7" w14:textId="77777777" w:rsidTr="003C25F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64A1F89F" w14:textId="77777777" w:rsidR="00B92B22" w:rsidRPr="003C25FA" w:rsidRDefault="00B92B22" w:rsidP="009A2E0A">
                  <w:pPr>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Plāns</w:t>
                  </w:r>
                </w:p>
              </w:tc>
              <w:tc>
                <w:tcPr>
                  <w:tcW w:w="0" w:type="dxa"/>
                  <w:noWrap/>
                  <w:vAlign w:val="center"/>
                  <w:hideMark/>
                </w:tcPr>
                <w:p w14:paraId="34CBCD18"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lang w:eastAsia="lv-LV"/>
                    </w:rPr>
                    <w:t>-</w:t>
                  </w:r>
                </w:p>
              </w:tc>
              <w:tc>
                <w:tcPr>
                  <w:tcW w:w="0" w:type="dxa"/>
                  <w:noWrap/>
                  <w:vAlign w:val="center"/>
                  <w:hideMark/>
                </w:tcPr>
                <w:p w14:paraId="0987E9B0"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9,3</w:t>
                  </w:r>
                </w:p>
              </w:tc>
              <w:tc>
                <w:tcPr>
                  <w:tcW w:w="0" w:type="dxa"/>
                  <w:noWrap/>
                  <w:vAlign w:val="center"/>
                  <w:hideMark/>
                </w:tcPr>
                <w:p w14:paraId="3E1CC1DB"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21,3</w:t>
                  </w:r>
                </w:p>
              </w:tc>
              <w:tc>
                <w:tcPr>
                  <w:tcW w:w="0" w:type="dxa"/>
                  <w:noWrap/>
                  <w:vAlign w:val="center"/>
                  <w:hideMark/>
                </w:tcPr>
                <w:p w14:paraId="7045BBE2"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32,3</w:t>
                  </w:r>
                </w:p>
              </w:tc>
              <w:tc>
                <w:tcPr>
                  <w:tcW w:w="0" w:type="dxa"/>
                  <w:noWrap/>
                  <w:vAlign w:val="center"/>
                  <w:hideMark/>
                </w:tcPr>
                <w:p w14:paraId="3E45B853"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69,0</w:t>
                  </w:r>
                </w:p>
              </w:tc>
              <w:tc>
                <w:tcPr>
                  <w:tcW w:w="0" w:type="dxa"/>
                  <w:noWrap/>
                  <w:vAlign w:val="center"/>
                  <w:hideMark/>
                </w:tcPr>
                <w:p w14:paraId="13BD1F4C"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108,7</w:t>
                  </w:r>
                </w:p>
              </w:tc>
              <w:tc>
                <w:tcPr>
                  <w:tcW w:w="0" w:type="dxa"/>
                  <w:vAlign w:val="center"/>
                </w:tcPr>
                <w:p w14:paraId="5966639A"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rPr>
                  </w:pPr>
                  <w:r w:rsidRPr="003C25FA">
                    <w:rPr>
                      <w:rFonts w:eastAsia="Times New Roman" w:cs="Times New Roman"/>
                      <w:color w:val="000000" w:themeColor="text1"/>
                      <w:sz w:val="20"/>
                      <w:szCs w:val="18"/>
                    </w:rPr>
                    <w:t>167,7</w:t>
                  </w:r>
                </w:p>
              </w:tc>
              <w:tc>
                <w:tcPr>
                  <w:tcW w:w="0" w:type="dxa"/>
                  <w:vAlign w:val="center"/>
                </w:tcPr>
                <w:p w14:paraId="4807DF3D"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rPr>
                  </w:pPr>
                  <w:r w:rsidRPr="003C25FA">
                    <w:rPr>
                      <w:rFonts w:eastAsia="Times New Roman" w:cs="Times New Roman"/>
                      <w:color w:val="000000" w:themeColor="text1"/>
                      <w:sz w:val="20"/>
                      <w:szCs w:val="18"/>
                    </w:rPr>
                    <w:t>114,5</w:t>
                  </w:r>
                </w:p>
              </w:tc>
              <w:tc>
                <w:tcPr>
                  <w:tcW w:w="0" w:type="dxa"/>
                  <w:vAlign w:val="center"/>
                </w:tcPr>
                <w:p w14:paraId="710C0E42" w14:textId="6EEBAC27" w:rsidR="00B92B22" w:rsidRPr="003C25FA" w:rsidRDefault="00E50AEF"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rPr>
                  </w:pPr>
                  <w:r>
                    <w:rPr>
                      <w:rFonts w:eastAsia="Times New Roman" w:cs="Times New Roman"/>
                      <w:color w:val="000000" w:themeColor="text1"/>
                      <w:sz w:val="20"/>
                      <w:szCs w:val="18"/>
                    </w:rPr>
                    <w:t>161,6</w:t>
                  </w:r>
                </w:p>
              </w:tc>
            </w:tr>
            <w:tr w:rsidR="00B92B22" w:rsidRPr="00B57D0A" w14:paraId="555A6720" w14:textId="77777777" w:rsidTr="003C25FA">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72AD8C98" w14:textId="77777777" w:rsidR="00B92B22" w:rsidRPr="003C25FA" w:rsidRDefault="00B92B22" w:rsidP="009A2E0A">
                  <w:pPr>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Izpilde</w:t>
                  </w:r>
                </w:p>
              </w:tc>
              <w:tc>
                <w:tcPr>
                  <w:tcW w:w="0" w:type="dxa"/>
                  <w:noWrap/>
                  <w:vAlign w:val="center"/>
                  <w:hideMark/>
                </w:tcPr>
                <w:p w14:paraId="06F79470" w14:textId="77777777" w:rsidR="00B92B22" w:rsidRPr="003C25FA" w:rsidRDefault="00B92B22" w:rsidP="009A2E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0,4</w:t>
                  </w:r>
                </w:p>
              </w:tc>
              <w:tc>
                <w:tcPr>
                  <w:tcW w:w="0" w:type="dxa"/>
                  <w:noWrap/>
                  <w:vAlign w:val="center"/>
                  <w:hideMark/>
                </w:tcPr>
                <w:p w14:paraId="630651D8" w14:textId="77777777" w:rsidR="00B92B22" w:rsidRPr="003C25FA" w:rsidRDefault="00B92B22" w:rsidP="009A2E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1,5</w:t>
                  </w:r>
                </w:p>
              </w:tc>
              <w:tc>
                <w:tcPr>
                  <w:tcW w:w="0" w:type="dxa"/>
                  <w:noWrap/>
                  <w:vAlign w:val="center"/>
                  <w:hideMark/>
                </w:tcPr>
                <w:p w14:paraId="047EBE6A" w14:textId="77777777" w:rsidR="00B92B22" w:rsidRPr="003C25FA" w:rsidRDefault="00B92B22" w:rsidP="009A2E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3,7</w:t>
                  </w:r>
                </w:p>
              </w:tc>
              <w:tc>
                <w:tcPr>
                  <w:tcW w:w="0" w:type="dxa"/>
                  <w:noWrap/>
                  <w:vAlign w:val="center"/>
                  <w:hideMark/>
                </w:tcPr>
                <w:p w14:paraId="0D5B8E0D" w14:textId="77777777" w:rsidR="00B92B22" w:rsidRPr="003C25FA" w:rsidRDefault="00B92B22" w:rsidP="009A2E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13,1</w:t>
                  </w:r>
                </w:p>
              </w:tc>
              <w:tc>
                <w:tcPr>
                  <w:tcW w:w="0" w:type="dxa"/>
                  <w:noWrap/>
                  <w:vAlign w:val="center"/>
                  <w:hideMark/>
                </w:tcPr>
                <w:p w14:paraId="0C653C47" w14:textId="77777777" w:rsidR="00B92B22" w:rsidRPr="003C25FA" w:rsidRDefault="00B92B22" w:rsidP="009A2E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38,5</w:t>
                  </w:r>
                </w:p>
              </w:tc>
              <w:tc>
                <w:tcPr>
                  <w:tcW w:w="0" w:type="dxa"/>
                  <w:noWrap/>
                  <w:vAlign w:val="center"/>
                  <w:hideMark/>
                </w:tcPr>
                <w:p w14:paraId="22C62212" w14:textId="77777777" w:rsidR="00B92B22" w:rsidRPr="003C25FA" w:rsidRDefault="00B92B22" w:rsidP="009A2E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rPr>
                    <w:t>76,2</w:t>
                  </w:r>
                </w:p>
              </w:tc>
              <w:tc>
                <w:tcPr>
                  <w:tcW w:w="0" w:type="dxa"/>
                  <w:vAlign w:val="center"/>
                </w:tcPr>
                <w:p w14:paraId="2615E1CF" w14:textId="77777777" w:rsidR="00B92B22" w:rsidRPr="003C25FA" w:rsidRDefault="00B92B22" w:rsidP="009A2E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rPr>
                  </w:pPr>
                  <w:r w:rsidRPr="003C25FA">
                    <w:rPr>
                      <w:rFonts w:eastAsia="Times New Roman" w:cs="Times New Roman"/>
                      <w:color w:val="000000" w:themeColor="text1"/>
                      <w:sz w:val="20"/>
                      <w:szCs w:val="18"/>
                    </w:rPr>
                    <w:t>75,3</w:t>
                  </w:r>
                </w:p>
              </w:tc>
              <w:tc>
                <w:tcPr>
                  <w:tcW w:w="0" w:type="dxa"/>
                  <w:vAlign w:val="center"/>
                </w:tcPr>
                <w:p w14:paraId="308490CD" w14:textId="77777777" w:rsidR="00B92B22" w:rsidRPr="003C25FA" w:rsidRDefault="00B92B22" w:rsidP="009A2E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rPr>
                  </w:pPr>
                  <w:r w:rsidRPr="003C25FA">
                    <w:rPr>
                      <w:rFonts w:eastAsia="Times New Roman" w:cs="Times New Roman"/>
                      <w:color w:val="000000" w:themeColor="text1"/>
                      <w:sz w:val="20"/>
                      <w:szCs w:val="18"/>
                    </w:rPr>
                    <w:t>161,0</w:t>
                  </w:r>
                </w:p>
              </w:tc>
              <w:tc>
                <w:tcPr>
                  <w:tcW w:w="0" w:type="dxa"/>
                  <w:vAlign w:val="center"/>
                </w:tcPr>
                <w:p w14:paraId="68B3D0B4" w14:textId="17181E81" w:rsidR="00E50AEF" w:rsidRPr="003C25FA" w:rsidRDefault="00E50AEF" w:rsidP="0025408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18"/>
                    </w:rPr>
                  </w:pPr>
                  <w:r>
                    <w:rPr>
                      <w:rFonts w:eastAsia="Times New Roman" w:cs="Times New Roman"/>
                      <w:color w:val="000000" w:themeColor="text1"/>
                      <w:sz w:val="20"/>
                      <w:szCs w:val="18"/>
                    </w:rPr>
                    <w:t>170,5</w:t>
                  </w:r>
                </w:p>
              </w:tc>
            </w:tr>
            <w:tr w:rsidR="00B92B22" w:rsidRPr="00B57D0A" w14:paraId="42C2201E" w14:textId="77777777" w:rsidTr="003C25F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08331962" w14:textId="77777777" w:rsidR="00B92B22" w:rsidRPr="003C25FA" w:rsidRDefault="00B92B22" w:rsidP="009A2E0A">
                  <w:pPr>
                    <w:rPr>
                      <w:rFonts w:eastAsia="Times New Roman" w:cs="Times New Roman"/>
                      <w:color w:val="000000"/>
                      <w:sz w:val="20"/>
                      <w:szCs w:val="18"/>
                      <w:lang w:eastAsia="lv-LV"/>
                    </w:rPr>
                  </w:pPr>
                  <w:r w:rsidRPr="003C25FA">
                    <w:rPr>
                      <w:rFonts w:eastAsia="Times New Roman" w:cs="Times New Roman"/>
                      <w:color w:val="000000" w:themeColor="text1"/>
                      <w:sz w:val="20"/>
                      <w:szCs w:val="18"/>
                      <w:lang w:eastAsia="lv-LV"/>
                    </w:rPr>
                    <w:t>Novirze no plāna %</w:t>
                  </w:r>
                </w:p>
              </w:tc>
              <w:tc>
                <w:tcPr>
                  <w:tcW w:w="0" w:type="dxa"/>
                  <w:noWrap/>
                  <w:vAlign w:val="center"/>
                  <w:hideMark/>
                </w:tcPr>
                <w:p w14:paraId="2B618784"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18"/>
                      <w:lang w:eastAsia="lv-LV"/>
                    </w:rPr>
                  </w:pPr>
                  <w:r w:rsidRPr="003C25FA">
                    <w:rPr>
                      <w:rFonts w:eastAsia="Times New Roman" w:cs="Times New Roman"/>
                      <w:color w:val="000000" w:themeColor="text1"/>
                      <w:sz w:val="20"/>
                      <w:szCs w:val="18"/>
                      <w:lang w:eastAsia="lv-LV"/>
                    </w:rPr>
                    <w:t>-</w:t>
                  </w:r>
                </w:p>
              </w:tc>
              <w:tc>
                <w:tcPr>
                  <w:tcW w:w="0" w:type="dxa"/>
                  <w:noWrap/>
                  <w:vAlign w:val="center"/>
                  <w:hideMark/>
                </w:tcPr>
                <w:p w14:paraId="57988E4C"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18"/>
                      <w:lang w:eastAsia="lv-LV"/>
                    </w:rPr>
                  </w:pPr>
                  <w:r w:rsidRPr="003C25FA">
                    <w:rPr>
                      <w:rFonts w:eastAsia="Times New Roman" w:cs="Times New Roman"/>
                      <w:i/>
                      <w:iCs/>
                      <w:color w:val="000000" w:themeColor="text1"/>
                      <w:sz w:val="20"/>
                      <w:szCs w:val="18"/>
                    </w:rPr>
                    <w:t>-83,8%</w:t>
                  </w:r>
                </w:p>
              </w:tc>
              <w:tc>
                <w:tcPr>
                  <w:tcW w:w="0" w:type="dxa"/>
                  <w:noWrap/>
                  <w:vAlign w:val="center"/>
                  <w:hideMark/>
                </w:tcPr>
                <w:p w14:paraId="1297CE0F"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18"/>
                      <w:lang w:eastAsia="lv-LV"/>
                    </w:rPr>
                  </w:pPr>
                  <w:r w:rsidRPr="003C25FA">
                    <w:rPr>
                      <w:rFonts w:eastAsia="Times New Roman" w:cs="Times New Roman"/>
                      <w:i/>
                      <w:iCs/>
                      <w:color w:val="000000" w:themeColor="text1"/>
                      <w:sz w:val="20"/>
                      <w:szCs w:val="18"/>
                    </w:rPr>
                    <w:t>-82,6%</w:t>
                  </w:r>
                </w:p>
              </w:tc>
              <w:tc>
                <w:tcPr>
                  <w:tcW w:w="0" w:type="dxa"/>
                  <w:noWrap/>
                  <w:vAlign w:val="center"/>
                  <w:hideMark/>
                </w:tcPr>
                <w:p w14:paraId="64C8BDC2"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18"/>
                      <w:lang w:eastAsia="lv-LV"/>
                    </w:rPr>
                  </w:pPr>
                  <w:r w:rsidRPr="003C25FA">
                    <w:rPr>
                      <w:rFonts w:eastAsia="Times New Roman" w:cs="Times New Roman"/>
                      <w:i/>
                      <w:iCs/>
                      <w:color w:val="000000" w:themeColor="text1"/>
                      <w:sz w:val="20"/>
                      <w:szCs w:val="18"/>
                    </w:rPr>
                    <w:t>-59,4%</w:t>
                  </w:r>
                </w:p>
              </w:tc>
              <w:tc>
                <w:tcPr>
                  <w:tcW w:w="0" w:type="dxa"/>
                  <w:noWrap/>
                  <w:vAlign w:val="center"/>
                  <w:hideMark/>
                </w:tcPr>
                <w:p w14:paraId="0424B10B"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18"/>
                      <w:lang w:eastAsia="lv-LV"/>
                    </w:rPr>
                  </w:pPr>
                  <w:r w:rsidRPr="003C25FA">
                    <w:rPr>
                      <w:rFonts w:eastAsia="Times New Roman" w:cs="Times New Roman"/>
                      <w:i/>
                      <w:iCs/>
                      <w:color w:val="000000" w:themeColor="text1"/>
                      <w:sz w:val="20"/>
                      <w:szCs w:val="18"/>
                    </w:rPr>
                    <w:t>-44,2%</w:t>
                  </w:r>
                </w:p>
              </w:tc>
              <w:tc>
                <w:tcPr>
                  <w:tcW w:w="0" w:type="dxa"/>
                  <w:noWrap/>
                  <w:vAlign w:val="center"/>
                  <w:hideMark/>
                </w:tcPr>
                <w:p w14:paraId="0EA8A640"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18"/>
                      <w:lang w:eastAsia="lv-LV"/>
                    </w:rPr>
                  </w:pPr>
                  <w:r w:rsidRPr="003C25FA">
                    <w:rPr>
                      <w:rFonts w:eastAsia="Times New Roman" w:cs="Times New Roman"/>
                      <w:i/>
                      <w:iCs/>
                      <w:color w:val="000000" w:themeColor="text1"/>
                      <w:sz w:val="20"/>
                      <w:szCs w:val="18"/>
                    </w:rPr>
                    <w:t>-29,9%</w:t>
                  </w:r>
                </w:p>
              </w:tc>
              <w:tc>
                <w:tcPr>
                  <w:tcW w:w="0" w:type="dxa"/>
                  <w:vAlign w:val="center"/>
                </w:tcPr>
                <w:p w14:paraId="76FEA204"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18"/>
                    </w:rPr>
                  </w:pPr>
                  <w:r w:rsidRPr="003C25FA">
                    <w:rPr>
                      <w:rFonts w:eastAsia="Times New Roman" w:cs="Times New Roman"/>
                      <w:i/>
                      <w:iCs/>
                      <w:color w:val="000000" w:themeColor="text1"/>
                      <w:sz w:val="20"/>
                      <w:szCs w:val="18"/>
                    </w:rPr>
                    <w:t>-55,1%</w:t>
                  </w:r>
                </w:p>
              </w:tc>
              <w:tc>
                <w:tcPr>
                  <w:tcW w:w="0" w:type="dxa"/>
                  <w:vAlign w:val="center"/>
                </w:tcPr>
                <w:p w14:paraId="219A5935" w14:textId="77777777" w:rsidR="00B92B22" w:rsidRPr="003C25FA" w:rsidRDefault="00B92B22" w:rsidP="009A2E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18"/>
                    </w:rPr>
                  </w:pPr>
                  <w:r w:rsidRPr="003C25FA">
                    <w:rPr>
                      <w:rFonts w:eastAsia="Times New Roman" w:cs="Times New Roman"/>
                      <w:i/>
                      <w:iCs/>
                      <w:color w:val="000000" w:themeColor="text1"/>
                      <w:sz w:val="20"/>
                      <w:szCs w:val="18"/>
                    </w:rPr>
                    <w:t>40,6%</w:t>
                  </w:r>
                </w:p>
              </w:tc>
              <w:tc>
                <w:tcPr>
                  <w:tcW w:w="0" w:type="dxa"/>
                  <w:vAlign w:val="center"/>
                </w:tcPr>
                <w:p w14:paraId="395D1381" w14:textId="0B6FB072" w:rsidR="00B92B22" w:rsidRPr="003C25FA" w:rsidRDefault="00E50AEF" w:rsidP="0025408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18"/>
                    </w:rPr>
                  </w:pPr>
                  <w:r w:rsidRPr="003C25FA">
                    <w:rPr>
                      <w:rFonts w:eastAsia="Times New Roman" w:cs="Times New Roman"/>
                      <w:i/>
                      <w:iCs/>
                      <w:color w:val="000000" w:themeColor="text1"/>
                      <w:sz w:val="20"/>
                      <w:szCs w:val="18"/>
                    </w:rPr>
                    <w:t>5,5%</w:t>
                  </w:r>
                </w:p>
              </w:tc>
            </w:tr>
          </w:tbl>
          <w:p w14:paraId="2C56FA16" w14:textId="77777777" w:rsidR="00B92B22" w:rsidRPr="00940337" w:rsidRDefault="00B92B22" w:rsidP="009A2E0A">
            <w:pPr>
              <w:jc w:val="both"/>
              <w:rPr>
                <w:rFonts w:eastAsia="Times New Roman" w:cs="Times New Roman"/>
                <w:sz w:val="20"/>
                <w:szCs w:val="20"/>
                <w:highlight w:val="yellow"/>
              </w:rPr>
            </w:pPr>
          </w:p>
        </w:tc>
      </w:tr>
    </w:tbl>
    <w:p w14:paraId="74DA8A32" w14:textId="77777777" w:rsidR="00B92B22" w:rsidRDefault="00B92B22" w:rsidP="469479B5">
      <w:pPr>
        <w:spacing w:after="120" w:line="240" w:lineRule="auto"/>
        <w:ind w:firstLine="720"/>
        <w:jc w:val="both"/>
        <w:rPr>
          <w:rFonts w:ascii="Times New Roman" w:hAnsi="Times New Roman"/>
          <w:color w:val="000000" w:themeColor="text1"/>
          <w:sz w:val="24"/>
          <w:szCs w:val="24"/>
        </w:rPr>
      </w:pPr>
    </w:p>
    <w:p w14:paraId="63E1268F" w14:textId="2F43AD2C" w:rsidR="00BF61D0" w:rsidRDefault="00884DAD" w:rsidP="003C25FA">
      <w:pPr>
        <w:pStyle w:val="Heading3"/>
        <w:numPr>
          <w:ilvl w:val="0"/>
          <w:numId w:val="0"/>
        </w:numPr>
        <w:jc w:val="center"/>
      </w:pPr>
      <w:bookmarkStart w:id="78" w:name="_Toc205554414"/>
      <w:r w:rsidRPr="00980D91">
        <w:rPr>
          <w:rFonts w:ascii="Times New Roman" w:hAnsi="Times New Roman" w:cs="Times New Roman"/>
          <w:sz w:val="24"/>
          <w:szCs w:val="24"/>
        </w:rPr>
        <w:t xml:space="preserve">2.6.1. </w:t>
      </w:r>
      <w:bookmarkStart w:id="79" w:name="_Hlk195175192"/>
      <w:r w:rsidR="005C0154" w:rsidRPr="00980D91">
        <w:rPr>
          <w:rFonts w:ascii="Times New Roman" w:hAnsi="Times New Roman" w:cs="Times New Roman"/>
          <w:sz w:val="24"/>
          <w:szCs w:val="24"/>
        </w:rPr>
        <w:t xml:space="preserve">Atveseļošanas fonda </w:t>
      </w:r>
      <w:r w:rsidR="006E6090" w:rsidRPr="00980D91">
        <w:rPr>
          <w:rFonts w:ascii="Times New Roman" w:hAnsi="Times New Roman" w:cs="Times New Roman"/>
          <w:sz w:val="24"/>
          <w:szCs w:val="24"/>
        </w:rPr>
        <w:t xml:space="preserve">un noturības mehānisma </w:t>
      </w:r>
      <w:r w:rsidR="005C0154" w:rsidRPr="00980D91">
        <w:rPr>
          <w:rFonts w:ascii="Times New Roman" w:hAnsi="Times New Roman" w:cs="Times New Roman"/>
          <w:sz w:val="24"/>
          <w:szCs w:val="24"/>
        </w:rPr>
        <w:t>finansējuma</w:t>
      </w:r>
      <w:r w:rsidR="00BF61D0" w:rsidRPr="00980D91">
        <w:rPr>
          <w:rFonts w:ascii="Times New Roman" w:hAnsi="Times New Roman" w:cs="Times New Roman"/>
          <w:sz w:val="24"/>
          <w:szCs w:val="24"/>
        </w:rPr>
        <w:t xml:space="preserve"> </w:t>
      </w:r>
      <w:r w:rsidR="005D23B1" w:rsidRPr="00980D91">
        <w:rPr>
          <w:rFonts w:ascii="Times New Roman" w:hAnsi="Times New Roman" w:cs="Times New Roman"/>
          <w:sz w:val="24"/>
          <w:szCs w:val="24"/>
        </w:rPr>
        <w:t>apgūšana</w:t>
      </w:r>
      <w:bookmarkEnd w:id="78"/>
      <w:bookmarkEnd w:id="79"/>
    </w:p>
    <w:p w14:paraId="722FDC70" w14:textId="77777777" w:rsidR="00455297" w:rsidRDefault="00455297" w:rsidP="00BF61D0">
      <w:pPr>
        <w:spacing w:after="0" w:line="240" w:lineRule="auto"/>
        <w:ind w:firstLine="720"/>
        <w:jc w:val="both"/>
        <w:rPr>
          <w:rFonts w:ascii="Times New Roman" w:hAnsi="Times New Roman" w:cs="Times New Roman"/>
          <w:sz w:val="24"/>
          <w:szCs w:val="24"/>
        </w:rPr>
      </w:pPr>
    </w:p>
    <w:p w14:paraId="161BF086" w14:textId="18D8E899" w:rsidR="00BF61D0" w:rsidRPr="00BF61D0" w:rsidRDefault="00450CD4" w:rsidP="00BF61D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ANM</w:t>
      </w:r>
      <w:r w:rsidR="00BF61D0" w:rsidRPr="00BF61D0">
        <w:rPr>
          <w:rFonts w:ascii="Times New Roman" w:hAnsi="Times New Roman" w:cs="Times New Roman"/>
          <w:sz w:val="24"/>
          <w:szCs w:val="24"/>
        </w:rPr>
        <w:t xml:space="preserve"> ir pagaidu instruments, kas finansē ES dalībvalstu reformas un investīcijas, kuras veiktas laika posmā no Covid</w:t>
      </w:r>
      <w:r w:rsidR="00F72D06" w:rsidRPr="469479B5">
        <w:rPr>
          <w:rFonts w:cs="Times New Roman"/>
          <w:color w:val="000000" w:themeColor="text1"/>
          <w:szCs w:val="24"/>
        </w:rPr>
        <w:t>–</w:t>
      </w:r>
      <w:r w:rsidR="00BF61D0" w:rsidRPr="00BF61D0">
        <w:rPr>
          <w:rFonts w:ascii="Times New Roman" w:hAnsi="Times New Roman" w:cs="Times New Roman"/>
          <w:sz w:val="24"/>
          <w:szCs w:val="24"/>
        </w:rPr>
        <w:t>19 pandēmijas sākuma 2020. gada februārī līdz 2026. gada 31. decembrim</w:t>
      </w:r>
      <w:r w:rsidR="00BF61D0" w:rsidRPr="00BF61D0">
        <w:rPr>
          <w:rStyle w:val="FootnoteReference"/>
          <w:rFonts w:ascii="Times New Roman" w:hAnsi="Times New Roman" w:cs="Times New Roman"/>
          <w:sz w:val="24"/>
          <w:szCs w:val="24"/>
        </w:rPr>
        <w:footnoteReference w:id="25"/>
      </w:r>
      <w:r w:rsidR="00E50AEF">
        <w:rPr>
          <w:rFonts w:ascii="Times New Roman" w:hAnsi="Times New Roman" w:cs="Times New Roman"/>
          <w:sz w:val="24"/>
          <w:szCs w:val="24"/>
        </w:rPr>
        <w:t>.</w:t>
      </w:r>
      <w:r w:rsidR="00BF61D0" w:rsidRPr="00BF61D0">
        <w:rPr>
          <w:rFonts w:ascii="Times New Roman" w:hAnsi="Times New Roman" w:cs="Times New Roman"/>
          <w:sz w:val="24"/>
          <w:szCs w:val="24"/>
        </w:rPr>
        <w:t xml:space="preserve"> ANM ir balstīts uz sniegumu rezultātiem. Tas nozīmē, ka </w:t>
      </w:r>
      <w:r w:rsidR="007E22CF">
        <w:rPr>
          <w:rFonts w:ascii="Times New Roman" w:hAnsi="Times New Roman" w:cs="Times New Roman"/>
          <w:sz w:val="24"/>
          <w:szCs w:val="24"/>
        </w:rPr>
        <w:t>EK</w:t>
      </w:r>
      <w:r w:rsidR="00BF61D0" w:rsidRPr="00BF61D0">
        <w:rPr>
          <w:rFonts w:ascii="Times New Roman" w:hAnsi="Times New Roman" w:cs="Times New Roman"/>
          <w:sz w:val="24"/>
          <w:szCs w:val="24"/>
        </w:rPr>
        <w:t xml:space="preserve"> izmaksā summas katrai valstij tikai tad, kad tā ir sasniegusi iesniegtā valsts atveseļošanas un noturības plānā (</w:t>
      </w:r>
      <w:r>
        <w:rPr>
          <w:rFonts w:ascii="Times New Roman" w:hAnsi="Times New Roman" w:cs="Times New Roman"/>
          <w:sz w:val="24"/>
          <w:szCs w:val="24"/>
        </w:rPr>
        <w:t>turpmāk – ANP</w:t>
      </w:r>
      <w:r w:rsidR="00BF61D0" w:rsidRPr="00BF61D0">
        <w:rPr>
          <w:rFonts w:ascii="Times New Roman" w:hAnsi="Times New Roman" w:cs="Times New Roman"/>
          <w:sz w:val="24"/>
          <w:szCs w:val="24"/>
        </w:rPr>
        <w:t>) izklāstītās reformas un ieguldījumus, to starpposma rādītājus un mērķus, kas tiek ieviesti pēc noteikta grafika un jāīsteno līdz 2026. gada beigām. Sasniedzot apstiprinātos starpposma rādītājus un mērķrādītājus, valdības iesniedz maksājuma pieprasījumu (līdz divām reizēm gadā) un, ja atbilstoši vērtējumam rādītāji ir sasniegti, tā izmaksā noteiktās summas.</w:t>
      </w:r>
    </w:p>
    <w:p w14:paraId="48E6F5D5" w14:textId="341C6081" w:rsidR="00BF61D0" w:rsidRPr="00BF61D0" w:rsidRDefault="00BF61D0" w:rsidP="000D01D6">
      <w:pPr>
        <w:spacing w:after="0" w:line="240" w:lineRule="auto"/>
        <w:ind w:firstLine="720"/>
        <w:jc w:val="both"/>
        <w:rPr>
          <w:rFonts w:ascii="Times New Roman" w:hAnsi="Times New Roman" w:cs="Times New Roman"/>
          <w:sz w:val="24"/>
          <w:szCs w:val="24"/>
        </w:rPr>
      </w:pPr>
      <w:r w:rsidRPr="00BF61D0">
        <w:rPr>
          <w:rFonts w:ascii="Times New Roman" w:hAnsi="Times New Roman" w:cs="Times New Roman"/>
          <w:sz w:val="24"/>
          <w:szCs w:val="24"/>
        </w:rPr>
        <w:t xml:space="preserve">Latvijas sākotnējo nacionālo ANP </w:t>
      </w:r>
      <w:r w:rsidR="00F72D06">
        <w:rPr>
          <w:rFonts w:ascii="Times New Roman" w:hAnsi="Times New Roman" w:cs="Times New Roman"/>
          <w:sz w:val="24"/>
          <w:szCs w:val="24"/>
        </w:rPr>
        <w:t>ES</w:t>
      </w:r>
      <w:r w:rsidRPr="00BF61D0">
        <w:rPr>
          <w:rFonts w:ascii="Times New Roman" w:hAnsi="Times New Roman" w:cs="Times New Roman"/>
          <w:sz w:val="24"/>
          <w:szCs w:val="24"/>
        </w:rPr>
        <w:t xml:space="preserve"> Padomē apstiprināja 2021. gada 13. jūlijā. </w:t>
      </w:r>
      <w:r w:rsidR="008240FA">
        <w:rPr>
          <w:rFonts w:ascii="Times New Roman" w:hAnsi="Times New Roman" w:cs="Times New Roman"/>
          <w:sz w:val="24"/>
          <w:szCs w:val="24"/>
        </w:rPr>
        <w:t>2023. gada 23.</w:t>
      </w:r>
      <w:r w:rsidR="00A94BB4">
        <w:rPr>
          <w:rFonts w:ascii="Times New Roman" w:hAnsi="Times New Roman" w:cs="Times New Roman"/>
          <w:sz w:val="24"/>
          <w:szCs w:val="24"/>
        </w:rPr>
        <w:t xml:space="preserve"> </w:t>
      </w:r>
      <w:r w:rsidR="008240FA">
        <w:rPr>
          <w:rFonts w:ascii="Times New Roman" w:hAnsi="Times New Roman" w:cs="Times New Roman"/>
          <w:sz w:val="24"/>
          <w:szCs w:val="24"/>
        </w:rPr>
        <w:t xml:space="preserve">septembrī </w:t>
      </w:r>
      <w:r w:rsidR="008240FA" w:rsidRPr="008240FA">
        <w:rPr>
          <w:rFonts w:ascii="Times New Roman" w:hAnsi="Times New Roman" w:cs="Times New Roman"/>
          <w:sz w:val="24"/>
          <w:szCs w:val="24"/>
        </w:rPr>
        <w:t xml:space="preserve">Latvija </w:t>
      </w:r>
      <w:r w:rsidR="008240FA">
        <w:rPr>
          <w:rFonts w:ascii="Times New Roman" w:hAnsi="Times New Roman" w:cs="Times New Roman"/>
          <w:sz w:val="24"/>
          <w:szCs w:val="24"/>
        </w:rPr>
        <w:t>iesniedza ANP grozījumus ar lūgumu</w:t>
      </w:r>
      <w:r w:rsidR="008240FA" w:rsidRPr="008240FA">
        <w:rPr>
          <w:rFonts w:ascii="Times New Roman" w:hAnsi="Times New Roman" w:cs="Times New Roman"/>
          <w:sz w:val="24"/>
          <w:szCs w:val="24"/>
        </w:rPr>
        <w:t xml:space="preserve"> pārvietot savu</w:t>
      </w:r>
      <w:r w:rsidR="00A94BB4">
        <w:rPr>
          <w:rFonts w:ascii="Times New Roman" w:hAnsi="Times New Roman" w:cs="Times New Roman"/>
          <w:sz w:val="24"/>
          <w:szCs w:val="24"/>
        </w:rPr>
        <w:t xml:space="preserve"> </w:t>
      </w:r>
      <w:r w:rsidR="00A94BB4" w:rsidRPr="00A94BB4">
        <w:rPr>
          <w:rFonts w:ascii="Times New Roman" w:hAnsi="Times New Roman" w:cs="Times New Roman"/>
          <w:b/>
          <w:bCs/>
          <w:sz w:val="24"/>
          <w:szCs w:val="24"/>
        </w:rPr>
        <w:t>Brexit korekcijas rezerves</w:t>
      </w:r>
      <w:r w:rsidR="00A94BB4">
        <w:rPr>
          <w:rFonts w:ascii="Times New Roman" w:hAnsi="Times New Roman" w:cs="Times New Roman"/>
          <w:sz w:val="24"/>
          <w:szCs w:val="24"/>
        </w:rPr>
        <w:t xml:space="preserve"> (BKR) daļu </w:t>
      </w:r>
      <w:r w:rsidR="00A94BB4" w:rsidRPr="000D01D6">
        <w:rPr>
          <w:rFonts w:ascii="Times New Roman" w:hAnsi="Times New Roman" w:cs="Times New Roman"/>
          <w:b/>
          <w:bCs/>
          <w:sz w:val="24"/>
          <w:szCs w:val="24"/>
        </w:rPr>
        <w:t>10</w:t>
      </w:r>
      <w:r w:rsidR="00F72D06">
        <w:rPr>
          <w:rFonts w:ascii="Times New Roman" w:hAnsi="Times New Roman" w:cs="Times New Roman"/>
          <w:b/>
          <w:bCs/>
          <w:sz w:val="24"/>
          <w:szCs w:val="24"/>
        </w:rPr>
        <w:t>,</w:t>
      </w:r>
      <w:r w:rsidR="00A94BB4" w:rsidRPr="000D01D6">
        <w:rPr>
          <w:rFonts w:ascii="Times New Roman" w:hAnsi="Times New Roman" w:cs="Times New Roman"/>
          <w:b/>
          <w:bCs/>
          <w:sz w:val="24"/>
          <w:szCs w:val="24"/>
        </w:rPr>
        <w:t xml:space="preserve">9 milj. </w:t>
      </w:r>
      <w:r w:rsidR="00A94BB4" w:rsidRPr="000D01D6">
        <w:rPr>
          <w:rFonts w:ascii="Times New Roman" w:hAnsi="Times New Roman" w:cs="Times New Roman"/>
          <w:b/>
          <w:bCs/>
          <w:i/>
          <w:iCs/>
          <w:sz w:val="24"/>
          <w:szCs w:val="24"/>
        </w:rPr>
        <w:t>euro</w:t>
      </w:r>
      <w:r w:rsidR="00A94BB4">
        <w:rPr>
          <w:rFonts w:ascii="Times New Roman" w:hAnsi="Times New Roman" w:cs="Times New Roman"/>
          <w:sz w:val="24"/>
          <w:szCs w:val="24"/>
        </w:rPr>
        <w:t xml:space="preserve"> apmērā, kas papildināja Latvijas </w:t>
      </w:r>
      <w:r w:rsidR="00A94BB4" w:rsidRPr="000D01D6">
        <w:rPr>
          <w:rFonts w:ascii="Times New Roman" w:hAnsi="Times New Roman" w:cs="Times New Roman"/>
          <w:b/>
          <w:bCs/>
          <w:sz w:val="24"/>
          <w:szCs w:val="24"/>
        </w:rPr>
        <w:t>ANM</w:t>
      </w:r>
      <w:r w:rsidR="00A94BB4">
        <w:rPr>
          <w:rFonts w:ascii="Times New Roman" w:hAnsi="Times New Roman" w:cs="Times New Roman"/>
          <w:sz w:val="24"/>
          <w:szCs w:val="24"/>
        </w:rPr>
        <w:t xml:space="preserve"> un </w:t>
      </w:r>
      <w:r w:rsidR="00A94BB4" w:rsidRPr="000D01D6">
        <w:rPr>
          <w:rFonts w:ascii="Times New Roman" w:hAnsi="Times New Roman" w:cs="Times New Roman"/>
          <w:b/>
          <w:bCs/>
          <w:sz w:val="24"/>
          <w:szCs w:val="24"/>
        </w:rPr>
        <w:t>REPowerEU</w:t>
      </w:r>
      <w:r w:rsidR="00A94BB4">
        <w:rPr>
          <w:rFonts w:ascii="Times New Roman" w:hAnsi="Times New Roman" w:cs="Times New Roman"/>
          <w:sz w:val="24"/>
          <w:szCs w:val="24"/>
        </w:rPr>
        <w:t xml:space="preserve"> </w:t>
      </w:r>
      <w:r w:rsidR="00A94BB4" w:rsidRPr="000D01D6">
        <w:rPr>
          <w:rFonts w:ascii="Times New Roman" w:hAnsi="Times New Roman" w:cs="Times New Roman"/>
          <w:b/>
          <w:bCs/>
          <w:sz w:val="24"/>
          <w:szCs w:val="24"/>
        </w:rPr>
        <w:t xml:space="preserve">dotāciju </w:t>
      </w:r>
      <w:r w:rsidR="00A94BB4">
        <w:rPr>
          <w:rFonts w:ascii="Times New Roman" w:hAnsi="Times New Roman" w:cs="Times New Roman"/>
          <w:sz w:val="24"/>
          <w:szCs w:val="24"/>
        </w:rPr>
        <w:t xml:space="preserve">piešķīrumus attiecīgi </w:t>
      </w:r>
      <w:r w:rsidR="00A94BB4" w:rsidRPr="000D01D6">
        <w:rPr>
          <w:rFonts w:ascii="Times New Roman" w:hAnsi="Times New Roman" w:cs="Times New Roman"/>
          <w:b/>
          <w:bCs/>
          <w:sz w:val="24"/>
          <w:szCs w:val="24"/>
        </w:rPr>
        <w:t xml:space="preserve">1,83 mljrd. </w:t>
      </w:r>
      <w:r w:rsidR="00A94BB4" w:rsidRPr="000D01D6">
        <w:rPr>
          <w:rFonts w:ascii="Times New Roman" w:hAnsi="Times New Roman" w:cs="Times New Roman"/>
          <w:b/>
          <w:bCs/>
          <w:i/>
          <w:iCs/>
          <w:sz w:val="24"/>
          <w:szCs w:val="24"/>
        </w:rPr>
        <w:t>euro</w:t>
      </w:r>
      <w:r w:rsidR="00A94BB4">
        <w:rPr>
          <w:rFonts w:ascii="Times New Roman" w:hAnsi="Times New Roman" w:cs="Times New Roman"/>
          <w:sz w:val="24"/>
          <w:szCs w:val="24"/>
        </w:rPr>
        <w:t xml:space="preserve"> un </w:t>
      </w:r>
      <w:r w:rsidR="00A94BB4" w:rsidRPr="000D01D6">
        <w:rPr>
          <w:rFonts w:ascii="Times New Roman" w:hAnsi="Times New Roman" w:cs="Times New Roman"/>
          <w:b/>
          <w:bCs/>
          <w:sz w:val="24"/>
          <w:szCs w:val="24"/>
        </w:rPr>
        <w:t xml:space="preserve">123,8 milj. </w:t>
      </w:r>
      <w:r w:rsidR="00A94BB4" w:rsidRPr="000D01D6">
        <w:rPr>
          <w:rFonts w:ascii="Times New Roman" w:hAnsi="Times New Roman" w:cs="Times New Roman"/>
          <w:b/>
          <w:bCs/>
          <w:i/>
          <w:iCs/>
          <w:sz w:val="24"/>
          <w:szCs w:val="24"/>
        </w:rPr>
        <w:t>euro</w:t>
      </w:r>
      <w:r w:rsidR="00A94BB4">
        <w:rPr>
          <w:rFonts w:ascii="Times New Roman" w:hAnsi="Times New Roman" w:cs="Times New Roman"/>
          <w:sz w:val="24"/>
          <w:szCs w:val="24"/>
        </w:rPr>
        <w:t xml:space="preserve"> apmērā</w:t>
      </w:r>
      <w:r w:rsidR="008240FA" w:rsidRPr="008240FA">
        <w:rPr>
          <w:rFonts w:ascii="Times New Roman" w:hAnsi="Times New Roman" w:cs="Times New Roman"/>
          <w:sz w:val="24"/>
          <w:szCs w:val="24"/>
        </w:rPr>
        <w:t xml:space="preserve">, </w:t>
      </w:r>
      <w:r w:rsidR="008240FA">
        <w:rPr>
          <w:rFonts w:ascii="Times New Roman" w:hAnsi="Times New Roman" w:cs="Times New Roman"/>
          <w:sz w:val="24"/>
          <w:szCs w:val="24"/>
        </w:rPr>
        <w:t xml:space="preserve">rezultātā </w:t>
      </w:r>
      <w:r w:rsidR="008240FA" w:rsidRPr="008240FA">
        <w:rPr>
          <w:rFonts w:ascii="Times New Roman" w:hAnsi="Times New Roman" w:cs="Times New Roman"/>
          <w:sz w:val="24"/>
          <w:szCs w:val="24"/>
        </w:rPr>
        <w:t>veido</w:t>
      </w:r>
      <w:r w:rsidR="008240FA">
        <w:rPr>
          <w:rFonts w:ascii="Times New Roman" w:hAnsi="Times New Roman" w:cs="Times New Roman"/>
          <w:sz w:val="24"/>
          <w:szCs w:val="24"/>
        </w:rPr>
        <w:t>jot</w:t>
      </w:r>
      <w:r w:rsidR="008240FA" w:rsidRPr="008240FA">
        <w:rPr>
          <w:rFonts w:ascii="Times New Roman" w:hAnsi="Times New Roman" w:cs="Times New Roman"/>
          <w:sz w:val="24"/>
          <w:szCs w:val="24"/>
        </w:rPr>
        <w:t xml:space="preserve"> </w:t>
      </w:r>
      <w:r w:rsidR="00F72D06">
        <w:rPr>
          <w:rFonts w:ascii="Times New Roman" w:hAnsi="Times New Roman" w:cs="Times New Roman"/>
          <w:sz w:val="24"/>
          <w:szCs w:val="24"/>
        </w:rPr>
        <w:t>ES</w:t>
      </w:r>
      <w:r w:rsidR="00E94B5E">
        <w:rPr>
          <w:rFonts w:ascii="Times New Roman" w:hAnsi="Times New Roman" w:cs="Times New Roman"/>
          <w:sz w:val="24"/>
          <w:szCs w:val="24"/>
        </w:rPr>
        <w:t xml:space="preserve"> Padomes 2023. gada 8. decembrī </w:t>
      </w:r>
      <w:r w:rsidR="008240FA" w:rsidRPr="008240FA">
        <w:rPr>
          <w:rFonts w:ascii="Times New Roman" w:hAnsi="Times New Roman" w:cs="Times New Roman"/>
          <w:sz w:val="24"/>
          <w:szCs w:val="24"/>
        </w:rPr>
        <w:t>apstiprinātā grozītā plāna vērtību – </w:t>
      </w:r>
      <w:r w:rsidR="008240FA" w:rsidRPr="008240FA">
        <w:rPr>
          <w:rFonts w:ascii="Times New Roman" w:hAnsi="Times New Roman" w:cs="Times New Roman"/>
          <w:b/>
          <w:bCs/>
          <w:sz w:val="24"/>
          <w:szCs w:val="24"/>
        </w:rPr>
        <w:t>1,97 m</w:t>
      </w:r>
      <w:r w:rsidR="00E94B5E">
        <w:rPr>
          <w:rFonts w:ascii="Times New Roman" w:hAnsi="Times New Roman" w:cs="Times New Roman"/>
          <w:b/>
          <w:bCs/>
          <w:sz w:val="24"/>
          <w:szCs w:val="24"/>
        </w:rPr>
        <w:t xml:space="preserve">ljrd. </w:t>
      </w:r>
      <w:r w:rsidR="00E94B5E" w:rsidRPr="00E94B5E">
        <w:rPr>
          <w:rFonts w:ascii="Times New Roman" w:hAnsi="Times New Roman" w:cs="Times New Roman"/>
          <w:b/>
          <w:bCs/>
          <w:i/>
          <w:iCs/>
          <w:sz w:val="24"/>
          <w:szCs w:val="24"/>
        </w:rPr>
        <w:t>euro</w:t>
      </w:r>
      <w:r w:rsidR="00E94B5E" w:rsidRPr="00A94BB4">
        <w:rPr>
          <w:rStyle w:val="FootnoteReference"/>
          <w:rFonts w:ascii="Times New Roman" w:hAnsi="Times New Roman" w:cs="Times New Roman"/>
          <w:sz w:val="24"/>
          <w:szCs w:val="24"/>
        </w:rPr>
        <w:footnoteReference w:id="26"/>
      </w:r>
      <w:r w:rsidR="008240FA" w:rsidRPr="008240FA">
        <w:rPr>
          <w:rFonts w:ascii="Times New Roman" w:hAnsi="Times New Roman" w:cs="Times New Roman"/>
          <w:sz w:val="24"/>
          <w:szCs w:val="24"/>
        </w:rPr>
        <w:t>.</w:t>
      </w:r>
      <w:r w:rsidR="008240FA">
        <w:rPr>
          <w:rFonts w:ascii="Times New Roman" w:hAnsi="Times New Roman" w:cs="Times New Roman"/>
          <w:sz w:val="24"/>
          <w:szCs w:val="24"/>
        </w:rPr>
        <w:t xml:space="preserve"> </w:t>
      </w:r>
      <w:r w:rsidR="00E94B5E">
        <w:rPr>
          <w:rFonts w:ascii="Times New Roman" w:hAnsi="Times New Roman" w:cs="Times New Roman"/>
          <w:sz w:val="24"/>
          <w:szCs w:val="24"/>
        </w:rPr>
        <w:t>Ņ</w:t>
      </w:r>
      <w:r w:rsidRPr="00BF61D0">
        <w:rPr>
          <w:rFonts w:ascii="Times New Roman" w:hAnsi="Times New Roman" w:cs="Times New Roman"/>
          <w:sz w:val="24"/>
          <w:szCs w:val="24"/>
        </w:rPr>
        <w:t>emot vērā, ka ANP daļēji vairs n</w:t>
      </w:r>
      <w:r w:rsidR="00E94B5E">
        <w:rPr>
          <w:rFonts w:ascii="Times New Roman" w:hAnsi="Times New Roman" w:cs="Times New Roman"/>
          <w:sz w:val="24"/>
          <w:szCs w:val="24"/>
        </w:rPr>
        <w:t>ebija</w:t>
      </w:r>
      <w:r w:rsidRPr="00BF61D0">
        <w:rPr>
          <w:rFonts w:ascii="Times New Roman" w:hAnsi="Times New Roman" w:cs="Times New Roman"/>
          <w:sz w:val="24"/>
          <w:szCs w:val="24"/>
        </w:rPr>
        <w:t xml:space="preserve"> iespējams īstenot, Latvija 2024. gada 18. decembrī iesniedza grozītu ANP, kur grozījumi attiecas uz 28 pasākumiem</w:t>
      </w:r>
      <w:r w:rsidR="000D01D6">
        <w:rPr>
          <w:rFonts w:ascii="Times New Roman" w:hAnsi="Times New Roman" w:cs="Times New Roman"/>
          <w:sz w:val="24"/>
          <w:szCs w:val="24"/>
        </w:rPr>
        <w:t>, kas</w:t>
      </w:r>
      <w:r w:rsidR="00E94B5E">
        <w:rPr>
          <w:rFonts w:ascii="Times New Roman" w:hAnsi="Times New Roman" w:cs="Times New Roman"/>
          <w:sz w:val="24"/>
          <w:szCs w:val="24"/>
        </w:rPr>
        <w:t xml:space="preserve"> vērsti uz to, l</w:t>
      </w:r>
      <w:r w:rsidR="00E94B5E" w:rsidRPr="00E94B5E">
        <w:rPr>
          <w:rFonts w:ascii="Times New Roman" w:hAnsi="Times New Roman" w:cs="Times New Roman"/>
          <w:sz w:val="24"/>
          <w:szCs w:val="24"/>
        </w:rPr>
        <w:t>ai īstenotu labākas alternatīvas un sasniegtu sākotnējos mērķus</w:t>
      </w:r>
      <w:r w:rsidRPr="00BF61D0">
        <w:rPr>
          <w:rFonts w:ascii="Times New Roman" w:hAnsi="Times New Roman" w:cs="Times New Roman"/>
          <w:sz w:val="24"/>
          <w:szCs w:val="24"/>
        </w:rPr>
        <w:t>.</w:t>
      </w:r>
    </w:p>
    <w:p w14:paraId="52746510" w14:textId="4FE37A0E" w:rsidR="0041599F" w:rsidRDefault="0041599F" w:rsidP="0041599F">
      <w:pPr>
        <w:spacing w:after="0" w:line="240" w:lineRule="auto"/>
        <w:ind w:firstLine="720"/>
        <w:jc w:val="both"/>
        <w:rPr>
          <w:rFonts w:ascii="Times New Roman" w:hAnsi="Times New Roman" w:cs="Times New Roman"/>
          <w:sz w:val="24"/>
          <w:szCs w:val="24"/>
        </w:rPr>
      </w:pPr>
      <w:r w:rsidRPr="0041599F">
        <w:rPr>
          <w:rFonts w:ascii="Times New Roman" w:hAnsi="Times New Roman" w:cs="Times New Roman"/>
          <w:sz w:val="24"/>
          <w:szCs w:val="24"/>
        </w:rPr>
        <w:t xml:space="preserve">Ņemot vērā, ka jebkuru mērķu sasniegšana ir saistīta ar zināmu apstākļu nenoteiktību, kas var radīt risku veiksmīgam iznākumam, EK ES fondu un </w:t>
      </w:r>
      <w:r>
        <w:rPr>
          <w:rFonts w:ascii="Times New Roman" w:hAnsi="Times New Roman" w:cs="Times New Roman"/>
          <w:sz w:val="24"/>
          <w:szCs w:val="24"/>
        </w:rPr>
        <w:t>ANM</w:t>
      </w:r>
      <w:r w:rsidRPr="0041599F">
        <w:rPr>
          <w:rFonts w:ascii="Times New Roman" w:hAnsi="Times New Roman" w:cs="Times New Roman"/>
          <w:sz w:val="24"/>
          <w:szCs w:val="24"/>
        </w:rPr>
        <w:t xml:space="preserve"> finanšu līdzekļu ieguldīšanai ir noteikusi dalībvalstīm prasības izveidot risku pārvaldību aptverošu ES fondu un </w:t>
      </w:r>
      <w:r>
        <w:rPr>
          <w:rFonts w:ascii="Times New Roman" w:hAnsi="Times New Roman" w:cs="Times New Roman"/>
          <w:sz w:val="24"/>
          <w:szCs w:val="24"/>
        </w:rPr>
        <w:t>ANM</w:t>
      </w:r>
      <w:r w:rsidRPr="0041599F">
        <w:rPr>
          <w:rFonts w:ascii="Times New Roman" w:hAnsi="Times New Roman" w:cs="Times New Roman"/>
          <w:sz w:val="24"/>
          <w:szCs w:val="24"/>
        </w:rPr>
        <w:t xml:space="preserve"> vadību. </w:t>
      </w:r>
      <w:r>
        <w:rPr>
          <w:rFonts w:ascii="Times New Roman" w:hAnsi="Times New Roman" w:cs="Times New Roman"/>
          <w:sz w:val="24"/>
          <w:szCs w:val="24"/>
        </w:rPr>
        <w:t>Attiecīgi 2024. gadā ir apstiprināta ES</w:t>
      </w:r>
      <w:r w:rsidRPr="0041599F">
        <w:rPr>
          <w:rFonts w:ascii="Times New Roman" w:hAnsi="Times New Roman" w:cs="Times New Roman"/>
          <w:sz w:val="24"/>
          <w:szCs w:val="24"/>
        </w:rPr>
        <w:t xml:space="preserve"> fondu un </w:t>
      </w:r>
      <w:r w:rsidR="007D0F55">
        <w:rPr>
          <w:rFonts w:ascii="Times New Roman" w:hAnsi="Times New Roman" w:cs="Times New Roman"/>
          <w:sz w:val="24"/>
          <w:szCs w:val="24"/>
        </w:rPr>
        <w:t>ANP</w:t>
      </w:r>
      <w:r w:rsidRPr="0041599F">
        <w:rPr>
          <w:rFonts w:ascii="Times New Roman" w:hAnsi="Times New Roman" w:cs="Times New Roman"/>
          <w:sz w:val="24"/>
          <w:szCs w:val="24"/>
        </w:rPr>
        <w:t xml:space="preserve"> vadībā iesaistīto institūciju R</w:t>
      </w:r>
      <w:r w:rsidR="00450CD4">
        <w:rPr>
          <w:rFonts w:ascii="Times New Roman" w:hAnsi="Times New Roman" w:cs="Times New Roman"/>
          <w:sz w:val="24"/>
          <w:szCs w:val="24"/>
        </w:rPr>
        <w:t>isku</w:t>
      </w:r>
      <w:r w:rsidRPr="0041599F">
        <w:rPr>
          <w:rFonts w:ascii="Times New Roman" w:hAnsi="Times New Roman" w:cs="Times New Roman"/>
          <w:sz w:val="24"/>
          <w:szCs w:val="24"/>
        </w:rPr>
        <w:t xml:space="preserve"> P</w:t>
      </w:r>
      <w:r w:rsidR="00450CD4">
        <w:rPr>
          <w:rFonts w:ascii="Times New Roman" w:hAnsi="Times New Roman" w:cs="Times New Roman"/>
          <w:sz w:val="24"/>
          <w:szCs w:val="24"/>
        </w:rPr>
        <w:t xml:space="preserve">ārvaldības </w:t>
      </w:r>
      <w:r w:rsidRPr="0041599F">
        <w:rPr>
          <w:rFonts w:ascii="Times New Roman" w:hAnsi="Times New Roman" w:cs="Times New Roman"/>
          <w:sz w:val="24"/>
          <w:szCs w:val="24"/>
        </w:rPr>
        <w:t>S</w:t>
      </w:r>
      <w:r w:rsidR="00450CD4">
        <w:rPr>
          <w:rFonts w:ascii="Times New Roman" w:hAnsi="Times New Roman" w:cs="Times New Roman"/>
          <w:sz w:val="24"/>
          <w:szCs w:val="24"/>
        </w:rPr>
        <w:t>tratēģija</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kas aptver arī finanšu r</w:t>
      </w:r>
      <w:r w:rsidRPr="0041599F">
        <w:rPr>
          <w:rFonts w:ascii="Times New Roman" w:hAnsi="Times New Roman" w:cs="Times New Roman"/>
          <w:sz w:val="24"/>
          <w:szCs w:val="24"/>
        </w:rPr>
        <w:t>isk</w:t>
      </w:r>
      <w:r>
        <w:rPr>
          <w:rFonts w:ascii="Times New Roman" w:hAnsi="Times New Roman" w:cs="Times New Roman"/>
          <w:sz w:val="24"/>
          <w:szCs w:val="24"/>
        </w:rPr>
        <w:t>us</w:t>
      </w:r>
      <w:r w:rsidRPr="0041599F">
        <w:rPr>
          <w:rFonts w:ascii="Times New Roman" w:hAnsi="Times New Roman" w:cs="Times New Roman"/>
          <w:sz w:val="24"/>
          <w:szCs w:val="24"/>
        </w:rPr>
        <w:t>, kas saistīti ar nepilnīgu un novēlotu</w:t>
      </w:r>
      <w:r w:rsidR="007D0F55">
        <w:rPr>
          <w:rStyle w:val="FootnoteReference"/>
          <w:rFonts w:ascii="Times New Roman" w:hAnsi="Times New Roman" w:cs="Times New Roman"/>
          <w:sz w:val="24"/>
          <w:szCs w:val="24"/>
        </w:rPr>
        <w:footnoteReference w:id="28"/>
      </w:r>
      <w:r w:rsidRPr="0041599F">
        <w:rPr>
          <w:rFonts w:ascii="Times New Roman" w:hAnsi="Times New Roman" w:cs="Times New Roman"/>
          <w:sz w:val="24"/>
          <w:szCs w:val="24"/>
        </w:rPr>
        <w:t xml:space="preserve"> ES fondu un AF finansējuma ieguldīšanu tautsaimniecībā</w:t>
      </w:r>
      <w:r w:rsidR="007D0F55">
        <w:rPr>
          <w:rFonts w:ascii="Times New Roman" w:hAnsi="Times New Roman" w:cs="Times New Roman"/>
          <w:sz w:val="24"/>
          <w:szCs w:val="24"/>
        </w:rPr>
        <w:t>. Minētajā stratēģijā ir atrunāti pasākumi, kas paredzēti f</w:t>
      </w:r>
      <w:r w:rsidR="007D0F55" w:rsidRPr="007D0F55">
        <w:rPr>
          <w:rFonts w:ascii="Times New Roman" w:hAnsi="Times New Roman" w:cs="Times New Roman"/>
          <w:sz w:val="24"/>
          <w:szCs w:val="24"/>
        </w:rPr>
        <w:t>inanšu riska kontrolei un samazināšanai</w:t>
      </w:r>
      <w:r w:rsidR="007D0F55">
        <w:rPr>
          <w:rFonts w:ascii="Times New Roman" w:hAnsi="Times New Roman" w:cs="Times New Roman"/>
          <w:sz w:val="24"/>
          <w:szCs w:val="24"/>
        </w:rPr>
        <w:t xml:space="preserve">. </w:t>
      </w:r>
    </w:p>
    <w:p w14:paraId="5F71CC36" w14:textId="3596E047" w:rsidR="00BF61D0" w:rsidRDefault="00BF61D0" w:rsidP="00BF61D0">
      <w:pPr>
        <w:spacing w:after="0" w:line="240" w:lineRule="auto"/>
        <w:ind w:firstLine="720"/>
        <w:jc w:val="both"/>
        <w:rPr>
          <w:rFonts w:ascii="Times New Roman" w:hAnsi="Times New Roman" w:cs="Times New Roman"/>
          <w:sz w:val="24"/>
          <w:szCs w:val="24"/>
        </w:rPr>
      </w:pPr>
      <w:r w:rsidRPr="00BF61D0">
        <w:rPr>
          <w:rFonts w:ascii="Times New Roman" w:hAnsi="Times New Roman" w:cs="Times New Roman"/>
          <w:sz w:val="24"/>
          <w:szCs w:val="24"/>
        </w:rPr>
        <w:t>Atbilstoši ES Regulai 2021/241</w:t>
      </w:r>
      <w:r w:rsidRPr="00BF61D0">
        <w:rPr>
          <w:rStyle w:val="FootnoteReference"/>
          <w:rFonts w:ascii="Times New Roman" w:hAnsi="Times New Roman" w:cs="Times New Roman"/>
          <w:sz w:val="24"/>
          <w:szCs w:val="24"/>
        </w:rPr>
        <w:footnoteReference w:id="29"/>
      </w:r>
      <w:r w:rsidRPr="00BF61D0">
        <w:rPr>
          <w:rFonts w:ascii="Times New Roman" w:hAnsi="Times New Roman" w:cs="Times New Roman"/>
          <w:sz w:val="24"/>
          <w:szCs w:val="24"/>
        </w:rPr>
        <w:t xml:space="preserve">, ar ko izveido </w:t>
      </w:r>
      <w:r w:rsidR="00E50AEF">
        <w:rPr>
          <w:rFonts w:ascii="Times New Roman" w:hAnsi="Times New Roman" w:cs="Times New Roman"/>
          <w:sz w:val="24"/>
          <w:szCs w:val="24"/>
        </w:rPr>
        <w:t>ANM</w:t>
      </w:r>
      <w:r w:rsidRPr="00BF61D0">
        <w:rPr>
          <w:rFonts w:ascii="Times New Roman" w:hAnsi="Times New Roman" w:cs="Times New Roman"/>
          <w:sz w:val="24"/>
          <w:szCs w:val="24"/>
        </w:rPr>
        <w:t xml:space="preserve">, ANP ieviešana ir jāpabeidz līdz 2026. gada 31. augustam, vienlaikus ievērojot ANP noteiktos termiņus konkrētiem reformu un investīciju rādītājiem. Latvijā līdz minētajam termiņam vēl ir jāizpilda </w:t>
      </w:r>
      <w:r w:rsidR="00254085">
        <w:rPr>
          <w:rFonts w:ascii="Times New Roman" w:hAnsi="Times New Roman" w:cs="Times New Roman"/>
          <w:sz w:val="24"/>
          <w:szCs w:val="24"/>
        </w:rPr>
        <w:t>115</w:t>
      </w:r>
      <w:r w:rsidRPr="003C25FA">
        <w:rPr>
          <w:rFonts w:ascii="Times New Roman" w:hAnsi="Times New Roman" w:cs="Times New Roman"/>
          <w:sz w:val="24"/>
          <w:szCs w:val="24"/>
        </w:rPr>
        <w:t xml:space="preserve"> rādītāji</w:t>
      </w:r>
      <w:r w:rsidR="00254085">
        <w:rPr>
          <w:rStyle w:val="FootnoteReference"/>
          <w:rFonts w:ascii="Times New Roman" w:hAnsi="Times New Roman" w:cs="Times New Roman"/>
          <w:sz w:val="24"/>
          <w:szCs w:val="24"/>
        </w:rPr>
        <w:footnoteReference w:id="30"/>
      </w:r>
      <w:r w:rsidR="00254085">
        <w:rPr>
          <w:rFonts w:ascii="Times New Roman" w:hAnsi="Times New Roman" w:cs="Times New Roman"/>
          <w:sz w:val="24"/>
          <w:szCs w:val="24"/>
        </w:rPr>
        <w:t>.</w:t>
      </w:r>
      <w:r w:rsidRPr="003C25FA">
        <w:rPr>
          <w:rFonts w:ascii="Times New Roman" w:hAnsi="Times New Roman" w:cs="Times New Roman"/>
          <w:sz w:val="24"/>
          <w:szCs w:val="24"/>
        </w:rPr>
        <w:t xml:space="preserve"> Ņemot vērā pieejamo informāciju, 2025. gada aprīlī Latvija sasniegusi 5</w:t>
      </w:r>
      <w:r w:rsidR="00254085">
        <w:rPr>
          <w:rFonts w:ascii="Times New Roman" w:hAnsi="Times New Roman" w:cs="Times New Roman"/>
          <w:sz w:val="24"/>
          <w:szCs w:val="24"/>
        </w:rPr>
        <w:t>1</w:t>
      </w:r>
      <w:r w:rsidRPr="003C25FA">
        <w:rPr>
          <w:rFonts w:ascii="Times New Roman" w:hAnsi="Times New Roman" w:cs="Times New Roman"/>
          <w:sz w:val="24"/>
          <w:szCs w:val="24"/>
        </w:rPr>
        <w:t xml:space="preserve">% rādītāju izpildi, un līdz šim budžetā </w:t>
      </w:r>
      <w:r w:rsidR="007D0F55" w:rsidRPr="008F7C1F">
        <w:rPr>
          <w:rFonts w:ascii="Times New Roman" w:hAnsi="Times New Roman" w:cs="Times New Roman"/>
          <w:sz w:val="24"/>
          <w:szCs w:val="24"/>
        </w:rPr>
        <w:t xml:space="preserve">no </w:t>
      </w:r>
      <w:r w:rsidR="007D0F55">
        <w:rPr>
          <w:rFonts w:ascii="Times New Roman" w:hAnsi="Times New Roman" w:cs="Times New Roman"/>
          <w:sz w:val="24"/>
          <w:szCs w:val="24"/>
        </w:rPr>
        <w:t>EK</w:t>
      </w:r>
      <w:r w:rsidR="007D0F55" w:rsidRPr="008F7C1F">
        <w:rPr>
          <w:rFonts w:ascii="Times New Roman" w:hAnsi="Times New Roman" w:cs="Times New Roman"/>
          <w:sz w:val="24"/>
          <w:szCs w:val="24"/>
        </w:rPr>
        <w:t xml:space="preserve"> </w:t>
      </w:r>
      <w:r w:rsidRPr="003C25FA">
        <w:rPr>
          <w:rFonts w:ascii="Times New Roman" w:hAnsi="Times New Roman" w:cs="Times New Roman"/>
          <w:sz w:val="24"/>
          <w:szCs w:val="24"/>
        </w:rPr>
        <w:t>saņemti jau 801 milj</w:t>
      </w:r>
      <w:r w:rsidR="006E6090">
        <w:rPr>
          <w:rFonts w:ascii="Times New Roman" w:hAnsi="Times New Roman" w:cs="Times New Roman"/>
          <w:sz w:val="24"/>
          <w:szCs w:val="24"/>
        </w:rPr>
        <w:t>.</w:t>
      </w:r>
      <w:r w:rsidRPr="003C25FA">
        <w:rPr>
          <w:rFonts w:ascii="Times New Roman" w:hAnsi="Times New Roman" w:cs="Times New Roman"/>
          <w:sz w:val="24"/>
          <w:szCs w:val="24"/>
        </w:rPr>
        <w:t xml:space="preserve"> </w:t>
      </w:r>
      <w:r w:rsidRPr="003C25FA">
        <w:rPr>
          <w:rFonts w:ascii="Times New Roman" w:hAnsi="Times New Roman" w:cs="Times New Roman"/>
          <w:i/>
          <w:iCs/>
          <w:sz w:val="24"/>
          <w:szCs w:val="24"/>
        </w:rPr>
        <w:t>euro</w:t>
      </w:r>
      <w:r w:rsidRPr="003C25FA">
        <w:rPr>
          <w:rFonts w:ascii="Times New Roman" w:hAnsi="Times New Roman" w:cs="Times New Roman"/>
          <w:sz w:val="24"/>
          <w:szCs w:val="24"/>
        </w:rPr>
        <w:t xml:space="preserve"> jeb ~40% no kopējā 1,97 m</w:t>
      </w:r>
      <w:r w:rsidR="006E6090">
        <w:rPr>
          <w:rFonts w:ascii="Times New Roman" w:hAnsi="Times New Roman" w:cs="Times New Roman"/>
          <w:sz w:val="24"/>
          <w:szCs w:val="24"/>
        </w:rPr>
        <w:t>ljrd.</w:t>
      </w:r>
      <w:r w:rsidRPr="003C25FA">
        <w:rPr>
          <w:rFonts w:ascii="Times New Roman" w:hAnsi="Times New Roman" w:cs="Times New Roman"/>
          <w:sz w:val="24"/>
          <w:szCs w:val="24"/>
        </w:rPr>
        <w:t xml:space="preserve"> </w:t>
      </w:r>
      <w:r w:rsidRPr="003C25FA">
        <w:rPr>
          <w:rFonts w:ascii="Times New Roman" w:hAnsi="Times New Roman" w:cs="Times New Roman"/>
          <w:i/>
          <w:iCs/>
          <w:sz w:val="24"/>
          <w:szCs w:val="24"/>
        </w:rPr>
        <w:t>euro</w:t>
      </w:r>
      <w:r w:rsidRPr="003C25FA">
        <w:rPr>
          <w:rFonts w:ascii="Times New Roman" w:hAnsi="Times New Roman" w:cs="Times New Roman"/>
          <w:sz w:val="24"/>
          <w:szCs w:val="24"/>
        </w:rPr>
        <w:t xml:space="preserve"> </w:t>
      </w:r>
      <w:r w:rsidR="007D0F55">
        <w:rPr>
          <w:rFonts w:ascii="Times New Roman" w:hAnsi="Times New Roman" w:cs="Times New Roman"/>
          <w:sz w:val="24"/>
          <w:szCs w:val="24"/>
        </w:rPr>
        <w:t xml:space="preserve">ANM </w:t>
      </w:r>
      <w:r w:rsidRPr="003C25FA">
        <w:rPr>
          <w:rFonts w:ascii="Times New Roman" w:hAnsi="Times New Roman" w:cs="Times New Roman"/>
          <w:sz w:val="24"/>
          <w:szCs w:val="24"/>
        </w:rPr>
        <w:t>piešķīruma</w:t>
      </w:r>
      <w:r w:rsidR="00254085">
        <w:rPr>
          <w:rFonts w:ascii="Times New Roman" w:hAnsi="Times New Roman" w:cs="Times New Roman"/>
          <w:sz w:val="24"/>
          <w:szCs w:val="24"/>
        </w:rPr>
        <w:t>.</w:t>
      </w:r>
    </w:p>
    <w:p w14:paraId="79099942" w14:textId="0550CA31" w:rsidR="0041599F" w:rsidRDefault="00BF61D0" w:rsidP="00BF61D0">
      <w:pPr>
        <w:spacing w:after="0" w:line="240" w:lineRule="auto"/>
        <w:ind w:firstLine="720"/>
        <w:jc w:val="both"/>
        <w:rPr>
          <w:rFonts w:ascii="Times New Roman" w:hAnsi="Times New Roman" w:cs="Times New Roman"/>
          <w:sz w:val="24"/>
          <w:szCs w:val="24"/>
        </w:rPr>
      </w:pPr>
      <w:r w:rsidRPr="00BF61D0">
        <w:rPr>
          <w:rFonts w:ascii="Times New Roman" w:hAnsi="Times New Roman" w:cs="Times New Roman"/>
          <w:sz w:val="24"/>
          <w:szCs w:val="24"/>
        </w:rPr>
        <w:t>2025. gadā un 2026. gadā sagaidāma lielāk</w:t>
      </w:r>
      <w:r w:rsidR="004A17B0">
        <w:rPr>
          <w:rFonts w:ascii="Times New Roman" w:hAnsi="Times New Roman" w:cs="Times New Roman"/>
          <w:sz w:val="24"/>
          <w:szCs w:val="24"/>
        </w:rPr>
        <w:t>ā</w:t>
      </w:r>
      <w:r w:rsidRPr="00BF61D0">
        <w:rPr>
          <w:rFonts w:ascii="Times New Roman" w:hAnsi="Times New Roman" w:cs="Times New Roman"/>
          <w:sz w:val="24"/>
          <w:szCs w:val="24"/>
        </w:rPr>
        <w:t xml:space="preserve"> maksājumu intensitāte, tuvojoties </w:t>
      </w:r>
      <w:r w:rsidR="00450CD4">
        <w:rPr>
          <w:rFonts w:ascii="Times New Roman" w:hAnsi="Times New Roman" w:cs="Times New Roman"/>
          <w:sz w:val="24"/>
          <w:szCs w:val="24"/>
        </w:rPr>
        <w:t>Atveseļošanas fonda (turpmāk – AF)</w:t>
      </w:r>
      <w:r w:rsidRPr="00BF61D0">
        <w:rPr>
          <w:rFonts w:ascii="Times New Roman" w:hAnsi="Times New Roman" w:cs="Times New Roman"/>
          <w:sz w:val="24"/>
          <w:szCs w:val="24"/>
        </w:rPr>
        <w:t xml:space="preserve"> plāna ieviešanas pabeigšanai 2026. gada augustā, atbilstoši iestādēm pastiprināti jāveic pasākumi, lai nepieļautu AF investīciju finanšu un rādītāju plānu un mērķu sasniegšanas nobīdes. Fiskālais risks var iestāties situācijā, kad nav sasniegti starpposma rādītāji un mērķrādītāji, attiecīgi netiek saņemts AF finansējums un, ja projekts ir iesākts, to ir nepieciešams turpināt par valsts budžeta līdzekļiem</w:t>
      </w:r>
      <w:r w:rsidR="00254085">
        <w:rPr>
          <w:rFonts w:ascii="Times New Roman" w:hAnsi="Times New Roman" w:cs="Times New Roman"/>
          <w:sz w:val="24"/>
          <w:szCs w:val="24"/>
        </w:rPr>
        <w:t xml:space="preserve">. </w:t>
      </w:r>
    </w:p>
    <w:p w14:paraId="0D09D1A1" w14:textId="73A6020C" w:rsidR="00BF61D0" w:rsidRPr="004D07CB" w:rsidRDefault="00254085" w:rsidP="003C25FA">
      <w:pPr>
        <w:spacing w:after="0" w:line="240" w:lineRule="auto"/>
        <w:ind w:firstLine="720"/>
        <w:jc w:val="both"/>
      </w:pPr>
      <w:r>
        <w:rPr>
          <w:rFonts w:ascii="Times New Roman" w:hAnsi="Times New Roman" w:cs="Times New Roman"/>
          <w:sz w:val="24"/>
          <w:szCs w:val="24"/>
        </w:rPr>
        <w:t xml:space="preserve">Uz deklarācijas sagatavošanas brīdi nav pamatojuma uzskatīt, ka kāds no mērķrādītājiem netiks sasniegts un attiecīgi </w:t>
      </w:r>
      <w:r w:rsidRPr="003C25FA">
        <w:rPr>
          <w:rFonts w:ascii="Times New Roman" w:hAnsi="Times New Roman" w:cs="Times New Roman"/>
          <w:b/>
          <w:bCs/>
          <w:sz w:val="24"/>
          <w:szCs w:val="24"/>
        </w:rPr>
        <w:t>fiskālā nodrošinājuma rezerve šim riskam netiek veidota</w:t>
      </w:r>
      <w:r>
        <w:rPr>
          <w:rFonts w:ascii="Times New Roman" w:hAnsi="Times New Roman" w:cs="Times New Roman"/>
          <w:sz w:val="24"/>
          <w:szCs w:val="24"/>
        </w:rPr>
        <w:t>.</w:t>
      </w:r>
    </w:p>
    <w:p w14:paraId="7C1106EA" w14:textId="77777777" w:rsidR="00497710" w:rsidRPr="00883EE7" w:rsidRDefault="00497710" w:rsidP="00497710">
      <w:pPr>
        <w:spacing w:after="0" w:line="240" w:lineRule="auto"/>
        <w:ind w:firstLine="720"/>
        <w:jc w:val="both"/>
        <w:rPr>
          <w:sz w:val="4"/>
          <w:szCs w:val="4"/>
          <w:highlight w:val="yellow"/>
        </w:rPr>
      </w:pPr>
    </w:p>
    <w:p w14:paraId="3A4B5962" w14:textId="77777777" w:rsidR="00917B04" w:rsidRPr="00980D91" w:rsidRDefault="00917B04" w:rsidP="00917B04">
      <w:pPr>
        <w:pStyle w:val="Heading2"/>
        <w:numPr>
          <w:ilvl w:val="1"/>
          <w:numId w:val="4"/>
        </w:numPr>
        <w:tabs>
          <w:tab w:val="left" w:pos="3261"/>
        </w:tabs>
        <w:spacing w:before="120" w:after="120" w:line="240" w:lineRule="auto"/>
        <w:ind w:left="567" w:hanging="567"/>
        <w:rPr>
          <w:rFonts w:cs="Times New Roman"/>
          <w:color w:val="auto"/>
          <w:szCs w:val="24"/>
        </w:rPr>
      </w:pPr>
      <w:bookmarkStart w:id="80" w:name="_Toc173180803"/>
      <w:bookmarkStart w:id="81" w:name="_Toc205554415"/>
      <w:bookmarkStart w:id="82" w:name="_Hlk141861564"/>
      <w:r w:rsidRPr="00980D91">
        <w:rPr>
          <w:rFonts w:cs="Times New Roman"/>
          <w:color w:val="auto"/>
          <w:szCs w:val="24"/>
        </w:rPr>
        <w:t>Apropriācijas palielināšana</w:t>
      </w:r>
      <w:bookmarkEnd w:id="80"/>
      <w:bookmarkEnd w:id="81"/>
    </w:p>
    <w:bookmarkEnd w:id="82"/>
    <w:p w14:paraId="5A34B988" w14:textId="1C6FF2DE" w:rsidR="00917B04" w:rsidRDefault="26C914C9" w:rsidP="008921AF">
      <w:pPr>
        <w:spacing w:after="100" w:afterAutospacing="1" w:line="240" w:lineRule="auto"/>
        <w:ind w:firstLine="709"/>
        <w:jc w:val="both"/>
        <w:rPr>
          <w:rFonts w:ascii="Times New Roman" w:eastAsia="Calibri" w:hAnsi="Times New Roman" w:cs="Times New Roman"/>
          <w:sz w:val="24"/>
          <w:szCs w:val="24"/>
        </w:rPr>
      </w:pPr>
      <w:r w:rsidRPr="00917B04">
        <w:rPr>
          <w:rFonts w:ascii="Times New Roman" w:eastAsia="Calibri" w:hAnsi="Times New Roman" w:cs="Times New Roman"/>
          <w:kern w:val="2"/>
          <w:sz w:val="24"/>
          <w:szCs w:val="24"/>
          <w14:ligatures w14:val="standardContextual"/>
        </w:rPr>
        <w:t>Fiskālais risks iestājas gadījumā: 1) ja budžeta iestādes programmu realizācijai nepieciešams papildus finansējums, kura avots ir iepriekšējos periodos saņemto ieņēmumu no sniegtajiem maksas pakalpojumiem un citu pašu ieņēmumu atlikums (šīs deklarācijas apakšsadaļas ietvaros turpmāk – maksas pakalpojumu atlikums); 2) ja likumā</w:t>
      </w:r>
      <w:r w:rsidR="467C0DB6" w:rsidRPr="00917B04">
        <w:rPr>
          <w:rFonts w:ascii="Times New Roman" w:eastAsia="Calibri" w:hAnsi="Times New Roman" w:cs="Times New Roman"/>
          <w:kern w:val="2"/>
          <w:sz w:val="24"/>
          <w:szCs w:val="24"/>
          <w14:ligatures w14:val="standardContextual"/>
        </w:rPr>
        <w:t xml:space="preserve"> par valsts bud</w:t>
      </w:r>
      <w:r w:rsidR="6B3942A3" w:rsidRPr="00917B04">
        <w:rPr>
          <w:rFonts w:ascii="Times New Roman" w:eastAsia="Calibri" w:hAnsi="Times New Roman" w:cs="Times New Roman"/>
          <w:kern w:val="2"/>
          <w:sz w:val="24"/>
          <w:szCs w:val="24"/>
          <w14:ligatures w14:val="standardContextual"/>
        </w:rPr>
        <w:t>žetu kārtējam gadam un vidēja termiņa budžeta ietvaru (</w:t>
      </w:r>
      <w:r w:rsidR="0024C5AC" w:rsidRPr="469479B5">
        <w:rPr>
          <w:rFonts w:ascii="Times New Roman" w:eastAsia="Calibri" w:hAnsi="Times New Roman" w:cs="Times New Roman"/>
          <w:sz w:val="24"/>
          <w:szCs w:val="24"/>
        </w:rPr>
        <w:t>šīs deklarācijas apakšsadaļas ietvaros</w:t>
      </w:r>
      <w:r w:rsidR="6B3942A3" w:rsidRPr="00917B04">
        <w:rPr>
          <w:rFonts w:ascii="Times New Roman" w:eastAsia="Calibri" w:hAnsi="Times New Roman" w:cs="Times New Roman"/>
          <w:kern w:val="2"/>
          <w:sz w:val="24"/>
          <w:szCs w:val="24"/>
          <w14:ligatures w14:val="standardContextual"/>
        </w:rPr>
        <w:t xml:space="preserve"> </w:t>
      </w:r>
      <w:r w:rsidR="00597FA9" w:rsidRPr="469479B5">
        <w:rPr>
          <w:rFonts w:ascii="Times New Roman" w:hAnsi="Times New Roman" w:cs="Times New Roman"/>
          <w:color w:val="000000" w:themeColor="text1"/>
          <w:sz w:val="24"/>
          <w:szCs w:val="24"/>
        </w:rPr>
        <w:t>–</w:t>
      </w:r>
      <w:r w:rsidR="736A5709" w:rsidRPr="00917B04">
        <w:rPr>
          <w:rFonts w:ascii="Times New Roman" w:eastAsia="Calibri" w:hAnsi="Times New Roman" w:cs="Times New Roman"/>
          <w:kern w:val="2"/>
          <w:sz w:val="24"/>
          <w:szCs w:val="24"/>
          <w14:ligatures w14:val="standardContextual"/>
        </w:rPr>
        <w:t xml:space="preserve"> kārtējā gada budžeta likums)</w:t>
      </w:r>
      <w:r w:rsidR="6B3942A3" w:rsidRPr="00917B04">
        <w:rPr>
          <w:rFonts w:ascii="Times New Roman" w:eastAsia="Calibri" w:hAnsi="Times New Roman" w:cs="Times New Roman"/>
          <w:kern w:val="2"/>
          <w:sz w:val="24"/>
          <w:szCs w:val="24"/>
          <w14:ligatures w14:val="standardContextual"/>
        </w:rPr>
        <w:t xml:space="preserve"> </w:t>
      </w:r>
      <w:r w:rsidRPr="00917B04">
        <w:rPr>
          <w:rFonts w:ascii="Times New Roman" w:eastAsia="Calibri" w:hAnsi="Times New Roman" w:cs="Times New Roman"/>
          <w:kern w:val="2"/>
          <w:sz w:val="24"/>
          <w:szCs w:val="24"/>
          <w14:ligatures w14:val="standardContextual"/>
        </w:rPr>
        <w:t>valsts budžeta 74.</w:t>
      </w:r>
      <w:r w:rsidR="324228A3" w:rsidRPr="00917B04">
        <w:rPr>
          <w:rFonts w:ascii="Times New Roman" w:eastAsia="Calibri" w:hAnsi="Times New Roman" w:cs="Times New Roman"/>
          <w:kern w:val="2"/>
          <w:sz w:val="24"/>
          <w:szCs w:val="24"/>
          <w14:ligatures w14:val="standardContextual"/>
        </w:rPr>
        <w:t xml:space="preserve"> </w:t>
      </w:r>
      <w:r w:rsidRPr="00917B04">
        <w:rPr>
          <w:rFonts w:ascii="Times New Roman" w:eastAsia="Calibri" w:hAnsi="Times New Roman" w:cs="Times New Roman"/>
          <w:kern w:val="2"/>
          <w:sz w:val="24"/>
          <w:szCs w:val="24"/>
          <w14:ligatures w14:val="standardContextual"/>
        </w:rPr>
        <w:t>resora “Gadskārtējā valsts budžeta izpildes procesā pārdalāmais finansējums” programmā 01.00.00 “Apropriācijas rezerve” (šīs deklarācijas apakšsadaļas ietvaros turpmāk – programma “Apropriācijas rezerve”) nav pietiekoši resursi, lai nodrošinātu finansējumu ministrijām un centrālajām valsts iestādēm papildus apropriācijai LBFV noteiktajā kārtībā; 3) ja valsts budžeta 74.</w:t>
      </w:r>
      <w:r w:rsidR="49553F5B" w:rsidRPr="469479B5">
        <w:rPr>
          <w:rFonts w:ascii="Times New Roman" w:hAnsi="Times New Roman" w:cs="Times New Roman"/>
          <w:b/>
          <w:bCs/>
          <w:sz w:val="24"/>
          <w:szCs w:val="24"/>
        </w:rPr>
        <w:t xml:space="preserve"> </w:t>
      </w:r>
      <w:r w:rsidRPr="00917B04">
        <w:rPr>
          <w:rFonts w:ascii="Times New Roman" w:eastAsia="Calibri" w:hAnsi="Times New Roman" w:cs="Times New Roman"/>
          <w:kern w:val="2"/>
          <w:sz w:val="24"/>
          <w:szCs w:val="24"/>
          <w14:ligatures w14:val="standardContextual"/>
        </w:rPr>
        <w:t>resora “Gadskārtējā valsts budžeta izpildes procesā pārdalāmais finansējums” programmā 02.00.00 “Līdzekļi neparedzētiem gadījumiem” (šīs deklarācijas apakšsadaļas</w:t>
      </w:r>
      <w:r w:rsidRPr="469479B5">
        <w:rPr>
          <w:rFonts w:ascii="Times New Roman" w:eastAsia="Calibri" w:hAnsi="Times New Roman" w:cs="Times New Roman"/>
          <w:sz w:val="24"/>
          <w:szCs w:val="24"/>
        </w:rPr>
        <w:t xml:space="preserve"> ietvaros turpmāk – programma “Līdzekļi neparedzētiem gadījumiem”) pieejamais finansējums ir nepietiekams un LBFV noteiktajā kārtībā tiek veikta apropriācijas palielināšana</w:t>
      </w:r>
      <w:r w:rsidR="0036373F">
        <w:rPr>
          <w:rFonts w:ascii="Times New Roman" w:eastAsia="Calibri" w:hAnsi="Times New Roman" w:cs="Times New Roman"/>
          <w:sz w:val="24"/>
          <w:szCs w:val="24"/>
        </w:rPr>
        <w:t>.</w:t>
      </w:r>
      <w:r w:rsidRPr="469479B5">
        <w:rPr>
          <w:rFonts w:ascii="Times New Roman" w:eastAsia="Calibri" w:hAnsi="Times New Roman" w:cs="Times New Roman"/>
          <w:sz w:val="24"/>
          <w:szCs w:val="24"/>
        </w:rPr>
        <w:t xml:space="preserve"> Deklarācijā visi </w:t>
      </w:r>
      <w:r w:rsidR="0036373F">
        <w:rPr>
          <w:rFonts w:ascii="Times New Roman" w:eastAsia="Calibri" w:hAnsi="Times New Roman" w:cs="Times New Roman"/>
          <w:sz w:val="24"/>
          <w:szCs w:val="24"/>
        </w:rPr>
        <w:t>trīs</w:t>
      </w:r>
      <w:r w:rsidR="0036373F" w:rsidRPr="469479B5">
        <w:rPr>
          <w:rFonts w:ascii="Times New Roman" w:eastAsia="Calibri" w:hAnsi="Times New Roman" w:cs="Times New Roman"/>
          <w:sz w:val="24"/>
          <w:szCs w:val="24"/>
        </w:rPr>
        <w:t xml:space="preserve"> </w:t>
      </w:r>
      <w:r w:rsidRPr="469479B5">
        <w:rPr>
          <w:rFonts w:ascii="Times New Roman" w:eastAsia="Calibri" w:hAnsi="Times New Roman" w:cs="Times New Roman"/>
          <w:sz w:val="24"/>
          <w:szCs w:val="24"/>
        </w:rPr>
        <w:t>gadījumi tiek apskatīti atsevišķi un par katru gadījumu tiek pieņemts lēmums par fiskālās nodrošinājuma rezerves izveidi.</w:t>
      </w:r>
    </w:p>
    <w:p w14:paraId="748C8649" w14:textId="77777777" w:rsidR="00C0189F" w:rsidRPr="00917B04" w:rsidRDefault="00C0189F" w:rsidP="008921AF">
      <w:pPr>
        <w:spacing w:after="100" w:afterAutospacing="1" w:line="240" w:lineRule="auto"/>
        <w:ind w:firstLine="709"/>
        <w:jc w:val="both"/>
        <w:rPr>
          <w:rFonts w:ascii="Times New Roman" w:eastAsia="Calibri" w:hAnsi="Times New Roman" w:cs="Times New Roman"/>
          <w:kern w:val="2"/>
          <w:sz w:val="24"/>
          <w:szCs w:val="24"/>
          <w14:ligatures w14:val="standardContextual"/>
        </w:rPr>
      </w:pPr>
    </w:p>
    <w:p w14:paraId="40579E80" w14:textId="4C7F1E60" w:rsidR="00917B04" w:rsidRPr="00980D91" w:rsidRDefault="00917B04" w:rsidP="00561E55">
      <w:pPr>
        <w:pStyle w:val="Heading3"/>
        <w:numPr>
          <w:ilvl w:val="2"/>
          <w:numId w:val="4"/>
        </w:numPr>
        <w:ind w:left="709"/>
        <w:jc w:val="center"/>
        <w:rPr>
          <w:rFonts w:ascii="Times New Roman" w:eastAsia="Calibri" w:hAnsi="Times New Roman" w:cs="Times New Roman"/>
          <w:sz w:val="24"/>
          <w:szCs w:val="24"/>
        </w:rPr>
      </w:pPr>
      <w:bookmarkStart w:id="83" w:name="_Toc205554416"/>
      <w:r w:rsidRPr="00980D91">
        <w:rPr>
          <w:rFonts w:ascii="Times New Roman" w:eastAsia="Calibri" w:hAnsi="Times New Roman" w:cs="Times New Roman"/>
          <w:sz w:val="24"/>
          <w:szCs w:val="24"/>
        </w:rPr>
        <w:t>Ieņēmumu no sniegtajiem maksas pakalpojumiem un citu pašu ieņēmumu atlikums</w:t>
      </w:r>
      <w:bookmarkEnd w:id="83"/>
    </w:p>
    <w:p w14:paraId="50D26AF0" w14:textId="77777777" w:rsidR="00561E55" w:rsidRDefault="00561E55" w:rsidP="00561E55">
      <w:pPr>
        <w:spacing w:after="0" w:line="240" w:lineRule="auto"/>
        <w:ind w:firstLine="709"/>
        <w:jc w:val="both"/>
        <w:rPr>
          <w:rFonts w:ascii="Times New Roman" w:eastAsia="Calibri" w:hAnsi="Times New Roman" w:cs="Times New Roman"/>
          <w:kern w:val="2"/>
          <w:sz w:val="24"/>
          <w:szCs w:val="24"/>
          <w14:ligatures w14:val="standardContextual"/>
        </w:rPr>
      </w:pPr>
    </w:p>
    <w:p w14:paraId="43E36BD5" w14:textId="1386896C" w:rsidR="00EF3B85" w:rsidRDefault="01E73361" w:rsidP="001B3A63">
      <w:pPr>
        <w:spacing w:after="0" w:line="240" w:lineRule="auto"/>
        <w:ind w:firstLine="709"/>
        <w:jc w:val="both"/>
        <w:rPr>
          <w:rFonts w:ascii="Times New Roman" w:eastAsia="Calibri" w:hAnsi="Times New Roman" w:cs="Times New Roman"/>
          <w:kern w:val="2"/>
          <w:sz w:val="24"/>
          <w:szCs w:val="24"/>
          <w14:ligatures w14:val="standardContextual"/>
        </w:rPr>
      </w:pPr>
      <w:r w:rsidRPr="005552F3">
        <w:rPr>
          <w:rFonts w:ascii="Times New Roman" w:eastAsia="Calibri" w:hAnsi="Times New Roman" w:cs="Times New Roman"/>
          <w:kern w:val="2"/>
          <w:sz w:val="24"/>
          <w:szCs w:val="24"/>
          <w14:ligatures w14:val="standardContextual"/>
        </w:rPr>
        <w:t>Atbilstoši LBFV 9.</w:t>
      </w:r>
      <w:r w:rsidR="4416363F"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panta četrpadsmitās daļas 1.</w:t>
      </w:r>
      <w:r w:rsidR="75D685AD"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punktam finanšu ministram ir tiesības palielināt valsts budžetā likumā noteikto apropriāciju valsts budžeta iestāžu maksas pakalpojumu atlikumu saimnieciskā gada sākumā izmantošanai</w:t>
      </w:r>
      <w:r w:rsidR="00561E55" w:rsidRPr="005552F3">
        <w:rPr>
          <w:rStyle w:val="FootnoteReference"/>
          <w:rFonts w:ascii="Times New Roman" w:eastAsia="Calibri" w:hAnsi="Times New Roman" w:cs="Times New Roman"/>
          <w:kern w:val="2"/>
          <w:sz w:val="24"/>
          <w:szCs w:val="24"/>
          <w14:ligatures w14:val="standardContextual"/>
        </w:rPr>
        <w:footnoteReference w:id="31"/>
      </w:r>
      <w:r w:rsidRPr="005552F3">
        <w:rPr>
          <w:rFonts w:ascii="Times New Roman" w:eastAsia="Calibri" w:hAnsi="Times New Roman" w:cs="Times New Roman"/>
          <w:kern w:val="2"/>
          <w:sz w:val="24"/>
          <w:szCs w:val="24"/>
          <w14:ligatures w14:val="standardContextual"/>
        </w:rPr>
        <w:t xml:space="preserve">. Palielinot </w:t>
      </w:r>
      <w:r w:rsidR="0AFFDFF6" w:rsidRPr="005552F3">
        <w:rPr>
          <w:rFonts w:ascii="Times New Roman" w:eastAsia="Calibri" w:hAnsi="Times New Roman" w:cs="Times New Roman"/>
          <w:kern w:val="2"/>
          <w:sz w:val="24"/>
          <w:szCs w:val="24"/>
          <w14:ligatures w14:val="standardContextual"/>
        </w:rPr>
        <w:t xml:space="preserve">kārtējā gada </w:t>
      </w:r>
      <w:r w:rsidRPr="005552F3">
        <w:rPr>
          <w:rFonts w:ascii="Times New Roman" w:eastAsia="Calibri" w:hAnsi="Times New Roman" w:cs="Times New Roman"/>
          <w:kern w:val="2"/>
          <w:sz w:val="24"/>
          <w:szCs w:val="24"/>
          <w14:ligatures w14:val="standardContextual"/>
        </w:rPr>
        <w:t>budžeta likumā noteikto apropriāciju, veidojas negatīva ietekme uz vispārējās valdības budžeta bilanci. Lai izvērtētu nepieciešamību veidot fiskālā nodrošinājuma rezervi iepriekš minētajam fiskālajam riskam tiek novērtēts, kāds ir maksas pakalpojumu atlikums saimnieciskā gada sākumā un kādas ir maksas pakalpojumu atlikuma neto izmaiņas.</w:t>
      </w:r>
    </w:p>
    <w:p w14:paraId="1BB6D147" w14:textId="77777777" w:rsidR="001B3A63" w:rsidRPr="001B3A63" w:rsidRDefault="001B3A63" w:rsidP="001B3A63">
      <w:pPr>
        <w:spacing w:after="0" w:line="240" w:lineRule="auto"/>
        <w:ind w:firstLine="709"/>
        <w:jc w:val="both"/>
        <w:rPr>
          <w:rFonts w:ascii="Times New Roman" w:eastAsia="Calibri" w:hAnsi="Times New Roman" w:cs="Times New Roman"/>
          <w:kern w:val="2"/>
          <w:sz w:val="24"/>
          <w:szCs w:val="24"/>
          <w14:ligatures w14:val="standardContextual"/>
        </w:rPr>
      </w:pPr>
    </w:p>
    <w:p w14:paraId="4C4B1526" w14:textId="703BDEE8" w:rsidR="006D6A17" w:rsidRPr="00EF3B85" w:rsidRDefault="006D6A17" w:rsidP="00497710">
      <w:pPr>
        <w:spacing w:line="240" w:lineRule="auto"/>
        <w:jc w:val="right"/>
        <w:rPr>
          <w:rFonts w:ascii="Times New Roman" w:eastAsia="Calibri" w:hAnsi="Times New Roman" w:cs="Times New Roman"/>
          <w:b/>
          <w:bCs/>
          <w:kern w:val="2"/>
          <w:sz w:val="24"/>
          <w:szCs w:val="24"/>
          <w14:ligatures w14:val="standardContextual"/>
        </w:rPr>
      </w:pPr>
      <w:r w:rsidRPr="00EF3B85">
        <w:rPr>
          <w:rFonts w:ascii="Times New Roman" w:eastAsia="Calibri" w:hAnsi="Times New Roman" w:cs="Times New Roman"/>
          <w:b/>
          <w:bCs/>
          <w:kern w:val="2"/>
          <w:sz w:val="24"/>
          <w:szCs w:val="24"/>
          <w14:ligatures w14:val="standardContextual"/>
        </w:rPr>
        <w:t>Tabula Nr.</w:t>
      </w:r>
      <w:r w:rsidR="004A682A" w:rsidRPr="00EF3B85">
        <w:rPr>
          <w:rFonts w:ascii="Times New Roman" w:eastAsia="Calibri" w:hAnsi="Times New Roman" w:cs="Times New Roman"/>
          <w:b/>
          <w:bCs/>
          <w:kern w:val="2"/>
          <w:sz w:val="24"/>
          <w:szCs w:val="24"/>
          <w14:ligatures w14:val="standardContextual"/>
        </w:rPr>
        <w:t>2.7.</w:t>
      </w:r>
      <w:r w:rsidRPr="00EF3B85">
        <w:rPr>
          <w:rFonts w:ascii="Times New Roman" w:eastAsia="Calibri" w:hAnsi="Times New Roman" w:cs="Times New Roman"/>
          <w:b/>
          <w:bCs/>
          <w:kern w:val="2"/>
          <w:sz w:val="24"/>
          <w:szCs w:val="24"/>
          <w14:ligatures w14:val="standardContextual"/>
        </w:rPr>
        <w:t xml:space="preserve">1 Budžeta iestāžu maksas pakalpojumu atlikums gada sākumā, milj. </w:t>
      </w:r>
      <w:r w:rsidRPr="00EF3B85">
        <w:rPr>
          <w:rFonts w:ascii="Times New Roman" w:eastAsia="Calibri" w:hAnsi="Times New Roman" w:cs="Times New Roman"/>
          <w:b/>
          <w:bCs/>
          <w:i/>
          <w:iCs/>
          <w:kern w:val="2"/>
          <w:sz w:val="24"/>
          <w:szCs w:val="24"/>
          <w14:ligatures w14:val="standardContextual"/>
        </w:rPr>
        <w:t>euro</w:t>
      </w:r>
    </w:p>
    <w:tbl>
      <w:tblPr>
        <w:tblStyle w:val="GridTable6Colorful-Accent12"/>
        <w:tblW w:w="9803" w:type="dxa"/>
        <w:tblInd w:w="-5" w:type="dxa"/>
        <w:tblLayout w:type="fixed"/>
        <w:tblLook w:val="04A0" w:firstRow="1" w:lastRow="0" w:firstColumn="1" w:lastColumn="0" w:noHBand="0" w:noVBand="1"/>
      </w:tblPr>
      <w:tblGrid>
        <w:gridCol w:w="2240"/>
        <w:gridCol w:w="619"/>
        <w:gridCol w:w="619"/>
        <w:gridCol w:w="618"/>
        <w:gridCol w:w="618"/>
        <w:gridCol w:w="618"/>
        <w:gridCol w:w="618"/>
        <w:gridCol w:w="618"/>
        <w:gridCol w:w="618"/>
        <w:gridCol w:w="618"/>
        <w:gridCol w:w="651"/>
        <w:gridCol w:w="674"/>
        <w:gridCol w:w="674"/>
      </w:tblGrid>
      <w:tr w:rsidR="00F205E8" w:rsidRPr="005A2D98" w14:paraId="0175BF92" w14:textId="1BCDD94B" w:rsidTr="00F205E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62672FD" w14:textId="77777777" w:rsidR="00555142" w:rsidRPr="001B3A63" w:rsidRDefault="00555142" w:rsidP="469479B5">
            <w:pPr>
              <w:jc w:val="both"/>
              <w:rPr>
                <w:rFonts w:eastAsia="Times New Roman"/>
                <w:color w:val="auto"/>
                <w:sz w:val="20"/>
                <w:szCs w:val="20"/>
              </w:rPr>
            </w:pPr>
          </w:p>
        </w:tc>
        <w:tc>
          <w:tcPr>
            <w:tcW w:w="624" w:type="dxa"/>
            <w:vAlign w:val="center"/>
          </w:tcPr>
          <w:p w14:paraId="3C165550"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2014</w:t>
            </w:r>
          </w:p>
        </w:tc>
        <w:tc>
          <w:tcPr>
            <w:tcW w:w="624" w:type="dxa"/>
            <w:vAlign w:val="center"/>
          </w:tcPr>
          <w:p w14:paraId="3FD3AC37"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2015</w:t>
            </w:r>
          </w:p>
        </w:tc>
        <w:tc>
          <w:tcPr>
            <w:tcW w:w="624" w:type="dxa"/>
            <w:vAlign w:val="center"/>
          </w:tcPr>
          <w:p w14:paraId="36827EC4"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2016</w:t>
            </w:r>
          </w:p>
        </w:tc>
        <w:tc>
          <w:tcPr>
            <w:tcW w:w="624" w:type="dxa"/>
            <w:vAlign w:val="center"/>
          </w:tcPr>
          <w:p w14:paraId="4745F54D"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2017</w:t>
            </w:r>
          </w:p>
        </w:tc>
        <w:tc>
          <w:tcPr>
            <w:tcW w:w="624" w:type="dxa"/>
            <w:vAlign w:val="center"/>
          </w:tcPr>
          <w:p w14:paraId="61E06B7B"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2018</w:t>
            </w:r>
          </w:p>
        </w:tc>
        <w:tc>
          <w:tcPr>
            <w:tcW w:w="624" w:type="dxa"/>
            <w:vAlign w:val="center"/>
          </w:tcPr>
          <w:p w14:paraId="798825B9"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2019</w:t>
            </w:r>
          </w:p>
        </w:tc>
        <w:tc>
          <w:tcPr>
            <w:tcW w:w="624" w:type="dxa"/>
            <w:vAlign w:val="center"/>
          </w:tcPr>
          <w:p w14:paraId="771C1474"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2020</w:t>
            </w:r>
          </w:p>
        </w:tc>
        <w:tc>
          <w:tcPr>
            <w:tcW w:w="624" w:type="dxa"/>
            <w:vAlign w:val="center"/>
          </w:tcPr>
          <w:p w14:paraId="0B4995DD"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2021</w:t>
            </w:r>
          </w:p>
        </w:tc>
        <w:tc>
          <w:tcPr>
            <w:tcW w:w="624" w:type="dxa"/>
            <w:vAlign w:val="center"/>
          </w:tcPr>
          <w:p w14:paraId="2106EC2B"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2022</w:t>
            </w:r>
          </w:p>
        </w:tc>
        <w:tc>
          <w:tcPr>
            <w:tcW w:w="657" w:type="dxa"/>
            <w:vAlign w:val="center"/>
          </w:tcPr>
          <w:p w14:paraId="219EFFE5" w14:textId="77777777" w:rsidR="00555142" w:rsidRPr="001B3A63" w:rsidRDefault="00555142"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2023</w:t>
            </w:r>
          </w:p>
        </w:tc>
        <w:tc>
          <w:tcPr>
            <w:tcW w:w="680" w:type="dxa"/>
            <w:vAlign w:val="center"/>
          </w:tcPr>
          <w:p w14:paraId="6BCBB899" w14:textId="77777777"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2024</w:t>
            </w:r>
          </w:p>
        </w:tc>
        <w:tc>
          <w:tcPr>
            <w:tcW w:w="680" w:type="dxa"/>
            <w:vAlign w:val="center"/>
          </w:tcPr>
          <w:p w14:paraId="4315DE4C" w14:textId="69D01F1F"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2025</w:t>
            </w:r>
          </w:p>
        </w:tc>
      </w:tr>
      <w:tr w:rsidR="00F205E8" w:rsidRPr="005A2D98" w14:paraId="28B5C59D" w14:textId="38FDF176" w:rsidTr="003341F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D42EC6E" w14:textId="77777777" w:rsidR="00555142" w:rsidRPr="001B3A63" w:rsidRDefault="00555142" w:rsidP="469479B5">
            <w:pPr>
              <w:rPr>
                <w:rFonts w:eastAsia="Times New Roman"/>
                <w:color w:val="000000" w:themeColor="text1"/>
                <w:sz w:val="20"/>
                <w:szCs w:val="20"/>
              </w:rPr>
            </w:pPr>
            <w:r w:rsidRPr="001B3A63">
              <w:rPr>
                <w:rFonts w:eastAsia="Times New Roman"/>
                <w:color w:val="000000" w:themeColor="text1"/>
                <w:sz w:val="20"/>
                <w:szCs w:val="20"/>
              </w:rPr>
              <w:t>Maksas pakalpojumu atlikums</w:t>
            </w:r>
          </w:p>
        </w:tc>
        <w:tc>
          <w:tcPr>
            <w:tcW w:w="0" w:type="dxa"/>
            <w:vAlign w:val="center"/>
          </w:tcPr>
          <w:p w14:paraId="2B74E7C5"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33,6</w:t>
            </w:r>
          </w:p>
        </w:tc>
        <w:tc>
          <w:tcPr>
            <w:tcW w:w="0" w:type="dxa"/>
            <w:vAlign w:val="center"/>
          </w:tcPr>
          <w:p w14:paraId="3EEC2B33"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36,8</w:t>
            </w:r>
          </w:p>
        </w:tc>
        <w:tc>
          <w:tcPr>
            <w:tcW w:w="0" w:type="dxa"/>
            <w:vAlign w:val="center"/>
          </w:tcPr>
          <w:p w14:paraId="05420F52"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42,6</w:t>
            </w:r>
          </w:p>
        </w:tc>
        <w:tc>
          <w:tcPr>
            <w:tcW w:w="0" w:type="dxa"/>
            <w:vAlign w:val="center"/>
          </w:tcPr>
          <w:p w14:paraId="52527908"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42,2</w:t>
            </w:r>
          </w:p>
        </w:tc>
        <w:tc>
          <w:tcPr>
            <w:tcW w:w="0" w:type="dxa"/>
            <w:vAlign w:val="center"/>
          </w:tcPr>
          <w:p w14:paraId="40FA033E"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40,6</w:t>
            </w:r>
          </w:p>
        </w:tc>
        <w:tc>
          <w:tcPr>
            <w:tcW w:w="0" w:type="dxa"/>
            <w:vAlign w:val="center"/>
          </w:tcPr>
          <w:p w14:paraId="525B4B79"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47,0</w:t>
            </w:r>
          </w:p>
        </w:tc>
        <w:tc>
          <w:tcPr>
            <w:tcW w:w="0" w:type="dxa"/>
            <w:vAlign w:val="center"/>
          </w:tcPr>
          <w:p w14:paraId="136B34A8"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57,7</w:t>
            </w:r>
          </w:p>
        </w:tc>
        <w:tc>
          <w:tcPr>
            <w:tcW w:w="0" w:type="dxa"/>
            <w:vAlign w:val="center"/>
          </w:tcPr>
          <w:p w14:paraId="12CFC064"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65,7</w:t>
            </w:r>
          </w:p>
        </w:tc>
        <w:tc>
          <w:tcPr>
            <w:tcW w:w="0" w:type="dxa"/>
            <w:vAlign w:val="center"/>
          </w:tcPr>
          <w:p w14:paraId="47146803"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78,7</w:t>
            </w:r>
          </w:p>
        </w:tc>
        <w:tc>
          <w:tcPr>
            <w:tcW w:w="0" w:type="dxa"/>
            <w:vAlign w:val="center"/>
          </w:tcPr>
          <w:p w14:paraId="74E710F4"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94,9</w:t>
            </w:r>
          </w:p>
        </w:tc>
        <w:tc>
          <w:tcPr>
            <w:tcW w:w="680" w:type="dxa"/>
            <w:vAlign w:val="center"/>
          </w:tcPr>
          <w:p w14:paraId="5F8266FC" w14:textId="77777777" w:rsidR="00555142" w:rsidRPr="001B3A63" w:rsidRDefault="00555142" w:rsidP="001B3A6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108,9</w:t>
            </w:r>
          </w:p>
        </w:tc>
        <w:tc>
          <w:tcPr>
            <w:tcW w:w="680" w:type="dxa"/>
            <w:vAlign w:val="center"/>
          </w:tcPr>
          <w:p w14:paraId="01250C45" w14:textId="13B7725A" w:rsidR="00555142" w:rsidRPr="001B3A63" w:rsidRDefault="007006FF" w:rsidP="001B3A6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128,1</w:t>
            </w:r>
          </w:p>
        </w:tc>
      </w:tr>
      <w:tr w:rsidR="00F205E8" w:rsidRPr="005A2D98" w14:paraId="6A72BF57" w14:textId="055462BA" w:rsidTr="00F205E8">
        <w:trPr>
          <w:trHeight w:val="17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06AD95F" w14:textId="77777777" w:rsidR="00555142" w:rsidRPr="001B3A63" w:rsidRDefault="00555142" w:rsidP="469479B5">
            <w:pPr>
              <w:rPr>
                <w:rFonts w:eastAsia="Times New Roman"/>
                <w:color w:val="000000" w:themeColor="text1"/>
                <w:sz w:val="20"/>
                <w:szCs w:val="20"/>
              </w:rPr>
            </w:pPr>
            <w:r w:rsidRPr="001B3A63">
              <w:rPr>
                <w:rFonts w:eastAsia="Times New Roman"/>
                <w:color w:val="000000" w:themeColor="text1"/>
                <w:sz w:val="20"/>
                <w:szCs w:val="20"/>
              </w:rPr>
              <w:t>Izmaiņas maksas pakalpojumu atlikumos</w:t>
            </w:r>
          </w:p>
        </w:tc>
        <w:tc>
          <w:tcPr>
            <w:tcW w:w="624" w:type="dxa"/>
            <w:vAlign w:val="center"/>
          </w:tcPr>
          <w:p w14:paraId="203E6E61"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3,1</w:t>
            </w:r>
          </w:p>
        </w:tc>
        <w:tc>
          <w:tcPr>
            <w:tcW w:w="624" w:type="dxa"/>
            <w:vAlign w:val="center"/>
          </w:tcPr>
          <w:p w14:paraId="68E65264"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5,8</w:t>
            </w:r>
          </w:p>
        </w:tc>
        <w:tc>
          <w:tcPr>
            <w:tcW w:w="624" w:type="dxa"/>
            <w:vAlign w:val="center"/>
          </w:tcPr>
          <w:p w14:paraId="4AAA41A3"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-0,3</w:t>
            </w:r>
          </w:p>
        </w:tc>
        <w:tc>
          <w:tcPr>
            <w:tcW w:w="624" w:type="dxa"/>
            <w:vAlign w:val="center"/>
          </w:tcPr>
          <w:p w14:paraId="28A4A8AE"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-1,6</w:t>
            </w:r>
          </w:p>
        </w:tc>
        <w:tc>
          <w:tcPr>
            <w:tcW w:w="624" w:type="dxa"/>
            <w:vAlign w:val="center"/>
          </w:tcPr>
          <w:p w14:paraId="5932078B"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6,4</w:t>
            </w:r>
          </w:p>
        </w:tc>
        <w:tc>
          <w:tcPr>
            <w:tcW w:w="624" w:type="dxa"/>
            <w:vAlign w:val="center"/>
          </w:tcPr>
          <w:p w14:paraId="6CFDD764"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10,7</w:t>
            </w:r>
          </w:p>
        </w:tc>
        <w:tc>
          <w:tcPr>
            <w:tcW w:w="624" w:type="dxa"/>
            <w:vAlign w:val="center"/>
          </w:tcPr>
          <w:p w14:paraId="4D58FF79"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8,0</w:t>
            </w:r>
          </w:p>
        </w:tc>
        <w:tc>
          <w:tcPr>
            <w:tcW w:w="624" w:type="dxa"/>
            <w:vAlign w:val="center"/>
          </w:tcPr>
          <w:p w14:paraId="30C73DC7"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13,0</w:t>
            </w:r>
          </w:p>
        </w:tc>
        <w:tc>
          <w:tcPr>
            <w:tcW w:w="624" w:type="dxa"/>
            <w:vAlign w:val="center"/>
          </w:tcPr>
          <w:p w14:paraId="0118CBCE"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16,3</w:t>
            </w:r>
          </w:p>
        </w:tc>
        <w:tc>
          <w:tcPr>
            <w:tcW w:w="657" w:type="dxa"/>
            <w:vAlign w:val="center"/>
          </w:tcPr>
          <w:p w14:paraId="1E0F24A6"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14,0</w:t>
            </w:r>
          </w:p>
        </w:tc>
        <w:tc>
          <w:tcPr>
            <w:tcW w:w="680" w:type="dxa"/>
            <w:vAlign w:val="center"/>
          </w:tcPr>
          <w:p w14:paraId="7A50023C" w14:textId="5BF0C70C" w:rsidR="00555142" w:rsidRPr="001B3A63" w:rsidRDefault="007006FF" w:rsidP="001B3A6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19,2</w:t>
            </w:r>
          </w:p>
        </w:tc>
        <w:tc>
          <w:tcPr>
            <w:tcW w:w="680" w:type="dxa"/>
            <w:vAlign w:val="center"/>
          </w:tcPr>
          <w:p w14:paraId="115C1AC5" w14:textId="77777777" w:rsidR="00555142" w:rsidRPr="001B3A63" w:rsidRDefault="00555142" w:rsidP="001B3A6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r>
    </w:tbl>
    <w:p w14:paraId="77557011" w14:textId="77777777" w:rsidR="006D6A17" w:rsidRPr="00883EE7" w:rsidRDefault="006D6A17" w:rsidP="00BE416D">
      <w:pPr>
        <w:spacing w:after="0" w:line="240" w:lineRule="auto"/>
        <w:jc w:val="both"/>
        <w:rPr>
          <w:rFonts w:ascii="Times New Roman" w:eastAsia="Calibri" w:hAnsi="Times New Roman" w:cs="Times New Roman"/>
          <w:kern w:val="2"/>
          <w:highlight w:val="yellow"/>
          <w14:ligatures w14:val="standardContextual"/>
        </w:rPr>
      </w:pPr>
    </w:p>
    <w:p w14:paraId="2D4DFEB2" w14:textId="5F19E47E" w:rsidR="00A2225B" w:rsidRPr="005552F3" w:rsidRDefault="7562C1E9" w:rsidP="00A2225B">
      <w:pPr>
        <w:spacing w:after="0" w:line="240" w:lineRule="auto"/>
        <w:ind w:firstLine="720"/>
        <w:jc w:val="both"/>
        <w:rPr>
          <w:rFonts w:ascii="Times New Roman" w:eastAsia="Calibri" w:hAnsi="Times New Roman" w:cs="Times New Roman"/>
          <w:kern w:val="2"/>
          <w:sz w:val="24"/>
          <w:szCs w:val="24"/>
          <w14:ligatures w14:val="standardContextual"/>
        </w:rPr>
      </w:pPr>
      <w:r w:rsidRPr="005552F3">
        <w:rPr>
          <w:rFonts w:ascii="Times New Roman" w:eastAsia="Calibri" w:hAnsi="Times New Roman" w:cs="Times New Roman"/>
          <w:kern w:val="2"/>
          <w:sz w:val="24"/>
          <w:szCs w:val="24"/>
          <w14:ligatures w14:val="standardContextual"/>
        </w:rPr>
        <w:t>Budžeta iestāžu maksas pakalpojumu atlikums</w:t>
      </w:r>
      <w:r w:rsidR="3F3674FB" w:rsidRPr="005552F3">
        <w:rPr>
          <w:rFonts w:ascii="Times New Roman" w:eastAsia="Calibri" w:hAnsi="Times New Roman" w:cs="Times New Roman"/>
          <w:kern w:val="2"/>
          <w:sz w:val="24"/>
          <w:szCs w:val="24"/>
          <w14:ligatures w14:val="standardContextual"/>
        </w:rPr>
        <w:t>,</w:t>
      </w:r>
      <w:r w:rsidRPr="005552F3">
        <w:rPr>
          <w:rFonts w:ascii="Times New Roman" w:eastAsia="Calibri" w:hAnsi="Times New Roman" w:cs="Times New Roman"/>
          <w:kern w:val="2"/>
          <w:sz w:val="24"/>
          <w:szCs w:val="24"/>
          <w14:ligatures w14:val="standardContextual"/>
        </w:rPr>
        <w:t xml:space="preserve"> kā arī tā izmaiņas ir attēlotas tabulā Nr.2.7.1. Budžeta iestāžu maksas pakalpojumu atlikuma dinamika, norāda uz to, ka arī, ja kārtējā gadā tiek palielināta apropriācija, tomēr tā nav lielāka kā kārtējā gada laikā saņemtie ieņēmumi par sniegtajiem maksas pakalpojumiem, kas netiek izlietoti kārtējā gadā, tādējādi uzlabojot vispārējās valdības budžeta bilanci.</w:t>
      </w:r>
      <w:r>
        <w:rPr>
          <w:rFonts w:ascii="Times New Roman" w:eastAsia="Calibri" w:hAnsi="Times New Roman" w:cs="Times New Roman"/>
          <w:kern w:val="2"/>
          <w:sz w:val="24"/>
          <w:szCs w:val="24"/>
          <w14:ligatures w14:val="standardContextual"/>
        </w:rPr>
        <w:t xml:space="preserve"> Ņemot vērā, ka maksas pakalpojumu un citu pašu ieņēmumu atlikums nav radījis būtisku negatīvu ietekmi uz vispārējās valdības budžeta bilanci, </w:t>
      </w:r>
      <w:r w:rsidRPr="005552F3">
        <w:rPr>
          <w:rFonts w:ascii="Times New Roman" w:eastAsia="Calibri" w:hAnsi="Times New Roman" w:cs="Times New Roman"/>
          <w:b/>
          <w:bCs/>
          <w:kern w:val="2"/>
          <w:sz w:val="24"/>
          <w:szCs w:val="24"/>
          <w14:ligatures w14:val="standardContextual"/>
        </w:rPr>
        <w:t>fiskālā nodrošinājuma rezerve netiek veidota</w:t>
      </w:r>
      <w:r>
        <w:rPr>
          <w:rFonts w:ascii="Times New Roman" w:eastAsia="Calibri" w:hAnsi="Times New Roman" w:cs="Times New Roman"/>
          <w:kern w:val="2"/>
          <w:sz w:val="24"/>
          <w:szCs w:val="24"/>
          <w14:ligatures w14:val="standardContextual"/>
        </w:rPr>
        <w:t>.</w:t>
      </w:r>
    </w:p>
    <w:p w14:paraId="7ECEE648" w14:textId="77777777" w:rsidR="00A2225B" w:rsidRPr="00980D91" w:rsidRDefault="00A2225B" w:rsidP="008921AF">
      <w:pPr>
        <w:pStyle w:val="Heading3"/>
        <w:numPr>
          <w:ilvl w:val="2"/>
          <w:numId w:val="4"/>
        </w:numPr>
        <w:tabs>
          <w:tab w:val="left" w:pos="567"/>
        </w:tabs>
        <w:spacing w:after="120"/>
        <w:ind w:left="709" w:hanging="709"/>
        <w:jc w:val="center"/>
        <w:rPr>
          <w:rFonts w:ascii="Times New Roman" w:hAnsi="Times New Roman" w:cs="Times New Roman"/>
          <w:sz w:val="24"/>
          <w:szCs w:val="24"/>
        </w:rPr>
      </w:pPr>
      <w:bookmarkStart w:id="84" w:name="_Toc173180805"/>
      <w:bookmarkStart w:id="85" w:name="_Toc205554417"/>
      <w:r w:rsidRPr="00980D91">
        <w:rPr>
          <w:rFonts w:ascii="Times New Roman" w:hAnsi="Times New Roman" w:cs="Times New Roman"/>
          <w:sz w:val="24"/>
          <w:szCs w:val="24"/>
        </w:rPr>
        <w:t>Apropriācijas rezerve</w:t>
      </w:r>
      <w:bookmarkEnd w:id="84"/>
      <w:bookmarkEnd w:id="85"/>
    </w:p>
    <w:p w14:paraId="36841FB7" w14:textId="4E4DE9BE" w:rsidR="00A2225B" w:rsidRPr="005552F3" w:rsidRDefault="7562C1E9" w:rsidP="469479B5">
      <w:pPr>
        <w:spacing w:after="0" w:line="240" w:lineRule="auto"/>
        <w:ind w:firstLine="720"/>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P</w:t>
      </w:r>
      <w:r w:rsidRPr="005552F3">
        <w:rPr>
          <w:rFonts w:ascii="Times New Roman" w:eastAsia="Calibri" w:hAnsi="Times New Roman" w:cs="Times New Roman"/>
          <w:kern w:val="2"/>
          <w:sz w:val="24"/>
          <w:szCs w:val="24"/>
          <w14:ligatures w14:val="standardContextual"/>
        </w:rPr>
        <w:t>ar fiskālā riska avotu ir uzskatāma programmas “Apropriācijas rezerve” palielināšana. Programmu “Apropriācijas rezerve” plāno atsevišķi no ministriju vai citu centrālo iestāžu budžetiem. Šajā budžeta programmā plāno līdzekļus projektu uzturēšanas apropriācijas rezervei un neizlietoto asignējumu rezervei, ko ministrijas un centrālās iestādes pieprasa un izmanto MK noteiktajā kārtībā. Gadījumā, ja budžeta programmā “Apropriācijas rezerve” pietrūkst līdzekļu ministriju vai citu centrālo iestāžu pieprasījumu nodrošināšanai, tad finanšu ministram atbilstoši LBFV 9.</w:t>
      </w:r>
      <w:r w:rsidRPr="005552F3">
        <w:rPr>
          <w:rFonts w:ascii="Times New Roman" w:eastAsia="Calibri" w:hAnsi="Times New Roman" w:cs="Times New Roman"/>
          <w:kern w:val="2"/>
          <w:sz w:val="24"/>
          <w:szCs w:val="24"/>
          <w:vertAlign w:val="superscript"/>
          <w14:ligatures w14:val="standardContextual"/>
        </w:rPr>
        <w:t>1</w:t>
      </w:r>
      <w:r w:rsidRPr="005552F3">
        <w:rPr>
          <w:rFonts w:ascii="Times New Roman" w:eastAsia="Calibri" w:hAnsi="Times New Roman" w:cs="Times New Roman"/>
          <w:kern w:val="2"/>
          <w:sz w:val="24"/>
          <w:szCs w:val="24"/>
          <w14:ligatures w14:val="standardContextual"/>
        </w:rPr>
        <w:t xml:space="preserve"> panta 6.</w:t>
      </w:r>
      <w:r w:rsidR="33273AB8"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 xml:space="preserve">daļai ir tiesības budžeta programmu “Apropriācijas rezerve” palielināt, kas tiešā veidā negatīvi ietekmē vispārējās valdības budžeta bilanci. Grozījumi </w:t>
      </w:r>
      <w:r>
        <w:rPr>
          <w:rFonts w:ascii="Times New Roman" w:eastAsia="Calibri" w:hAnsi="Times New Roman" w:cs="Times New Roman"/>
          <w:kern w:val="2"/>
          <w:sz w:val="24"/>
          <w:szCs w:val="24"/>
          <w14:ligatures w14:val="standardContextual"/>
        </w:rPr>
        <w:t>LBVF</w:t>
      </w:r>
      <w:r w:rsidRPr="005552F3">
        <w:rPr>
          <w:rFonts w:ascii="Times New Roman" w:eastAsia="Calibri" w:hAnsi="Times New Roman" w:cs="Times New Roman"/>
          <w:kern w:val="2"/>
          <w:sz w:val="24"/>
          <w:szCs w:val="24"/>
          <w14:ligatures w14:val="standardContextual"/>
        </w:rPr>
        <w:t>, kuri pieļauj programmas “Apropriācijas rezerve” palielināšanu, tika apstiprināti 2020.</w:t>
      </w:r>
      <w:r w:rsidR="31736DA8"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gada 23.</w:t>
      </w:r>
      <w:r w:rsidR="062EFD88"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novembrī un stājās spēkā ar 2021.</w:t>
      </w:r>
      <w:r w:rsidR="29A53D68"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gada 1.</w:t>
      </w:r>
      <w:r w:rsidR="0E2D145D"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 xml:space="preserve">janvāri. Šo grozījumu mērķis ir nodrošināt efektīvu un elastīgu budžeta līdzekļu izmantošanu saimnieciskā gada beigās un paplašinātu elastības iespējas ministrijām un citām centrālajām iestādēm sasniegt augstākus rezultātus ar piešķirtajiem budžeta līdzekļiem. </w:t>
      </w:r>
    </w:p>
    <w:p w14:paraId="05C17505" w14:textId="24B4C42D" w:rsidR="00A2225B" w:rsidRPr="005552F3" w:rsidRDefault="7562C1E9" w:rsidP="469479B5">
      <w:pPr>
        <w:spacing w:after="0" w:line="240" w:lineRule="auto"/>
        <w:ind w:firstLine="720"/>
        <w:jc w:val="both"/>
        <w:rPr>
          <w:rFonts w:ascii="Times New Roman" w:eastAsia="Calibri" w:hAnsi="Times New Roman" w:cs="Times New Roman"/>
          <w:kern w:val="2"/>
          <w:sz w:val="24"/>
          <w:szCs w:val="24"/>
          <w14:ligatures w14:val="standardContextual"/>
        </w:rPr>
      </w:pPr>
      <w:r w:rsidRPr="005552F3">
        <w:rPr>
          <w:rFonts w:ascii="Times New Roman" w:eastAsia="Calibri" w:hAnsi="Times New Roman" w:cs="Times New Roman"/>
          <w:kern w:val="2"/>
          <w:sz w:val="24"/>
          <w:szCs w:val="24"/>
          <w14:ligatures w14:val="standardContextual"/>
        </w:rPr>
        <w:t>Lai novērtētu fiskālo risku ir apkopota informācija tabulā Nr.2.7.2, kurā atspoguļoti dati par kārtējā gada budžeta likuma programmu “Apropriācijas rezerve” ieplānoto finansējumu, budžeta programmas “Apropriācijas rezerve” palielinājumu, kā arī iepriekšējā gada neizlietotie asignējumi, kurus daļēji ministrijas vai centrālās iestādes var pieprasīt kārtējā gadā MK noteiktajā kārtībā. Tabulā Nr.2.7.2 ir atspoguļoti visi neizlietotie asignējumi, taču atbilstoši LBFV 9.</w:t>
      </w:r>
      <w:r w:rsidRPr="005552F3">
        <w:rPr>
          <w:rFonts w:ascii="Times New Roman" w:eastAsia="Calibri" w:hAnsi="Times New Roman" w:cs="Times New Roman"/>
          <w:kern w:val="2"/>
          <w:sz w:val="24"/>
          <w:szCs w:val="24"/>
          <w:vertAlign w:val="superscript"/>
          <w14:ligatures w14:val="standardContextual"/>
        </w:rPr>
        <w:t>1</w:t>
      </w:r>
      <w:r w:rsidRPr="005552F3">
        <w:rPr>
          <w:rFonts w:ascii="Times New Roman" w:eastAsia="Calibri" w:hAnsi="Times New Roman" w:cs="Times New Roman"/>
          <w:kern w:val="2"/>
          <w:sz w:val="24"/>
          <w:szCs w:val="24"/>
          <w14:ligatures w14:val="standardContextual"/>
        </w:rPr>
        <w:t xml:space="preserve"> panta 4.</w:t>
      </w:r>
      <w:r w:rsidR="74A8997C"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daļai ministrijas vai centrālās iestādes nepieprasa neizlietoto asignējumu daļu, kas radusies no vienreizējiem prioritārajiem pasākumiem piešķirtā finansējuma un iepriekšējā saimnieciskā gada terminēto vienreizējo pasākumu īstenošanas, kuru mērķis ir sasniegts jau iepriekšējā saimnieciskajā gadā.</w:t>
      </w:r>
    </w:p>
    <w:p w14:paraId="53714181" w14:textId="1CEE0F85" w:rsidR="00751B60" w:rsidRPr="00BD1CC4" w:rsidRDefault="7562C1E9" w:rsidP="00BD1CC4">
      <w:pPr>
        <w:ind w:firstLine="720"/>
        <w:jc w:val="both"/>
        <w:rPr>
          <w:rFonts w:ascii="Times New Roman" w:eastAsia="Calibri" w:hAnsi="Times New Roman" w:cs="Times New Roman"/>
          <w:kern w:val="2"/>
          <w:sz w:val="24"/>
          <w:szCs w:val="24"/>
          <w14:ligatures w14:val="standardContextual"/>
        </w:rPr>
      </w:pPr>
      <w:r w:rsidRPr="005552F3">
        <w:rPr>
          <w:rFonts w:ascii="Times New Roman" w:eastAsia="Calibri" w:hAnsi="Times New Roman" w:cs="Times New Roman"/>
          <w:kern w:val="2"/>
          <w:sz w:val="24"/>
          <w:szCs w:val="24"/>
          <w14:ligatures w14:val="standardContextual"/>
        </w:rPr>
        <w:t>Programma “Apropriācijas rezerve” tika palielināta 2021., 2022.</w:t>
      </w:r>
      <w:r w:rsidR="00E2637A">
        <w:rPr>
          <w:rFonts w:ascii="Times New Roman" w:eastAsia="Calibri" w:hAnsi="Times New Roman" w:cs="Times New Roman"/>
          <w:kern w:val="2"/>
          <w:sz w:val="24"/>
          <w:szCs w:val="24"/>
          <w14:ligatures w14:val="standardContextual"/>
        </w:rPr>
        <w:t>, 2023. un 2024.</w:t>
      </w:r>
      <w:r w:rsidR="7F3068FF"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 xml:space="preserve">gadā, kas radīja negatīvu ietekmi uz vispārējās valdības budžeta bilanci, taču tajā pašā laikā ministriju un centrālo iestāžu neizlietotie asignējumi veidoja </w:t>
      </w:r>
      <w:r w:rsidR="001B3A63">
        <w:rPr>
          <w:rFonts w:ascii="Times New Roman" w:eastAsia="Calibri" w:hAnsi="Times New Roman" w:cs="Times New Roman"/>
          <w:kern w:val="2"/>
          <w:sz w:val="24"/>
          <w:szCs w:val="24"/>
          <w14:ligatures w14:val="standardContextual"/>
        </w:rPr>
        <w:t>593,5</w:t>
      </w:r>
      <w:r w:rsidRPr="005552F3">
        <w:rPr>
          <w:rFonts w:ascii="Times New Roman" w:eastAsia="Calibri" w:hAnsi="Times New Roman" w:cs="Times New Roman"/>
          <w:kern w:val="2"/>
          <w:sz w:val="24"/>
          <w:szCs w:val="24"/>
          <w14:ligatures w14:val="standardContextual"/>
        </w:rPr>
        <w:t xml:space="preserve"> milj. </w:t>
      </w:r>
      <w:r w:rsidRPr="469479B5">
        <w:rPr>
          <w:rFonts w:ascii="Times New Roman" w:eastAsia="Calibri" w:hAnsi="Times New Roman" w:cs="Times New Roman"/>
          <w:i/>
          <w:iCs/>
          <w:kern w:val="2"/>
          <w:sz w:val="24"/>
          <w:szCs w:val="24"/>
          <w14:ligatures w14:val="standardContextual"/>
        </w:rPr>
        <w:t>euro</w:t>
      </w:r>
      <w:r w:rsidRPr="005552F3">
        <w:rPr>
          <w:rFonts w:ascii="Times New Roman" w:eastAsia="Calibri" w:hAnsi="Times New Roman" w:cs="Times New Roman"/>
          <w:kern w:val="2"/>
          <w:sz w:val="24"/>
          <w:szCs w:val="24"/>
          <w14:ligatures w14:val="standardContextual"/>
        </w:rPr>
        <w:t xml:space="preserve">, </w:t>
      </w:r>
      <w:r w:rsidR="001B3A63">
        <w:rPr>
          <w:rFonts w:ascii="Times New Roman" w:eastAsia="Calibri" w:hAnsi="Times New Roman" w:cs="Times New Roman"/>
          <w:kern w:val="2"/>
          <w:sz w:val="24"/>
          <w:szCs w:val="24"/>
          <w14:ligatures w14:val="standardContextual"/>
        </w:rPr>
        <w:t>144,3</w:t>
      </w:r>
      <w:r w:rsidRPr="005552F3">
        <w:rPr>
          <w:rFonts w:ascii="Times New Roman" w:eastAsia="Calibri" w:hAnsi="Times New Roman" w:cs="Times New Roman"/>
          <w:kern w:val="2"/>
          <w:sz w:val="24"/>
          <w:szCs w:val="24"/>
          <w14:ligatures w14:val="standardContextual"/>
        </w:rPr>
        <w:t xml:space="preserve"> milj. </w:t>
      </w:r>
      <w:r w:rsidRPr="469479B5">
        <w:rPr>
          <w:rFonts w:ascii="Times New Roman" w:eastAsia="Calibri" w:hAnsi="Times New Roman" w:cs="Times New Roman"/>
          <w:i/>
          <w:iCs/>
          <w:kern w:val="2"/>
          <w:sz w:val="24"/>
          <w:szCs w:val="24"/>
          <w14:ligatures w14:val="standardContextual"/>
        </w:rPr>
        <w:t>euro</w:t>
      </w:r>
      <w:r w:rsidR="001B3A63">
        <w:rPr>
          <w:rFonts w:ascii="Times New Roman" w:eastAsia="Calibri" w:hAnsi="Times New Roman" w:cs="Times New Roman"/>
          <w:i/>
          <w:iCs/>
          <w:kern w:val="2"/>
          <w:sz w:val="24"/>
          <w:szCs w:val="24"/>
          <w14:ligatures w14:val="standardContextual"/>
        </w:rPr>
        <w:t xml:space="preserve">, </w:t>
      </w:r>
      <w:r w:rsidR="001B3A63">
        <w:rPr>
          <w:rFonts w:ascii="Times New Roman" w:eastAsia="Calibri" w:hAnsi="Times New Roman" w:cs="Times New Roman"/>
          <w:kern w:val="2"/>
          <w:sz w:val="24"/>
          <w:szCs w:val="24"/>
          <w14:ligatures w14:val="standardContextual"/>
        </w:rPr>
        <w:t>93,2</w:t>
      </w:r>
      <w:r w:rsidRPr="005552F3">
        <w:rPr>
          <w:rFonts w:ascii="Times New Roman" w:eastAsia="Calibri" w:hAnsi="Times New Roman" w:cs="Times New Roman"/>
          <w:kern w:val="2"/>
          <w:sz w:val="24"/>
          <w:szCs w:val="24"/>
          <w14:ligatures w14:val="standardContextual"/>
        </w:rPr>
        <w:t xml:space="preserve"> milj. </w:t>
      </w:r>
      <w:r w:rsidRPr="469479B5">
        <w:rPr>
          <w:rFonts w:ascii="Times New Roman" w:eastAsia="Calibri" w:hAnsi="Times New Roman" w:cs="Times New Roman"/>
          <w:i/>
          <w:iCs/>
          <w:kern w:val="2"/>
          <w:sz w:val="24"/>
          <w:szCs w:val="24"/>
          <w14:ligatures w14:val="standardContextual"/>
        </w:rPr>
        <w:t>euro</w:t>
      </w:r>
      <w:r w:rsidR="001B3A63">
        <w:rPr>
          <w:rFonts w:ascii="Times New Roman" w:eastAsia="Calibri" w:hAnsi="Times New Roman" w:cs="Times New Roman"/>
          <w:i/>
          <w:iCs/>
          <w:kern w:val="2"/>
          <w:sz w:val="24"/>
          <w:szCs w:val="24"/>
          <w14:ligatures w14:val="standardContextual"/>
        </w:rPr>
        <w:t xml:space="preserve"> </w:t>
      </w:r>
      <w:r w:rsidR="001B3A63">
        <w:rPr>
          <w:rFonts w:ascii="Times New Roman" w:eastAsia="Calibri" w:hAnsi="Times New Roman" w:cs="Times New Roman"/>
          <w:kern w:val="2"/>
          <w:sz w:val="24"/>
          <w:szCs w:val="24"/>
          <w14:ligatures w14:val="standardContextual"/>
        </w:rPr>
        <w:t xml:space="preserve">un </w:t>
      </w:r>
      <w:r w:rsidR="005D6E35">
        <w:rPr>
          <w:rFonts w:ascii="Times New Roman" w:eastAsia="Calibri" w:hAnsi="Times New Roman" w:cs="Times New Roman"/>
          <w:kern w:val="2"/>
          <w:sz w:val="24"/>
          <w:szCs w:val="24"/>
          <w14:ligatures w14:val="standardContextual"/>
        </w:rPr>
        <w:t xml:space="preserve">276,1 </w:t>
      </w:r>
      <w:r w:rsidR="001B3A63">
        <w:rPr>
          <w:rFonts w:ascii="Times New Roman" w:eastAsia="Calibri" w:hAnsi="Times New Roman" w:cs="Times New Roman"/>
          <w:kern w:val="2"/>
          <w:sz w:val="24"/>
          <w:szCs w:val="24"/>
          <w14:ligatures w14:val="standardContextual"/>
        </w:rPr>
        <w:t xml:space="preserve">milj. </w:t>
      </w:r>
      <w:r w:rsidR="001B3A63" w:rsidRPr="001B3A63">
        <w:rPr>
          <w:rFonts w:ascii="Times New Roman" w:eastAsia="Calibri" w:hAnsi="Times New Roman" w:cs="Times New Roman"/>
          <w:i/>
          <w:iCs/>
          <w:kern w:val="2"/>
          <w:sz w:val="24"/>
          <w:szCs w:val="24"/>
          <w14:ligatures w14:val="standardContextual"/>
        </w:rPr>
        <w:t>euro</w:t>
      </w:r>
      <w:r w:rsidRPr="005552F3">
        <w:rPr>
          <w:rFonts w:ascii="Times New Roman" w:eastAsia="Calibri" w:hAnsi="Times New Roman" w:cs="Times New Roman"/>
          <w:kern w:val="2"/>
          <w:sz w:val="24"/>
          <w:szCs w:val="24"/>
          <w14:ligatures w14:val="standardContextual"/>
        </w:rPr>
        <w:t xml:space="preserve">. Jāatzīmē, ka augstāki neizlietoto asignējumu līmeņi ir novērojami pēdējos gados, kad valdība sniedza atbalstu </w:t>
      </w:r>
      <w:r>
        <w:rPr>
          <w:rFonts w:ascii="Times New Roman" w:eastAsia="Calibri" w:hAnsi="Times New Roman" w:cs="Times New Roman"/>
          <w:kern w:val="2"/>
          <w:sz w:val="24"/>
          <w:szCs w:val="24"/>
          <w14:ligatures w14:val="standardContextual"/>
        </w:rPr>
        <w:t>mājsaimniecībām un uzņēmumiem</w:t>
      </w:r>
      <w:r w:rsidRPr="005552F3">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gan </w:t>
      </w:r>
      <w:r w:rsidRPr="005552F3">
        <w:rPr>
          <w:rFonts w:ascii="Times New Roman" w:eastAsia="Calibri" w:hAnsi="Times New Roman" w:cs="Times New Roman"/>
          <w:kern w:val="2"/>
          <w:sz w:val="24"/>
          <w:szCs w:val="24"/>
          <w14:ligatures w14:val="standardContextual"/>
        </w:rPr>
        <w:t>Covid</w:t>
      </w:r>
      <w:r w:rsidR="00597FA9" w:rsidRPr="469479B5">
        <w:rPr>
          <w:rFonts w:ascii="Times New Roman" w:hAnsi="Times New Roman" w:cs="Times New Roman"/>
          <w:color w:val="000000" w:themeColor="text1"/>
          <w:sz w:val="24"/>
          <w:szCs w:val="24"/>
        </w:rPr>
        <w:t>–</w:t>
      </w:r>
      <w:r w:rsidRPr="005552F3">
        <w:rPr>
          <w:rFonts w:ascii="Times New Roman" w:eastAsia="Calibri" w:hAnsi="Times New Roman" w:cs="Times New Roman"/>
          <w:kern w:val="2"/>
          <w:sz w:val="24"/>
          <w:szCs w:val="24"/>
          <w14:ligatures w14:val="standardContextual"/>
        </w:rPr>
        <w:t xml:space="preserve">19 pandēmijas un tās seku pārvarēšanai, </w:t>
      </w:r>
      <w:r>
        <w:rPr>
          <w:rFonts w:ascii="Times New Roman" w:eastAsia="Calibri" w:hAnsi="Times New Roman" w:cs="Times New Roman"/>
          <w:kern w:val="2"/>
          <w:sz w:val="24"/>
          <w:szCs w:val="24"/>
          <w14:ligatures w14:val="standardContextual"/>
        </w:rPr>
        <w:t xml:space="preserve">gan </w:t>
      </w:r>
      <w:r w:rsidRPr="005552F3">
        <w:rPr>
          <w:rFonts w:ascii="Times New Roman" w:eastAsia="Calibri" w:hAnsi="Times New Roman" w:cs="Times New Roman"/>
          <w:kern w:val="2"/>
          <w:sz w:val="24"/>
          <w:szCs w:val="24"/>
          <w14:ligatures w14:val="standardContextual"/>
        </w:rPr>
        <w:t>lai ierobežotu ārkārtējo energoresursu cenu pieaugumu, gan bēgļiem no Ukrainas</w:t>
      </w:r>
      <w:r>
        <w:rPr>
          <w:rFonts w:ascii="Times New Roman" w:eastAsia="Calibri" w:hAnsi="Times New Roman" w:cs="Times New Roman"/>
          <w:kern w:val="2"/>
          <w:sz w:val="24"/>
          <w:szCs w:val="24"/>
          <w14:ligatures w14:val="standardContextual"/>
        </w:rPr>
        <w:t>, kā arī tika stiprinātas valsts aizsardzības spējas.</w:t>
      </w:r>
      <w:r w:rsidRPr="005552F3">
        <w:rPr>
          <w:rFonts w:ascii="Times New Roman" w:eastAsia="Calibri" w:hAnsi="Times New Roman" w:cs="Times New Roman"/>
          <w:kern w:val="2"/>
          <w:sz w:val="24"/>
          <w:szCs w:val="24"/>
          <w14:ligatures w14:val="standardContextual"/>
        </w:rPr>
        <w:t xml:space="preserve"> Ņemot vērā, ka budžeta programmas “Apropriācijas rezerve” palielinājums ir zemāks kā ikgadējais ietaupījums neizlietoto asignējumu veidā, </w:t>
      </w:r>
      <w:r w:rsidRPr="005552F3">
        <w:rPr>
          <w:rFonts w:ascii="Times New Roman" w:eastAsia="Calibri" w:hAnsi="Times New Roman" w:cs="Times New Roman"/>
          <w:b/>
          <w:bCs/>
          <w:kern w:val="2"/>
          <w:sz w:val="24"/>
          <w:szCs w:val="24"/>
          <w14:ligatures w14:val="standardContextual"/>
        </w:rPr>
        <w:t>fiskālā nodrošinājuma rezerve netiek veidota</w:t>
      </w:r>
      <w:r>
        <w:rPr>
          <w:rFonts w:ascii="Times New Roman" w:eastAsia="Calibri" w:hAnsi="Times New Roman" w:cs="Times New Roman"/>
          <w:kern w:val="2"/>
          <w:sz w:val="24"/>
          <w:szCs w:val="24"/>
          <w14:ligatures w14:val="standardContextual"/>
        </w:rPr>
        <w:t>.</w:t>
      </w:r>
    </w:p>
    <w:p w14:paraId="00D14D31" w14:textId="27CAB3B1" w:rsidR="006D6A17" w:rsidRPr="00A2225B" w:rsidRDefault="006D6A17" w:rsidP="00A2225B">
      <w:pPr>
        <w:jc w:val="right"/>
        <w:rPr>
          <w:rFonts w:ascii="Times New Roman" w:eastAsia="Calibri" w:hAnsi="Times New Roman" w:cs="Times New Roman"/>
          <w:b/>
          <w:bCs/>
          <w:kern w:val="2"/>
          <w:sz w:val="24"/>
          <w:szCs w:val="24"/>
          <w14:ligatures w14:val="standardContextual"/>
        </w:rPr>
      </w:pPr>
      <w:r w:rsidRPr="00A2225B">
        <w:rPr>
          <w:rFonts w:ascii="Times New Roman" w:eastAsia="Calibri" w:hAnsi="Times New Roman" w:cs="Times New Roman"/>
          <w:b/>
          <w:bCs/>
          <w:kern w:val="2"/>
          <w:sz w:val="24"/>
          <w:szCs w:val="24"/>
          <w14:ligatures w14:val="standardContextual"/>
        </w:rPr>
        <w:t>Tabula Nr.</w:t>
      </w:r>
      <w:r w:rsidR="004A682A" w:rsidRPr="00A2225B">
        <w:rPr>
          <w:rFonts w:ascii="Times New Roman" w:eastAsia="Calibri" w:hAnsi="Times New Roman" w:cs="Times New Roman"/>
          <w:b/>
          <w:bCs/>
          <w:kern w:val="2"/>
          <w:sz w:val="24"/>
          <w:szCs w:val="24"/>
          <w14:ligatures w14:val="standardContextual"/>
        </w:rPr>
        <w:t>2.7.</w:t>
      </w:r>
      <w:r w:rsidRPr="00A2225B">
        <w:rPr>
          <w:rFonts w:ascii="Times New Roman" w:eastAsia="Calibri" w:hAnsi="Times New Roman" w:cs="Times New Roman"/>
          <w:b/>
          <w:bCs/>
          <w:kern w:val="2"/>
          <w:sz w:val="24"/>
          <w:szCs w:val="24"/>
          <w14:ligatures w14:val="standardContextual"/>
        </w:rPr>
        <w:t xml:space="preserve">2 </w:t>
      </w:r>
      <w:r w:rsidR="00A2225B" w:rsidRPr="00A2225B">
        <w:rPr>
          <w:rFonts w:ascii="Times New Roman" w:eastAsia="Calibri" w:hAnsi="Times New Roman" w:cs="Times New Roman"/>
          <w:b/>
          <w:bCs/>
          <w:kern w:val="2"/>
          <w:sz w:val="24"/>
          <w:szCs w:val="24"/>
          <w14:ligatures w14:val="standardContextual"/>
        </w:rPr>
        <w:t>P</w:t>
      </w:r>
      <w:r w:rsidRPr="00A2225B">
        <w:rPr>
          <w:rFonts w:ascii="Times New Roman" w:eastAsia="Calibri" w:hAnsi="Times New Roman" w:cs="Times New Roman"/>
          <w:b/>
          <w:bCs/>
          <w:kern w:val="2"/>
          <w:sz w:val="24"/>
          <w:szCs w:val="24"/>
          <w14:ligatures w14:val="standardContextual"/>
        </w:rPr>
        <w:t>rogramma “Apropriācijas rezerve” un neizlietotie asignējumi</w:t>
      </w:r>
      <w:r w:rsidR="001B3A63">
        <w:rPr>
          <w:rFonts w:ascii="Times New Roman" w:eastAsia="Calibri" w:hAnsi="Times New Roman" w:cs="Times New Roman"/>
          <w:b/>
          <w:bCs/>
          <w:kern w:val="2"/>
          <w:sz w:val="24"/>
          <w:szCs w:val="24"/>
          <w14:ligatures w14:val="standardContextual"/>
        </w:rPr>
        <w:t xml:space="preserve"> pamatfunkcijām</w:t>
      </w:r>
      <w:r w:rsidRPr="00A2225B">
        <w:rPr>
          <w:rFonts w:ascii="Times New Roman" w:eastAsia="Calibri" w:hAnsi="Times New Roman" w:cs="Times New Roman"/>
          <w:b/>
          <w:bCs/>
          <w:kern w:val="2"/>
          <w:sz w:val="24"/>
          <w:szCs w:val="24"/>
          <w14:ligatures w14:val="standardContextual"/>
        </w:rPr>
        <w:t xml:space="preserve">, milj. </w:t>
      </w:r>
      <w:r w:rsidRPr="00A2225B">
        <w:rPr>
          <w:rFonts w:ascii="Times New Roman" w:eastAsia="Calibri" w:hAnsi="Times New Roman" w:cs="Times New Roman"/>
          <w:b/>
          <w:bCs/>
          <w:i/>
          <w:iCs/>
          <w:kern w:val="2"/>
          <w:sz w:val="24"/>
          <w:szCs w:val="24"/>
          <w14:ligatures w14:val="standardContextual"/>
        </w:rPr>
        <w:t>euro</w:t>
      </w:r>
    </w:p>
    <w:tbl>
      <w:tblPr>
        <w:tblStyle w:val="GridTable6Colorful-Accent13"/>
        <w:tblW w:w="0" w:type="auto"/>
        <w:jc w:val="center"/>
        <w:tblLayout w:type="fixed"/>
        <w:tblLook w:val="04A0" w:firstRow="1" w:lastRow="0" w:firstColumn="1" w:lastColumn="0" w:noHBand="0" w:noVBand="1"/>
      </w:tblPr>
      <w:tblGrid>
        <w:gridCol w:w="2390"/>
        <w:gridCol w:w="776"/>
        <w:gridCol w:w="776"/>
        <w:gridCol w:w="776"/>
        <w:gridCol w:w="776"/>
        <w:gridCol w:w="776"/>
        <w:gridCol w:w="776"/>
        <w:gridCol w:w="776"/>
        <w:gridCol w:w="776"/>
      </w:tblGrid>
      <w:tr w:rsidR="00B2733D" w:rsidRPr="00175C1E" w14:paraId="75EE400D" w14:textId="1F1B4996" w:rsidTr="00B2733D">
        <w:trPr>
          <w:cnfStyle w:val="100000000000" w:firstRow="1" w:lastRow="0" w:firstColumn="0" w:lastColumn="0" w:oddVBand="0" w:evenVBand="0" w:oddHBand="0"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390" w:type="dxa"/>
          </w:tcPr>
          <w:p w14:paraId="64999DD9" w14:textId="77777777" w:rsidR="00555142" w:rsidRPr="001B3A63" w:rsidRDefault="00555142" w:rsidP="469479B5">
            <w:pPr>
              <w:tabs>
                <w:tab w:val="left" w:pos="1020"/>
              </w:tabs>
              <w:ind w:left="1020"/>
              <w:rPr>
                <w:rFonts w:eastAsia="Times New Roman"/>
                <w:color w:val="auto"/>
                <w:sz w:val="20"/>
                <w:szCs w:val="20"/>
              </w:rPr>
            </w:pPr>
          </w:p>
        </w:tc>
        <w:tc>
          <w:tcPr>
            <w:tcW w:w="776" w:type="dxa"/>
            <w:vAlign w:val="center"/>
          </w:tcPr>
          <w:p w14:paraId="7E43E8D0" w14:textId="77777777"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2017</w:t>
            </w:r>
          </w:p>
        </w:tc>
        <w:tc>
          <w:tcPr>
            <w:tcW w:w="776" w:type="dxa"/>
            <w:vAlign w:val="center"/>
          </w:tcPr>
          <w:p w14:paraId="0E477950" w14:textId="77777777"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2018</w:t>
            </w:r>
          </w:p>
        </w:tc>
        <w:tc>
          <w:tcPr>
            <w:tcW w:w="776" w:type="dxa"/>
            <w:vAlign w:val="center"/>
          </w:tcPr>
          <w:p w14:paraId="6705AE61" w14:textId="77777777"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2019</w:t>
            </w:r>
          </w:p>
        </w:tc>
        <w:tc>
          <w:tcPr>
            <w:tcW w:w="776" w:type="dxa"/>
            <w:vAlign w:val="center"/>
          </w:tcPr>
          <w:p w14:paraId="5FFFA18B" w14:textId="77777777"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2020</w:t>
            </w:r>
          </w:p>
        </w:tc>
        <w:tc>
          <w:tcPr>
            <w:tcW w:w="776" w:type="dxa"/>
            <w:vAlign w:val="center"/>
          </w:tcPr>
          <w:p w14:paraId="6CE53752" w14:textId="77777777"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2021</w:t>
            </w:r>
          </w:p>
        </w:tc>
        <w:tc>
          <w:tcPr>
            <w:tcW w:w="776" w:type="dxa"/>
            <w:vAlign w:val="center"/>
          </w:tcPr>
          <w:p w14:paraId="30883F39" w14:textId="77777777"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2022</w:t>
            </w:r>
          </w:p>
        </w:tc>
        <w:tc>
          <w:tcPr>
            <w:tcW w:w="776" w:type="dxa"/>
            <w:vAlign w:val="center"/>
          </w:tcPr>
          <w:p w14:paraId="3272423C" w14:textId="351C20C1" w:rsidR="00555142" w:rsidRPr="001B3A6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2023</w:t>
            </w:r>
          </w:p>
        </w:tc>
        <w:tc>
          <w:tcPr>
            <w:tcW w:w="776" w:type="dxa"/>
            <w:vAlign w:val="center"/>
          </w:tcPr>
          <w:p w14:paraId="74E2B151" w14:textId="2E1E5020" w:rsidR="00555142" w:rsidRPr="003C25F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2024</w:t>
            </w:r>
          </w:p>
        </w:tc>
      </w:tr>
      <w:tr w:rsidR="00B2733D" w:rsidRPr="00175C1E" w14:paraId="567B1524" w14:textId="37B9689D" w:rsidTr="003C25FA">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390" w:type="dxa"/>
          </w:tcPr>
          <w:p w14:paraId="501C2477" w14:textId="77777777" w:rsidR="00555142" w:rsidRPr="001B3A63" w:rsidRDefault="00555142" w:rsidP="003A5E5A">
            <w:pPr>
              <w:rPr>
                <w:rFonts w:eastAsia="Times New Roman"/>
                <w:color w:val="auto"/>
                <w:sz w:val="20"/>
                <w:szCs w:val="20"/>
              </w:rPr>
            </w:pPr>
            <w:r w:rsidRPr="001B3A63">
              <w:rPr>
                <w:rFonts w:eastAsia="Times New Roman"/>
                <w:color w:val="auto"/>
                <w:sz w:val="20"/>
                <w:szCs w:val="20"/>
              </w:rPr>
              <w:t>Apropriācijas rezerve budžeta likumā</w:t>
            </w:r>
          </w:p>
        </w:tc>
        <w:tc>
          <w:tcPr>
            <w:tcW w:w="776" w:type="dxa"/>
            <w:vAlign w:val="center"/>
          </w:tcPr>
          <w:p w14:paraId="734D7F5F"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15,6</w:t>
            </w:r>
          </w:p>
        </w:tc>
        <w:tc>
          <w:tcPr>
            <w:tcW w:w="776" w:type="dxa"/>
            <w:vAlign w:val="center"/>
          </w:tcPr>
          <w:p w14:paraId="7F1C6435"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14,3</w:t>
            </w:r>
          </w:p>
        </w:tc>
        <w:tc>
          <w:tcPr>
            <w:tcW w:w="776" w:type="dxa"/>
            <w:vAlign w:val="center"/>
          </w:tcPr>
          <w:p w14:paraId="7F3D3977"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10,0</w:t>
            </w:r>
          </w:p>
        </w:tc>
        <w:tc>
          <w:tcPr>
            <w:tcW w:w="776" w:type="dxa"/>
            <w:vAlign w:val="center"/>
          </w:tcPr>
          <w:p w14:paraId="6AD27FF1"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14,3</w:t>
            </w:r>
          </w:p>
        </w:tc>
        <w:tc>
          <w:tcPr>
            <w:tcW w:w="776" w:type="dxa"/>
            <w:vAlign w:val="center"/>
          </w:tcPr>
          <w:p w14:paraId="2883282E"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14,0</w:t>
            </w:r>
          </w:p>
        </w:tc>
        <w:tc>
          <w:tcPr>
            <w:tcW w:w="776" w:type="dxa"/>
            <w:vAlign w:val="center"/>
          </w:tcPr>
          <w:p w14:paraId="4AA92847" w14:textId="77777777"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21,0</w:t>
            </w:r>
          </w:p>
        </w:tc>
        <w:tc>
          <w:tcPr>
            <w:tcW w:w="776" w:type="dxa"/>
            <w:vAlign w:val="center"/>
          </w:tcPr>
          <w:p w14:paraId="64EF8611" w14:textId="728D82F3" w:rsidR="00555142" w:rsidRPr="001B3A63"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12,8</w:t>
            </w:r>
          </w:p>
        </w:tc>
        <w:tc>
          <w:tcPr>
            <w:tcW w:w="776" w:type="dxa"/>
            <w:vAlign w:val="center"/>
          </w:tcPr>
          <w:p w14:paraId="5EEF0FFF" w14:textId="7E4C06A5" w:rsidR="00555142" w:rsidRPr="003C25FA" w:rsidRDefault="00E2637A"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11,6</w:t>
            </w:r>
          </w:p>
        </w:tc>
      </w:tr>
      <w:tr w:rsidR="00B2733D" w:rsidRPr="00175C1E" w14:paraId="7E200A70" w14:textId="144595FC" w:rsidTr="00B2733D">
        <w:trPr>
          <w:trHeight w:val="384"/>
          <w:jc w:val="center"/>
        </w:trPr>
        <w:tc>
          <w:tcPr>
            <w:cnfStyle w:val="001000000000" w:firstRow="0" w:lastRow="0" w:firstColumn="1" w:lastColumn="0" w:oddVBand="0" w:evenVBand="0" w:oddHBand="0" w:evenHBand="0" w:firstRowFirstColumn="0" w:firstRowLastColumn="0" w:lastRowFirstColumn="0" w:lastRowLastColumn="0"/>
            <w:tcW w:w="2390" w:type="dxa"/>
          </w:tcPr>
          <w:p w14:paraId="4AE6EEC1" w14:textId="77777777" w:rsidR="00555142" w:rsidRPr="001B3A63" w:rsidRDefault="00555142" w:rsidP="003A5E5A">
            <w:pPr>
              <w:rPr>
                <w:rFonts w:eastAsia="Times New Roman"/>
                <w:color w:val="auto"/>
                <w:sz w:val="20"/>
                <w:szCs w:val="20"/>
              </w:rPr>
            </w:pPr>
            <w:r w:rsidRPr="001B3A63">
              <w:rPr>
                <w:rFonts w:eastAsia="Times New Roman"/>
                <w:color w:val="auto"/>
                <w:sz w:val="20"/>
                <w:szCs w:val="20"/>
              </w:rPr>
              <w:t>Apropriācijas rezerves palielināšana</w:t>
            </w:r>
          </w:p>
        </w:tc>
        <w:tc>
          <w:tcPr>
            <w:tcW w:w="776" w:type="dxa"/>
            <w:vAlign w:val="center"/>
          </w:tcPr>
          <w:p w14:paraId="462F3D9D"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w:t>
            </w:r>
          </w:p>
        </w:tc>
        <w:tc>
          <w:tcPr>
            <w:tcW w:w="776" w:type="dxa"/>
            <w:vAlign w:val="center"/>
          </w:tcPr>
          <w:p w14:paraId="1D5B950A"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w:t>
            </w:r>
          </w:p>
        </w:tc>
        <w:tc>
          <w:tcPr>
            <w:tcW w:w="776" w:type="dxa"/>
            <w:vAlign w:val="center"/>
          </w:tcPr>
          <w:p w14:paraId="5D7174C7"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w:t>
            </w:r>
          </w:p>
        </w:tc>
        <w:tc>
          <w:tcPr>
            <w:tcW w:w="776" w:type="dxa"/>
            <w:vAlign w:val="center"/>
          </w:tcPr>
          <w:p w14:paraId="6499CF75"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w:t>
            </w:r>
          </w:p>
        </w:tc>
        <w:tc>
          <w:tcPr>
            <w:tcW w:w="776" w:type="dxa"/>
            <w:vAlign w:val="center"/>
          </w:tcPr>
          <w:p w14:paraId="7BB89B2F"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19,3</w:t>
            </w:r>
          </w:p>
        </w:tc>
        <w:tc>
          <w:tcPr>
            <w:tcW w:w="776" w:type="dxa"/>
            <w:vAlign w:val="center"/>
          </w:tcPr>
          <w:p w14:paraId="7426588D" w14:textId="77777777"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47,3</w:t>
            </w:r>
          </w:p>
        </w:tc>
        <w:tc>
          <w:tcPr>
            <w:tcW w:w="776" w:type="dxa"/>
            <w:vAlign w:val="center"/>
          </w:tcPr>
          <w:p w14:paraId="49AAC4E8" w14:textId="39E592CC" w:rsidR="00555142" w:rsidRPr="001B3A63"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89,7</w:t>
            </w:r>
          </w:p>
        </w:tc>
        <w:tc>
          <w:tcPr>
            <w:tcW w:w="776" w:type="dxa"/>
            <w:vAlign w:val="center"/>
          </w:tcPr>
          <w:p w14:paraId="4C97B10C" w14:textId="6C5843D3" w:rsidR="00555142" w:rsidRPr="003C25FA" w:rsidRDefault="00E2637A"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B3A63">
              <w:rPr>
                <w:rFonts w:eastAsia="Times New Roman"/>
                <w:color w:val="000000" w:themeColor="text1"/>
                <w:sz w:val="20"/>
                <w:szCs w:val="20"/>
              </w:rPr>
              <w:t>57,7</w:t>
            </w:r>
          </w:p>
        </w:tc>
      </w:tr>
      <w:tr w:rsidR="00B2733D" w:rsidRPr="00175C1E" w14:paraId="0E0CD48E" w14:textId="727004A7" w:rsidTr="000D01D6">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390" w:type="dxa"/>
            <w:vAlign w:val="center"/>
          </w:tcPr>
          <w:p w14:paraId="2E3D5636" w14:textId="77777777" w:rsidR="00555142" w:rsidRPr="001B3A63" w:rsidRDefault="00555142" w:rsidP="003A5E5A">
            <w:pPr>
              <w:rPr>
                <w:rFonts w:eastAsia="Times New Roman"/>
                <w:color w:val="auto"/>
                <w:sz w:val="20"/>
                <w:szCs w:val="20"/>
              </w:rPr>
            </w:pPr>
            <w:r w:rsidRPr="001B3A63">
              <w:rPr>
                <w:rFonts w:eastAsia="Times New Roman"/>
                <w:color w:val="auto"/>
                <w:sz w:val="20"/>
                <w:szCs w:val="20"/>
              </w:rPr>
              <w:t>Neizlietotie asignējumi</w:t>
            </w:r>
          </w:p>
        </w:tc>
        <w:tc>
          <w:tcPr>
            <w:tcW w:w="776" w:type="dxa"/>
            <w:vAlign w:val="center"/>
          </w:tcPr>
          <w:p w14:paraId="22DE8434" w14:textId="1786BFEA" w:rsidR="00555142" w:rsidRPr="001B3A63" w:rsidRDefault="001B3A6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67,4</w:t>
            </w:r>
          </w:p>
        </w:tc>
        <w:tc>
          <w:tcPr>
            <w:tcW w:w="776" w:type="dxa"/>
            <w:vAlign w:val="center"/>
          </w:tcPr>
          <w:p w14:paraId="4D828792" w14:textId="418C0154" w:rsidR="00555142" w:rsidRPr="001B3A63" w:rsidRDefault="001B3A6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56,5</w:t>
            </w:r>
          </w:p>
        </w:tc>
        <w:tc>
          <w:tcPr>
            <w:tcW w:w="776" w:type="dxa"/>
            <w:vAlign w:val="center"/>
          </w:tcPr>
          <w:p w14:paraId="2397CD39" w14:textId="3C20AF7C" w:rsidR="00555142" w:rsidRPr="001B3A63" w:rsidRDefault="001B3A6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28,0</w:t>
            </w:r>
          </w:p>
        </w:tc>
        <w:tc>
          <w:tcPr>
            <w:tcW w:w="776" w:type="dxa"/>
            <w:vAlign w:val="center"/>
          </w:tcPr>
          <w:p w14:paraId="11A8CDBD" w14:textId="63137A2D" w:rsidR="00555142" w:rsidRPr="001B3A63" w:rsidRDefault="001B3A6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107,9</w:t>
            </w:r>
          </w:p>
        </w:tc>
        <w:tc>
          <w:tcPr>
            <w:tcW w:w="776" w:type="dxa"/>
            <w:vAlign w:val="center"/>
          </w:tcPr>
          <w:p w14:paraId="13E990D2" w14:textId="31B4E8AC" w:rsidR="00555142" w:rsidRPr="001B3A63" w:rsidRDefault="001B3A6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593,5</w:t>
            </w:r>
          </w:p>
        </w:tc>
        <w:tc>
          <w:tcPr>
            <w:tcW w:w="776" w:type="dxa"/>
            <w:vAlign w:val="center"/>
          </w:tcPr>
          <w:p w14:paraId="026594DF" w14:textId="056A4489" w:rsidR="00555142" w:rsidRPr="001B3A63" w:rsidRDefault="001B3A6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144,3</w:t>
            </w:r>
          </w:p>
        </w:tc>
        <w:tc>
          <w:tcPr>
            <w:tcW w:w="776" w:type="dxa"/>
            <w:vAlign w:val="center"/>
          </w:tcPr>
          <w:p w14:paraId="357C7FB3" w14:textId="140553DE" w:rsidR="00555142" w:rsidRPr="001B3A63" w:rsidRDefault="001B3A6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1B3A63">
              <w:rPr>
                <w:rFonts w:eastAsia="Times New Roman"/>
                <w:color w:val="auto"/>
                <w:sz w:val="20"/>
                <w:szCs w:val="20"/>
              </w:rPr>
              <w:t>93,2</w:t>
            </w:r>
          </w:p>
        </w:tc>
        <w:tc>
          <w:tcPr>
            <w:tcW w:w="776" w:type="dxa"/>
            <w:vAlign w:val="center"/>
          </w:tcPr>
          <w:p w14:paraId="4E6F7F11" w14:textId="416D595C" w:rsidR="00555142" w:rsidRPr="003C25FA" w:rsidRDefault="00450CD4"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276,1</w:t>
            </w:r>
          </w:p>
        </w:tc>
      </w:tr>
    </w:tbl>
    <w:p w14:paraId="6289BA12" w14:textId="77777777" w:rsidR="006D6A17" w:rsidRPr="008921AF" w:rsidRDefault="006D6A17" w:rsidP="00CF0060">
      <w:pPr>
        <w:spacing w:after="0"/>
        <w:jc w:val="both"/>
        <w:rPr>
          <w:rFonts w:ascii="Times New Roman" w:eastAsia="Calibri" w:hAnsi="Times New Roman" w:cs="Times New Roman"/>
          <w:kern w:val="2"/>
          <w:sz w:val="16"/>
          <w:szCs w:val="16"/>
          <w:highlight w:val="yellow"/>
          <w14:ligatures w14:val="standardContextual"/>
        </w:rPr>
      </w:pPr>
    </w:p>
    <w:p w14:paraId="5810B273" w14:textId="77777777" w:rsidR="00A2225B" w:rsidRPr="00980D91" w:rsidRDefault="00A2225B" w:rsidP="00751B60">
      <w:pPr>
        <w:pStyle w:val="Heading3"/>
        <w:numPr>
          <w:ilvl w:val="2"/>
          <w:numId w:val="4"/>
        </w:numPr>
        <w:tabs>
          <w:tab w:val="left" w:pos="567"/>
        </w:tabs>
        <w:spacing w:before="120" w:after="160" w:line="240" w:lineRule="auto"/>
        <w:ind w:left="709" w:hanging="709"/>
        <w:jc w:val="center"/>
        <w:rPr>
          <w:rFonts w:ascii="Times New Roman" w:hAnsi="Times New Roman" w:cs="Times New Roman"/>
          <w:sz w:val="24"/>
          <w:szCs w:val="24"/>
        </w:rPr>
      </w:pPr>
      <w:bookmarkStart w:id="86" w:name="_Toc173180806"/>
      <w:bookmarkStart w:id="87" w:name="_Toc205554418"/>
      <w:bookmarkStart w:id="88" w:name="_Hlk168393505"/>
      <w:r w:rsidRPr="00980D91">
        <w:rPr>
          <w:rFonts w:ascii="Times New Roman" w:hAnsi="Times New Roman" w:cs="Times New Roman"/>
          <w:sz w:val="24"/>
          <w:szCs w:val="24"/>
        </w:rPr>
        <w:t>Līdzekļi neparedzētiem gadījumiem</w:t>
      </w:r>
      <w:bookmarkEnd w:id="86"/>
      <w:bookmarkEnd w:id="87"/>
    </w:p>
    <w:p w14:paraId="321AA90E" w14:textId="77777777" w:rsidR="00A2225B" w:rsidRPr="00354AB7" w:rsidRDefault="7562C1E9" w:rsidP="469479B5">
      <w:pPr>
        <w:spacing w:after="100" w:afterAutospacing="1" w:line="240" w:lineRule="auto"/>
        <w:ind w:firstLine="720"/>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Fiskālais risks iestājās gadījumā, ja</w:t>
      </w:r>
      <w:r w:rsidRPr="00345E18">
        <w:rPr>
          <w:rFonts w:ascii="Times New Roman" w:eastAsia="Calibri" w:hAnsi="Times New Roman" w:cs="Times New Roman"/>
          <w:kern w:val="2"/>
          <w:sz w:val="24"/>
          <w:szCs w:val="24"/>
          <w14:ligatures w14:val="standardContextual"/>
        </w:rPr>
        <w:t xml:space="preserve"> valsts budžeta </w:t>
      </w:r>
      <w:r>
        <w:rPr>
          <w:rFonts w:ascii="Times New Roman" w:eastAsia="Calibri" w:hAnsi="Times New Roman" w:cs="Times New Roman"/>
          <w:kern w:val="2"/>
          <w:sz w:val="24"/>
          <w:szCs w:val="24"/>
          <w14:ligatures w14:val="standardContextual"/>
        </w:rPr>
        <w:t>programmā</w:t>
      </w:r>
      <w:r w:rsidRPr="00345E18">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Līdzekļi neparedzētiem gadījumiem</w:t>
      </w:r>
      <w:r w:rsidRPr="00345E18">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pieejamais finansējums ir nepietiekams un LBFV noteiktajā kārtībā tiek veikta apropriācijas palielināšana. Programmā “Līdzekļi neparedzētiem gadījumiem” tiek plānots finansējums neparedzētiem gadījumiem un valstiski īpaši nozīmīgiem pasākumiem. Atbilstoši LBVF 12. panta 3.</w:t>
      </w:r>
      <w:r w:rsidRPr="005552F3">
        <w:rPr>
          <w:rFonts w:ascii="Times New Roman" w:eastAsia="Calibri" w:hAnsi="Times New Roman" w:cs="Times New Roman"/>
          <w:kern w:val="2"/>
          <w:sz w:val="24"/>
          <w:szCs w:val="24"/>
          <w:vertAlign w:val="superscript"/>
          <w14:ligatures w14:val="standardContextual"/>
        </w:rPr>
        <w:t>1</w:t>
      </w:r>
      <w:r>
        <w:rPr>
          <w:rFonts w:ascii="Times New Roman" w:eastAsia="Calibri" w:hAnsi="Times New Roman" w:cs="Times New Roman"/>
          <w:kern w:val="2"/>
          <w:sz w:val="24"/>
          <w:szCs w:val="24"/>
          <w14:ligatures w14:val="standardContextual"/>
        </w:rPr>
        <w:t xml:space="preserve"> daļai, finanšu ministram ir tiesības palielināt valsts budžetā noteikto apropriāciju līdzekļiem neparedzētiem gadījumiem ārkārtas situācijas novēršanai un neparedzētiem izdevumiem katastrofu, dabas stihiju un ugunsgrēku seku novēršanai un to radīto zaudējumu kompensēšanai. </w:t>
      </w:r>
    </w:p>
    <w:p w14:paraId="43D44FD5" w14:textId="77777777" w:rsidR="00A2225B" w:rsidRPr="00345E18" w:rsidRDefault="00A2225B" w:rsidP="00A2225B">
      <w:pPr>
        <w:jc w:val="right"/>
        <w:rPr>
          <w:rFonts w:ascii="Times New Roman" w:eastAsia="Calibri" w:hAnsi="Times New Roman" w:cs="Times New Roman"/>
          <w:b/>
          <w:bCs/>
          <w:kern w:val="2"/>
          <w:sz w:val="24"/>
          <w:szCs w:val="24"/>
          <w14:ligatures w14:val="standardContextual"/>
        </w:rPr>
      </w:pPr>
      <w:r w:rsidRPr="00345E18">
        <w:rPr>
          <w:rFonts w:ascii="Times New Roman" w:eastAsia="Calibri" w:hAnsi="Times New Roman" w:cs="Times New Roman"/>
          <w:b/>
          <w:bCs/>
          <w:kern w:val="2"/>
          <w:sz w:val="24"/>
          <w:szCs w:val="24"/>
          <w14:ligatures w14:val="standardContextual"/>
        </w:rPr>
        <w:t>Tabula Nr.2.7.</w:t>
      </w:r>
      <w:r>
        <w:rPr>
          <w:rFonts w:ascii="Times New Roman" w:eastAsia="Calibri" w:hAnsi="Times New Roman" w:cs="Times New Roman"/>
          <w:b/>
          <w:bCs/>
          <w:kern w:val="2"/>
          <w:sz w:val="24"/>
          <w:szCs w:val="24"/>
          <w14:ligatures w14:val="standardContextual"/>
        </w:rPr>
        <w:t>3</w:t>
      </w:r>
      <w:r w:rsidRPr="00345E18">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P</w:t>
      </w:r>
      <w:r w:rsidRPr="00345E18">
        <w:rPr>
          <w:rFonts w:ascii="Times New Roman" w:eastAsia="Calibri" w:hAnsi="Times New Roman" w:cs="Times New Roman"/>
          <w:b/>
          <w:bCs/>
          <w:kern w:val="2"/>
          <w:sz w:val="24"/>
          <w:szCs w:val="24"/>
          <w14:ligatures w14:val="standardContextual"/>
        </w:rPr>
        <w:t>rogramma</w:t>
      </w:r>
      <w:r>
        <w:rPr>
          <w:rFonts w:ascii="Times New Roman" w:eastAsia="Calibri" w:hAnsi="Times New Roman" w:cs="Times New Roman"/>
          <w:b/>
          <w:bCs/>
          <w:kern w:val="2"/>
          <w:sz w:val="24"/>
          <w:szCs w:val="24"/>
          <w14:ligatures w14:val="standardContextual"/>
        </w:rPr>
        <w:t>s</w:t>
      </w:r>
      <w:r w:rsidRPr="00345E18">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Līdzekļi neparedzētiem gadījumiem</w:t>
      </w:r>
      <w:r w:rsidRPr="00345E18">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palielinājums</w:t>
      </w:r>
      <w:r w:rsidRPr="00345E18">
        <w:rPr>
          <w:rFonts w:ascii="Times New Roman" w:eastAsia="Calibri" w:hAnsi="Times New Roman" w:cs="Times New Roman"/>
          <w:b/>
          <w:bCs/>
          <w:kern w:val="2"/>
          <w:sz w:val="24"/>
          <w:szCs w:val="24"/>
          <w14:ligatures w14:val="standardContextual"/>
        </w:rPr>
        <w:t xml:space="preserve">, milj. </w:t>
      </w:r>
      <w:r w:rsidRPr="00345E18">
        <w:rPr>
          <w:rFonts w:ascii="Times New Roman" w:eastAsia="Calibri" w:hAnsi="Times New Roman" w:cs="Times New Roman"/>
          <w:b/>
          <w:bCs/>
          <w:i/>
          <w:iCs/>
          <w:kern w:val="2"/>
          <w:sz w:val="24"/>
          <w:szCs w:val="24"/>
          <w14:ligatures w14:val="standardContextual"/>
        </w:rPr>
        <w:t>euro</w:t>
      </w:r>
    </w:p>
    <w:tbl>
      <w:tblPr>
        <w:tblStyle w:val="GridTable6Colorful-Accent13"/>
        <w:tblW w:w="10078" w:type="dxa"/>
        <w:jc w:val="center"/>
        <w:tblLayout w:type="fixed"/>
        <w:tblLook w:val="04A0" w:firstRow="1" w:lastRow="0" w:firstColumn="1" w:lastColumn="0" w:noHBand="0" w:noVBand="1"/>
      </w:tblPr>
      <w:tblGrid>
        <w:gridCol w:w="2128"/>
        <w:gridCol w:w="660"/>
        <w:gridCol w:w="664"/>
        <w:gridCol w:w="664"/>
        <w:gridCol w:w="663"/>
        <w:gridCol w:w="664"/>
        <w:gridCol w:w="664"/>
        <w:gridCol w:w="797"/>
        <w:gridCol w:w="855"/>
        <w:gridCol w:w="873"/>
        <w:gridCol w:w="723"/>
        <w:gridCol w:w="723"/>
      </w:tblGrid>
      <w:tr w:rsidR="00F205E8" w:rsidRPr="004C504F" w14:paraId="0B3B5853" w14:textId="13C6F2F2" w:rsidTr="00F205E8">
        <w:trPr>
          <w:cnfStyle w:val="100000000000" w:firstRow="1" w:lastRow="0" w:firstColumn="0" w:lastColumn="0" w:oddVBand="0" w:evenVBand="0" w:oddHBand="0"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128" w:type="dxa"/>
            <w:vAlign w:val="center"/>
          </w:tcPr>
          <w:p w14:paraId="43077EBD" w14:textId="77777777" w:rsidR="00555142" w:rsidRPr="00A94F25" w:rsidRDefault="00555142" w:rsidP="469479B5">
            <w:pPr>
              <w:tabs>
                <w:tab w:val="left" w:pos="1020"/>
              </w:tabs>
              <w:ind w:left="1020"/>
              <w:jc w:val="center"/>
              <w:rPr>
                <w:rFonts w:eastAsia="Times New Roman"/>
                <w:color w:val="auto"/>
                <w:sz w:val="20"/>
                <w:szCs w:val="20"/>
              </w:rPr>
            </w:pPr>
          </w:p>
        </w:tc>
        <w:tc>
          <w:tcPr>
            <w:tcW w:w="660" w:type="dxa"/>
            <w:vAlign w:val="center"/>
          </w:tcPr>
          <w:p w14:paraId="1195E2C4"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2014</w:t>
            </w:r>
          </w:p>
        </w:tc>
        <w:tc>
          <w:tcPr>
            <w:tcW w:w="664" w:type="dxa"/>
            <w:vAlign w:val="center"/>
          </w:tcPr>
          <w:p w14:paraId="3E294555"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2015</w:t>
            </w:r>
          </w:p>
        </w:tc>
        <w:tc>
          <w:tcPr>
            <w:tcW w:w="664" w:type="dxa"/>
            <w:vAlign w:val="center"/>
          </w:tcPr>
          <w:p w14:paraId="50559655"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2016</w:t>
            </w:r>
          </w:p>
        </w:tc>
        <w:tc>
          <w:tcPr>
            <w:tcW w:w="663" w:type="dxa"/>
            <w:vAlign w:val="center"/>
          </w:tcPr>
          <w:p w14:paraId="7E752D84"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2017</w:t>
            </w:r>
          </w:p>
        </w:tc>
        <w:tc>
          <w:tcPr>
            <w:tcW w:w="664" w:type="dxa"/>
            <w:vAlign w:val="center"/>
          </w:tcPr>
          <w:p w14:paraId="70601DB5"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2018</w:t>
            </w:r>
          </w:p>
        </w:tc>
        <w:tc>
          <w:tcPr>
            <w:tcW w:w="664" w:type="dxa"/>
            <w:vAlign w:val="center"/>
          </w:tcPr>
          <w:p w14:paraId="3260933A"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2019</w:t>
            </w:r>
          </w:p>
        </w:tc>
        <w:tc>
          <w:tcPr>
            <w:tcW w:w="797" w:type="dxa"/>
            <w:vAlign w:val="center"/>
          </w:tcPr>
          <w:p w14:paraId="3DFCF641"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2020</w:t>
            </w:r>
          </w:p>
        </w:tc>
        <w:tc>
          <w:tcPr>
            <w:tcW w:w="855" w:type="dxa"/>
            <w:vAlign w:val="center"/>
          </w:tcPr>
          <w:p w14:paraId="2C8001D1"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2021</w:t>
            </w:r>
          </w:p>
        </w:tc>
        <w:tc>
          <w:tcPr>
            <w:tcW w:w="873" w:type="dxa"/>
            <w:vAlign w:val="center"/>
          </w:tcPr>
          <w:p w14:paraId="45D27F79"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2022</w:t>
            </w:r>
          </w:p>
        </w:tc>
        <w:tc>
          <w:tcPr>
            <w:tcW w:w="723" w:type="dxa"/>
            <w:vAlign w:val="center"/>
          </w:tcPr>
          <w:p w14:paraId="377128EA" w14:textId="77777777" w:rsidR="00555142" w:rsidRPr="00A94F2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2023</w:t>
            </w:r>
          </w:p>
        </w:tc>
        <w:tc>
          <w:tcPr>
            <w:tcW w:w="723" w:type="dxa"/>
            <w:vAlign w:val="center"/>
          </w:tcPr>
          <w:p w14:paraId="5262DD45" w14:textId="056948D1" w:rsidR="00555142" w:rsidRPr="00A94F25" w:rsidRDefault="00555142" w:rsidP="00A94F2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2024</w:t>
            </w:r>
          </w:p>
        </w:tc>
      </w:tr>
      <w:tr w:rsidR="00F205E8" w:rsidRPr="004C504F" w14:paraId="40A392AD" w14:textId="35CF721D" w:rsidTr="00F205E8">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128" w:type="dxa"/>
            <w:shd w:val="clear" w:color="auto" w:fill="FFFFFF" w:themeFill="background1"/>
          </w:tcPr>
          <w:p w14:paraId="7EB82E48" w14:textId="11E1AB7C" w:rsidR="00555142" w:rsidRPr="00A94F25" w:rsidRDefault="00555142" w:rsidP="003A5E5A">
            <w:pPr>
              <w:rPr>
                <w:rFonts w:eastAsia="Times New Roman"/>
                <w:color w:val="000000" w:themeColor="text1"/>
                <w:sz w:val="20"/>
                <w:szCs w:val="20"/>
              </w:rPr>
            </w:pPr>
            <w:r w:rsidRPr="00A94F25">
              <w:rPr>
                <w:rFonts w:eastAsia="Times New Roman"/>
                <w:color w:val="000000" w:themeColor="text1"/>
                <w:sz w:val="20"/>
                <w:szCs w:val="20"/>
              </w:rPr>
              <w:t>Programmas “Līdzekļi neparedzētiem gadījumiem” kārtējā gada budžeta likumā noteiktais apjoms</w:t>
            </w:r>
          </w:p>
        </w:tc>
        <w:tc>
          <w:tcPr>
            <w:tcW w:w="660" w:type="dxa"/>
            <w:vAlign w:val="center"/>
          </w:tcPr>
          <w:p w14:paraId="7AD480F4"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38,1</w:t>
            </w:r>
          </w:p>
        </w:tc>
        <w:tc>
          <w:tcPr>
            <w:tcW w:w="664" w:type="dxa"/>
            <w:vAlign w:val="center"/>
          </w:tcPr>
          <w:p w14:paraId="45641A22"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32,6</w:t>
            </w:r>
          </w:p>
        </w:tc>
        <w:tc>
          <w:tcPr>
            <w:tcW w:w="664" w:type="dxa"/>
            <w:vAlign w:val="center"/>
          </w:tcPr>
          <w:p w14:paraId="2C4B702E"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32,7</w:t>
            </w:r>
          </w:p>
        </w:tc>
        <w:tc>
          <w:tcPr>
            <w:tcW w:w="663" w:type="dxa"/>
            <w:vAlign w:val="center"/>
          </w:tcPr>
          <w:p w14:paraId="651B68C7"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41,0</w:t>
            </w:r>
          </w:p>
        </w:tc>
        <w:tc>
          <w:tcPr>
            <w:tcW w:w="664" w:type="dxa"/>
            <w:vAlign w:val="center"/>
          </w:tcPr>
          <w:p w14:paraId="678F92DA"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43,5</w:t>
            </w:r>
          </w:p>
        </w:tc>
        <w:tc>
          <w:tcPr>
            <w:tcW w:w="664" w:type="dxa"/>
            <w:vAlign w:val="center"/>
          </w:tcPr>
          <w:p w14:paraId="0A019901"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20,4</w:t>
            </w:r>
          </w:p>
        </w:tc>
        <w:tc>
          <w:tcPr>
            <w:tcW w:w="797" w:type="dxa"/>
            <w:vAlign w:val="center"/>
          </w:tcPr>
          <w:p w14:paraId="7A576CBD"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23,5</w:t>
            </w:r>
          </w:p>
        </w:tc>
        <w:tc>
          <w:tcPr>
            <w:tcW w:w="855" w:type="dxa"/>
            <w:vAlign w:val="center"/>
          </w:tcPr>
          <w:p w14:paraId="06F38367"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26,7</w:t>
            </w:r>
          </w:p>
        </w:tc>
        <w:tc>
          <w:tcPr>
            <w:tcW w:w="873" w:type="dxa"/>
            <w:vAlign w:val="center"/>
          </w:tcPr>
          <w:p w14:paraId="4704B9E5"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82,6</w:t>
            </w:r>
          </w:p>
        </w:tc>
        <w:tc>
          <w:tcPr>
            <w:tcW w:w="723" w:type="dxa"/>
            <w:vAlign w:val="center"/>
          </w:tcPr>
          <w:p w14:paraId="1B5C57DE"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78,4</w:t>
            </w:r>
          </w:p>
        </w:tc>
        <w:tc>
          <w:tcPr>
            <w:tcW w:w="723" w:type="dxa"/>
            <w:vAlign w:val="center"/>
          </w:tcPr>
          <w:p w14:paraId="72599866" w14:textId="0BD50E2B" w:rsidR="00555142" w:rsidRPr="00A94F25" w:rsidRDefault="00A94F25" w:rsidP="00A94F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119,2</w:t>
            </w:r>
          </w:p>
        </w:tc>
      </w:tr>
      <w:tr w:rsidR="00F205E8" w:rsidRPr="004C504F" w14:paraId="347D2442" w14:textId="72388766" w:rsidTr="00F205E8">
        <w:trPr>
          <w:trHeight w:val="422"/>
          <w:jc w:val="center"/>
        </w:trPr>
        <w:tc>
          <w:tcPr>
            <w:cnfStyle w:val="001000000000" w:firstRow="0" w:lastRow="0" w:firstColumn="1" w:lastColumn="0" w:oddVBand="0" w:evenVBand="0" w:oddHBand="0" w:evenHBand="0" w:firstRowFirstColumn="0" w:firstRowLastColumn="0" w:lastRowFirstColumn="0" w:lastRowLastColumn="0"/>
            <w:tcW w:w="2128" w:type="dxa"/>
            <w:shd w:val="clear" w:color="auto" w:fill="FFFFFF" w:themeFill="background1"/>
          </w:tcPr>
          <w:p w14:paraId="5E3EC512" w14:textId="77777777" w:rsidR="00555142" w:rsidRPr="00A94F25" w:rsidRDefault="00555142" w:rsidP="003A5E5A">
            <w:pPr>
              <w:rPr>
                <w:rFonts w:eastAsia="Times New Roman"/>
                <w:color w:val="000000" w:themeColor="text1"/>
                <w:sz w:val="20"/>
                <w:szCs w:val="20"/>
              </w:rPr>
            </w:pPr>
            <w:r w:rsidRPr="00A94F25">
              <w:rPr>
                <w:rFonts w:eastAsia="Times New Roman"/>
                <w:color w:val="000000" w:themeColor="text1"/>
                <w:sz w:val="20"/>
                <w:szCs w:val="20"/>
              </w:rPr>
              <w:t>Programmas “Līdzekļi neparedzētiem gadījumiem” palielinājums</w:t>
            </w:r>
          </w:p>
        </w:tc>
        <w:tc>
          <w:tcPr>
            <w:tcW w:w="660" w:type="dxa"/>
            <w:vAlign w:val="center"/>
          </w:tcPr>
          <w:p w14:paraId="291B35A8"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9,3</w:t>
            </w:r>
          </w:p>
        </w:tc>
        <w:tc>
          <w:tcPr>
            <w:tcW w:w="664" w:type="dxa"/>
            <w:vAlign w:val="center"/>
          </w:tcPr>
          <w:p w14:paraId="13E63A03"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5,4</w:t>
            </w:r>
          </w:p>
        </w:tc>
        <w:tc>
          <w:tcPr>
            <w:tcW w:w="664" w:type="dxa"/>
            <w:vAlign w:val="center"/>
          </w:tcPr>
          <w:p w14:paraId="024C3F9D"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12,8</w:t>
            </w:r>
          </w:p>
        </w:tc>
        <w:tc>
          <w:tcPr>
            <w:tcW w:w="663" w:type="dxa"/>
            <w:vAlign w:val="center"/>
          </w:tcPr>
          <w:p w14:paraId="42311831"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27,0</w:t>
            </w:r>
          </w:p>
        </w:tc>
        <w:tc>
          <w:tcPr>
            <w:tcW w:w="664" w:type="dxa"/>
            <w:vAlign w:val="center"/>
          </w:tcPr>
          <w:p w14:paraId="7079E572"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20,2</w:t>
            </w:r>
          </w:p>
        </w:tc>
        <w:tc>
          <w:tcPr>
            <w:tcW w:w="664" w:type="dxa"/>
            <w:vAlign w:val="center"/>
          </w:tcPr>
          <w:p w14:paraId="0F642880"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6,1</w:t>
            </w:r>
          </w:p>
        </w:tc>
        <w:tc>
          <w:tcPr>
            <w:tcW w:w="797" w:type="dxa"/>
            <w:vAlign w:val="center"/>
          </w:tcPr>
          <w:p w14:paraId="10726123"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728,0</w:t>
            </w:r>
          </w:p>
        </w:tc>
        <w:tc>
          <w:tcPr>
            <w:tcW w:w="855" w:type="dxa"/>
            <w:vAlign w:val="center"/>
          </w:tcPr>
          <w:p w14:paraId="0F053CC2"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2001,7</w:t>
            </w:r>
          </w:p>
        </w:tc>
        <w:tc>
          <w:tcPr>
            <w:tcW w:w="873" w:type="dxa"/>
            <w:vAlign w:val="center"/>
          </w:tcPr>
          <w:p w14:paraId="56F88510"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1957,3</w:t>
            </w:r>
          </w:p>
        </w:tc>
        <w:tc>
          <w:tcPr>
            <w:tcW w:w="723" w:type="dxa"/>
            <w:vAlign w:val="center"/>
          </w:tcPr>
          <w:p w14:paraId="1715A58F"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89,0</w:t>
            </w:r>
          </w:p>
        </w:tc>
        <w:tc>
          <w:tcPr>
            <w:tcW w:w="723" w:type="dxa"/>
            <w:vAlign w:val="center"/>
          </w:tcPr>
          <w:p w14:paraId="7DAF481D" w14:textId="5A43D869" w:rsidR="00555142" w:rsidRPr="00A94F25" w:rsidRDefault="007C7F38" w:rsidP="00A94F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1,8</w:t>
            </w:r>
          </w:p>
        </w:tc>
      </w:tr>
      <w:tr w:rsidR="00F205E8" w:rsidRPr="004C504F" w14:paraId="222E6257" w14:textId="486E8EAD" w:rsidTr="00F205E8">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28" w:type="dxa"/>
            <w:shd w:val="clear" w:color="auto" w:fill="FFFFFF" w:themeFill="background1"/>
          </w:tcPr>
          <w:p w14:paraId="3FE4D27E" w14:textId="77777777" w:rsidR="00555142" w:rsidRPr="00A94F25" w:rsidRDefault="00555142" w:rsidP="003A5E5A">
            <w:pPr>
              <w:rPr>
                <w:rFonts w:eastAsia="Times New Roman"/>
                <w:color w:val="000000" w:themeColor="text1"/>
                <w:sz w:val="20"/>
                <w:szCs w:val="20"/>
              </w:rPr>
            </w:pPr>
            <w:r w:rsidRPr="00A94F25">
              <w:rPr>
                <w:rFonts w:eastAsia="Times New Roman"/>
                <w:color w:val="000000" w:themeColor="text1"/>
                <w:sz w:val="20"/>
                <w:szCs w:val="20"/>
              </w:rPr>
              <w:t>t.sk. apropriācijas palielināšana</w:t>
            </w:r>
          </w:p>
        </w:tc>
        <w:tc>
          <w:tcPr>
            <w:tcW w:w="660" w:type="dxa"/>
            <w:vAlign w:val="center"/>
          </w:tcPr>
          <w:p w14:paraId="486BEF6F"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w:t>
            </w:r>
          </w:p>
        </w:tc>
        <w:tc>
          <w:tcPr>
            <w:tcW w:w="664" w:type="dxa"/>
            <w:vAlign w:val="center"/>
          </w:tcPr>
          <w:p w14:paraId="6FCD4FFC"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w:t>
            </w:r>
          </w:p>
        </w:tc>
        <w:tc>
          <w:tcPr>
            <w:tcW w:w="664" w:type="dxa"/>
            <w:vAlign w:val="center"/>
          </w:tcPr>
          <w:p w14:paraId="32826E82"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w:t>
            </w:r>
          </w:p>
        </w:tc>
        <w:tc>
          <w:tcPr>
            <w:tcW w:w="663" w:type="dxa"/>
            <w:vAlign w:val="center"/>
          </w:tcPr>
          <w:p w14:paraId="50D643B9"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w:t>
            </w:r>
          </w:p>
        </w:tc>
        <w:tc>
          <w:tcPr>
            <w:tcW w:w="664" w:type="dxa"/>
            <w:vAlign w:val="center"/>
          </w:tcPr>
          <w:p w14:paraId="46F0E985"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w:t>
            </w:r>
          </w:p>
        </w:tc>
        <w:tc>
          <w:tcPr>
            <w:tcW w:w="664" w:type="dxa"/>
            <w:vAlign w:val="center"/>
          </w:tcPr>
          <w:p w14:paraId="233B80F0"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w:t>
            </w:r>
          </w:p>
        </w:tc>
        <w:tc>
          <w:tcPr>
            <w:tcW w:w="797" w:type="dxa"/>
            <w:vAlign w:val="center"/>
          </w:tcPr>
          <w:p w14:paraId="3CCE4710"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650,0</w:t>
            </w:r>
          </w:p>
        </w:tc>
        <w:tc>
          <w:tcPr>
            <w:tcW w:w="855" w:type="dxa"/>
            <w:vAlign w:val="center"/>
          </w:tcPr>
          <w:p w14:paraId="5088FC6A"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1950,0</w:t>
            </w:r>
          </w:p>
        </w:tc>
        <w:tc>
          <w:tcPr>
            <w:tcW w:w="873" w:type="dxa"/>
            <w:vAlign w:val="center"/>
          </w:tcPr>
          <w:p w14:paraId="324852EA"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1820,4</w:t>
            </w:r>
          </w:p>
        </w:tc>
        <w:tc>
          <w:tcPr>
            <w:tcW w:w="723" w:type="dxa"/>
            <w:vAlign w:val="center"/>
          </w:tcPr>
          <w:p w14:paraId="1BA19DC5" w14:textId="77777777" w:rsidR="00555142" w:rsidRPr="00A94F25"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30,0</w:t>
            </w:r>
          </w:p>
        </w:tc>
        <w:tc>
          <w:tcPr>
            <w:tcW w:w="723" w:type="dxa"/>
            <w:vAlign w:val="center"/>
          </w:tcPr>
          <w:p w14:paraId="54644C5A" w14:textId="77D21087" w:rsidR="00555142" w:rsidRPr="00A94F25" w:rsidRDefault="007C7F38" w:rsidP="00A94F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w:t>
            </w:r>
          </w:p>
        </w:tc>
      </w:tr>
      <w:tr w:rsidR="00F205E8" w:rsidRPr="004C504F" w14:paraId="63C2203D" w14:textId="26D1F9CE" w:rsidTr="00F205E8">
        <w:trPr>
          <w:trHeight w:val="378"/>
          <w:jc w:val="center"/>
        </w:trPr>
        <w:tc>
          <w:tcPr>
            <w:cnfStyle w:val="001000000000" w:firstRow="0" w:lastRow="0" w:firstColumn="1" w:lastColumn="0" w:oddVBand="0" w:evenVBand="0" w:oddHBand="0" w:evenHBand="0" w:firstRowFirstColumn="0" w:firstRowLastColumn="0" w:lastRowFirstColumn="0" w:lastRowLastColumn="0"/>
            <w:tcW w:w="2128" w:type="dxa"/>
            <w:shd w:val="clear" w:color="auto" w:fill="FFFFFF" w:themeFill="background1"/>
          </w:tcPr>
          <w:p w14:paraId="687F59ED" w14:textId="77777777" w:rsidR="00555142" w:rsidRPr="00A94F25" w:rsidRDefault="00555142" w:rsidP="003A5E5A">
            <w:pPr>
              <w:rPr>
                <w:rFonts w:eastAsia="Times New Roman"/>
                <w:color w:val="000000" w:themeColor="text1"/>
                <w:sz w:val="20"/>
                <w:szCs w:val="20"/>
              </w:rPr>
            </w:pPr>
            <w:r w:rsidRPr="00A94F25">
              <w:rPr>
                <w:rFonts w:eastAsia="Times New Roman"/>
                <w:color w:val="000000" w:themeColor="text1"/>
                <w:sz w:val="20"/>
                <w:szCs w:val="20"/>
              </w:rPr>
              <w:t>t.sk apropriācijas pārdale</w:t>
            </w:r>
          </w:p>
        </w:tc>
        <w:tc>
          <w:tcPr>
            <w:tcW w:w="660" w:type="dxa"/>
            <w:vAlign w:val="center"/>
          </w:tcPr>
          <w:p w14:paraId="78A9CD62"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9,3</w:t>
            </w:r>
          </w:p>
        </w:tc>
        <w:tc>
          <w:tcPr>
            <w:tcW w:w="664" w:type="dxa"/>
            <w:vAlign w:val="center"/>
          </w:tcPr>
          <w:p w14:paraId="25392536"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5,4</w:t>
            </w:r>
          </w:p>
        </w:tc>
        <w:tc>
          <w:tcPr>
            <w:tcW w:w="664" w:type="dxa"/>
            <w:vAlign w:val="center"/>
          </w:tcPr>
          <w:p w14:paraId="1C553ECB"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12,8</w:t>
            </w:r>
          </w:p>
        </w:tc>
        <w:tc>
          <w:tcPr>
            <w:tcW w:w="663" w:type="dxa"/>
            <w:vAlign w:val="center"/>
          </w:tcPr>
          <w:p w14:paraId="0D56B1BD"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27,0</w:t>
            </w:r>
          </w:p>
        </w:tc>
        <w:tc>
          <w:tcPr>
            <w:tcW w:w="664" w:type="dxa"/>
            <w:vAlign w:val="center"/>
          </w:tcPr>
          <w:p w14:paraId="51ED57C8"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20,2</w:t>
            </w:r>
          </w:p>
        </w:tc>
        <w:tc>
          <w:tcPr>
            <w:tcW w:w="664" w:type="dxa"/>
            <w:vAlign w:val="center"/>
          </w:tcPr>
          <w:p w14:paraId="194D6F5F"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6,1</w:t>
            </w:r>
          </w:p>
        </w:tc>
        <w:tc>
          <w:tcPr>
            <w:tcW w:w="797" w:type="dxa"/>
            <w:vAlign w:val="center"/>
          </w:tcPr>
          <w:p w14:paraId="4AB64F93"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78,0</w:t>
            </w:r>
          </w:p>
        </w:tc>
        <w:tc>
          <w:tcPr>
            <w:tcW w:w="855" w:type="dxa"/>
            <w:vAlign w:val="center"/>
          </w:tcPr>
          <w:p w14:paraId="4F179FDB"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51,7</w:t>
            </w:r>
          </w:p>
        </w:tc>
        <w:tc>
          <w:tcPr>
            <w:tcW w:w="873" w:type="dxa"/>
            <w:vAlign w:val="center"/>
          </w:tcPr>
          <w:p w14:paraId="585C6C26"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136,9</w:t>
            </w:r>
          </w:p>
        </w:tc>
        <w:tc>
          <w:tcPr>
            <w:tcW w:w="723" w:type="dxa"/>
            <w:vAlign w:val="center"/>
          </w:tcPr>
          <w:p w14:paraId="6CADD49B" w14:textId="77777777" w:rsidR="00555142" w:rsidRPr="00A94F25" w:rsidRDefault="0055514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A94F25">
              <w:rPr>
                <w:rFonts w:eastAsia="Times New Roman"/>
                <w:color w:val="000000" w:themeColor="text1"/>
                <w:sz w:val="20"/>
                <w:szCs w:val="20"/>
              </w:rPr>
              <w:t>59,0</w:t>
            </w:r>
          </w:p>
        </w:tc>
        <w:tc>
          <w:tcPr>
            <w:tcW w:w="723" w:type="dxa"/>
            <w:vAlign w:val="center"/>
          </w:tcPr>
          <w:p w14:paraId="606916E5" w14:textId="0F0B086B" w:rsidR="00555142" w:rsidRPr="00A94F25" w:rsidRDefault="007C7F38" w:rsidP="00A94F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Pr>
                <w:rFonts w:eastAsia="Times New Roman"/>
                <w:color w:val="000000" w:themeColor="text1"/>
                <w:sz w:val="20"/>
                <w:szCs w:val="20"/>
              </w:rPr>
              <w:t>1,8</w:t>
            </w:r>
          </w:p>
        </w:tc>
      </w:tr>
    </w:tbl>
    <w:p w14:paraId="295BAD96" w14:textId="77777777" w:rsidR="00A2225B" w:rsidRDefault="00A2225B" w:rsidP="008921AF">
      <w:pPr>
        <w:spacing w:after="0" w:line="240" w:lineRule="auto"/>
        <w:ind w:firstLine="720"/>
        <w:jc w:val="both"/>
        <w:rPr>
          <w:rFonts w:ascii="Times New Roman" w:eastAsia="Calibri" w:hAnsi="Times New Roman" w:cs="Times New Roman"/>
          <w:kern w:val="2"/>
          <w:sz w:val="24"/>
          <w:szCs w:val="24"/>
          <w14:ligatures w14:val="standardContextual"/>
        </w:rPr>
      </w:pPr>
    </w:p>
    <w:p w14:paraId="03751F49" w14:textId="600E17EE" w:rsidR="00B60C80" w:rsidRPr="000D01D6" w:rsidRDefault="7562C1E9" w:rsidP="000D01D6">
      <w:pPr>
        <w:spacing w:afterAutospacing="1"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kern w:val="2"/>
          <w:sz w:val="24"/>
          <w:szCs w:val="24"/>
          <w14:ligatures w14:val="standardContextual"/>
        </w:rPr>
        <w:t>Tabulā Nr.2.7.3 ir apkopota informācija par budžeta programmas “Līdzekļi neparedzētiem gadījumiem” palielinājumu kopš 2014.</w:t>
      </w:r>
      <w:r w:rsidR="0918574B"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 xml:space="preserve">gada. No kopējā programmas pieauguma jānošķir tie gadījumi, kad programma “Līdzekļi neparedzētiem gadījumiem” tika palielināta no ietaupījumiem citās programmās, tostarp budžeta programmā “Apropriācijas rezerve”, vai neplānotiem budžeta ieņēmumiem. Fiskālais risks rodas tajos gadījumos, kad tiek veikta apropriācijas palielināšana, kas tiešā veidā ietekmē vispārējās valdības budžeta bilanci. Kopš 2014. gada, apropriācijas palielinājums ir novērojams tikai gados, kad </w:t>
      </w:r>
      <w:r w:rsidR="0FDCF680" w:rsidRPr="469479B5">
        <w:rPr>
          <w:rFonts w:ascii="Times New Roman" w:eastAsia="Calibri" w:hAnsi="Times New Roman" w:cs="Times New Roman"/>
          <w:sz w:val="24"/>
          <w:szCs w:val="24"/>
        </w:rPr>
        <w:t>tiks</w:t>
      </w:r>
      <w:r>
        <w:rPr>
          <w:rFonts w:ascii="Times New Roman" w:eastAsia="Calibri" w:hAnsi="Times New Roman" w:cs="Times New Roman"/>
          <w:kern w:val="2"/>
          <w:sz w:val="24"/>
          <w:szCs w:val="24"/>
          <w14:ligatures w14:val="standardContextual"/>
        </w:rPr>
        <w:t xml:space="preserve"> snie</w:t>
      </w:r>
      <w:r w:rsidR="76371922">
        <w:rPr>
          <w:rFonts w:ascii="Times New Roman" w:eastAsia="Calibri" w:hAnsi="Times New Roman" w:cs="Times New Roman"/>
          <w:kern w:val="2"/>
          <w:sz w:val="24"/>
          <w:szCs w:val="24"/>
          <w14:ligatures w14:val="standardContextual"/>
        </w:rPr>
        <w:t>gts</w:t>
      </w:r>
      <w:r>
        <w:rPr>
          <w:rFonts w:ascii="Times New Roman" w:eastAsia="Calibri" w:hAnsi="Times New Roman" w:cs="Times New Roman"/>
          <w:kern w:val="2"/>
          <w:sz w:val="24"/>
          <w:szCs w:val="24"/>
          <w14:ligatures w14:val="standardContextual"/>
        </w:rPr>
        <w:t xml:space="preserve"> atbalst</w:t>
      </w:r>
      <w:r w:rsidR="29A1FA6A" w:rsidRPr="469479B5">
        <w:rPr>
          <w:rFonts w:ascii="Times New Roman" w:eastAsia="Calibri" w:hAnsi="Times New Roman" w:cs="Times New Roman"/>
          <w:sz w:val="24"/>
          <w:szCs w:val="24"/>
        </w:rPr>
        <w:t>s</w:t>
      </w:r>
      <w:r>
        <w:rPr>
          <w:rFonts w:ascii="Times New Roman" w:eastAsia="Calibri" w:hAnsi="Times New Roman" w:cs="Times New Roman"/>
          <w:kern w:val="2"/>
          <w:sz w:val="24"/>
          <w:szCs w:val="24"/>
          <w14:ligatures w14:val="standardContextual"/>
        </w:rPr>
        <w:t xml:space="preserve"> mājsaimniecībām un uzņēmumiem Covid</w:t>
      </w:r>
      <w:r w:rsidR="00597FA9" w:rsidRPr="469479B5">
        <w:rPr>
          <w:rFonts w:ascii="Times New Roman" w:hAnsi="Times New Roman" w:cs="Times New Roman"/>
          <w:color w:val="000000" w:themeColor="text1"/>
          <w:sz w:val="24"/>
          <w:szCs w:val="24"/>
        </w:rPr>
        <w:t>–</w:t>
      </w:r>
      <w:r>
        <w:rPr>
          <w:rFonts w:ascii="Times New Roman" w:eastAsia="Calibri" w:hAnsi="Times New Roman" w:cs="Times New Roman"/>
          <w:kern w:val="2"/>
          <w:sz w:val="24"/>
          <w:szCs w:val="24"/>
          <w14:ligatures w14:val="standardContextual"/>
        </w:rPr>
        <w:t>19 un energoresursu cenu ārkārtējā pieauguma apstākļos, tāpat, Krievijas uzsākt</w:t>
      </w:r>
      <w:r w:rsidR="56537A83">
        <w:rPr>
          <w:rFonts w:ascii="Times New Roman" w:eastAsia="Calibri" w:hAnsi="Times New Roman" w:cs="Times New Roman"/>
          <w:kern w:val="2"/>
          <w:sz w:val="24"/>
          <w:szCs w:val="24"/>
          <w14:ligatures w14:val="standardContextual"/>
        </w:rPr>
        <w:t>ā</w:t>
      </w:r>
      <w:r>
        <w:rPr>
          <w:rFonts w:ascii="Times New Roman" w:eastAsia="Calibri" w:hAnsi="Times New Roman" w:cs="Times New Roman"/>
          <w:kern w:val="2"/>
          <w:sz w:val="24"/>
          <w:szCs w:val="24"/>
          <w14:ligatures w14:val="standardContextual"/>
        </w:rPr>
        <w:t xml:space="preserve"> kara Ukrainā rezultātā tika sniegts atbalsts Ukrainai un tās civiliedzīvotājiem un stiprinātas valsts aizsardzības spējas. Š</w:t>
      </w:r>
      <w:r w:rsidR="09ACC5A0">
        <w:rPr>
          <w:rFonts w:ascii="Times New Roman" w:eastAsia="Calibri" w:hAnsi="Times New Roman" w:cs="Times New Roman"/>
          <w:kern w:val="2"/>
          <w:sz w:val="24"/>
          <w:szCs w:val="24"/>
          <w14:ligatures w14:val="standardContextual"/>
        </w:rPr>
        <w:t xml:space="preserve">ie notikumi uzskatāmi par </w:t>
      </w:r>
      <w:r>
        <w:rPr>
          <w:rFonts w:ascii="Times New Roman" w:eastAsia="Calibri" w:hAnsi="Times New Roman" w:cs="Times New Roman"/>
          <w:kern w:val="2"/>
          <w:sz w:val="24"/>
          <w:szCs w:val="24"/>
          <w14:ligatures w14:val="standardContextual"/>
        </w:rPr>
        <w:t>visaptveroš</w:t>
      </w:r>
      <w:r w:rsidR="1E0FE2C6">
        <w:rPr>
          <w:rFonts w:ascii="Times New Roman" w:eastAsia="Calibri" w:hAnsi="Times New Roman" w:cs="Times New Roman"/>
          <w:kern w:val="2"/>
          <w:sz w:val="24"/>
          <w:szCs w:val="24"/>
          <w14:ligatures w14:val="standardContextual"/>
        </w:rPr>
        <w:t>iem</w:t>
      </w:r>
      <w:r>
        <w:rPr>
          <w:rFonts w:ascii="Times New Roman" w:eastAsia="Calibri" w:hAnsi="Times New Roman" w:cs="Times New Roman"/>
          <w:kern w:val="2"/>
          <w:sz w:val="24"/>
          <w:szCs w:val="24"/>
          <w14:ligatures w14:val="standardContextual"/>
        </w:rPr>
        <w:t xml:space="preserve"> un liel</w:t>
      </w:r>
      <w:r w:rsidR="523B4B86">
        <w:rPr>
          <w:rFonts w:ascii="Times New Roman" w:eastAsia="Calibri" w:hAnsi="Times New Roman" w:cs="Times New Roman"/>
          <w:kern w:val="2"/>
          <w:sz w:val="24"/>
          <w:szCs w:val="24"/>
          <w14:ligatures w14:val="standardContextual"/>
        </w:rPr>
        <w:t>iem</w:t>
      </w:r>
      <w:r>
        <w:rPr>
          <w:rFonts w:ascii="Times New Roman" w:eastAsia="Calibri" w:hAnsi="Times New Roman" w:cs="Times New Roman"/>
          <w:kern w:val="2"/>
          <w:sz w:val="24"/>
          <w:szCs w:val="24"/>
          <w14:ligatures w14:val="standardContextual"/>
        </w:rPr>
        <w:t xml:space="preserve"> makroekonomisk</w:t>
      </w:r>
      <w:r w:rsidR="1B188BC7">
        <w:rPr>
          <w:rFonts w:ascii="Times New Roman" w:eastAsia="Calibri" w:hAnsi="Times New Roman" w:cs="Times New Roman"/>
          <w:kern w:val="2"/>
          <w:sz w:val="24"/>
          <w:szCs w:val="24"/>
          <w14:ligatures w14:val="standardContextual"/>
        </w:rPr>
        <w:t>iem</w:t>
      </w:r>
      <w:r>
        <w:rPr>
          <w:rFonts w:ascii="Times New Roman" w:eastAsia="Calibri" w:hAnsi="Times New Roman" w:cs="Times New Roman"/>
          <w:kern w:val="2"/>
          <w:sz w:val="24"/>
          <w:szCs w:val="24"/>
          <w14:ligatures w14:val="standardContextual"/>
        </w:rPr>
        <w:t xml:space="preserve"> šok</w:t>
      </w:r>
      <w:r w:rsidR="156941A7">
        <w:rPr>
          <w:rFonts w:ascii="Times New Roman" w:eastAsia="Calibri" w:hAnsi="Times New Roman" w:cs="Times New Roman"/>
          <w:kern w:val="2"/>
          <w:sz w:val="24"/>
          <w:szCs w:val="24"/>
          <w14:ligatures w14:val="standardContextual"/>
        </w:rPr>
        <w:t>iem</w:t>
      </w:r>
      <w:r w:rsidR="5C1378FF">
        <w:rPr>
          <w:rFonts w:ascii="Times New Roman" w:eastAsia="Calibri" w:hAnsi="Times New Roman" w:cs="Times New Roman"/>
          <w:kern w:val="2"/>
          <w:sz w:val="24"/>
          <w:szCs w:val="24"/>
          <w14:ligatures w14:val="standardContextual"/>
        </w:rPr>
        <w:t>, kurus</w:t>
      </w:r>
      <w:r>
        <w:rPr>
          <w:rFonts w:ascii="Times New Roman" w:eastAsia="Calibri" w:hAnsi="Times New Roman" w:cs="Times New Roman"/>
          <w:kern w:val="2"/>
          <w:sz w:val="24"/>
          <w:szCs w:val="24"/>
          <w14:ligatures w14:val="standardContextual"/>
        </w:rPr>
        <w:t xml:space="preserve"> fiskālo risku vadības mehānisms neaptver un </w:t>
      </w:r>
      <w:r w:rsidRPr="005552F3">
        <w:rPr>
          <w:rFonts w:ascii="Times New Roman" w:eastAsia="Calibri" w:hAnsi="Times New Roman" w:cs="Times New Roman"/>
          <w:b/>
          <w:bCs/>
          <w:kern w:val="2"/>
          <w:sz w:val="24"/>
          <w:szCs w:val="24"/>
          <w14:ligatures w14:val="standardContextual"/>
        </w:rPr>
        <w:t>šād</w:t>
      </w:r>
      <w:r w:rsidR="7752E4E7" w:rsidRPr="005552F3">
        <w:rPr>
          <w:rFonts w:ascii="Times New Roman" w:eastAsia="Calibri" w:hAnsi="Times New Roman" w:cs="Times New Roman"/>
          <w:b/>
          <w:bCs/>
          <w:kern w:val="2"/>
          <w:sz w:val="24"/>
          <w:szCs w:val="24"/>
          <w14:ligatures w14:val="standardContextual"/>
        </w:rPr>
        <w:t>ā</w:t>
      </w:r>
      <w:r w:rsidRPr="005552F3">
        <w:rPr>
          <w:rFonts w:ascii="Times New Roman" w:eastAsia="Calibri" w:hAnsi="Times New Roman" w:cs="Times New Roman"/>
          <w:b/>
          <w:bCs/>
          <w:kern w:val="2"/>
          <w:sz w:val="24"/>
          <w:szCs w:val="24"/>
          <w14:ligatures w14:val="standardContextual"/>
        </w:rPr>
        <w:t xml:space="preserve">m </w:t>
      </w:r>
      <w:r w:rsidR="246D0AB1" w:rsidRPr="005552F3">
        <w:rPr>
          <w:rFonts w:ascii="Times New Roman" w:eastAsia="Calibri" w:hAnsi="Times New Roman" w:cs="Times New Roman"/>
          <w:b/>
          <w:bCs/>
          <w:kern w:val="2"/>
          <w:sz w:val="24"/>
          <w:szCs w:val="24"/>
          <w14:ligatures w14:val="standardContextual"/>
        </w:rPr>
        <w:t xml:space="preserve">nestandarta </w:t>
      </w:r>
      <w:r w:rsidR="11524877" w:rsidRPr="469479B5">
        <w:rPr>
          <w:rFonts w:ascii="Times New Roman" w:eastAsia="Calibri" w:hAnsi="Times New Roman" w:cs="Times New Roman"/>
          <w:sz w:val="24"/>
          <w:szCs w:val="24"/>
        </w:rPr>
        <w:t>situācijām</w:t>
      </w:r>
      <w:r w:rsidRPr="005552F3">
        <w:rPr>
          <w:rFonts w:ascii="Times New Roman" w:eastAsia="Calibri" w:hAnsi="Times New Roman" w:cs="Times New Roman"/>
          <w:b/>
          <w:bCs/>
          <w:kern w:val="2"/>
          <w:sz w:val="24"/>
          <w:szCs w:val="24"/>
          <w14:ligatures w14:val="standardContextual"/>
        </w:rPr>
        <w:t xml:space="preserve"> fiskālā nodrošinājuma rezerve netiek veidota</w:t>
      </w:r>
      <w:r>
        <w:rPr>
          <w:rFonts w:ascii="Times New Roman" w:eastAsia="Calibri" w:hAnsi="Times New Roman" w:cs="Times New Roman"/>
          <w:kern w:val="2"/>
          <w:sz w:val="24"/>
          <w:szCs w:val="24"/>
          <w14:ligatures w14:val="standardContextual"/>
        </w:rPr>
        <w:t xml:space="preserve">. </w:t>
      </w:r>
      <w:r w:rsidR="1E7F302B">
        <w:rPr>
          <w:rFonts w:ascii="Times New Roman" w:eastAsia="Calibri" w:hAnsi="Times New Roman" w:cs="Times New Roman"/>
          <w:kern w:val="2"/>
          <w:sz w:val="24"/>
          <w:szCs w:val="24"/>
          <w14:ligatures w14:val="standardContextual"/>
        </w:rPr>
        <w:t xml:space="preserve">Taču ņemot vērā 2023. gada plūdus un postošās vētras, kuru rezultātā </w:t>
      </w:r>
      <w:r w:rsidR="3A29C1B8">
        <w:rPr>
          <w:rFonts w:ascii="Times New Roman" w:eastAsia="Calibri" w:hAnsi="Times New Roman" w:cs="Times New Roman"/>
          <w:kern w:val="2"/>
          <w:sz w:val="24"/>
          <w:szCs w:val="24"/>
          <w14:ligatures w14:val="standardContextual"/>
        </w:rPr>
        <w:t>tika nodarīti būtiski zaudējumi</w:t>
      </w:r>
      <w:r w:rsidR="7563244A">
        <w:rPr>
          <w:rFonts w:ascii="Times New Roman" w:eastAsia="Calibri" w:hAnsi="Times New Roman" w:cs="Times New Roman"/>
          <w:kern w:val="2"/>
          <w:sz w:val="24"/>
          <w:szCs w:val="24"/>
          <w14:ligatures w14:val="standardContextual"/>
        </w:rPr>
        <w:t xml:space="preserve"> </w:t>
      </w:r>
      <w:r w:rsidR="7A1A44EA">
        <w:rPr>
          <w:rFonts w:ascii="Times New Roman" w:eastAsia="Calibri" w:hAnsi="Times New Roman" w:cs="Times New Roman"/>
          <w:kern w:val="2"/>
          <w:sz w:val="24"/>
          <w:szCs w:val="24"/>
          <w14:ligatures w14:val="standardContextual"/>
        </w:rPr>
        <w:t xml:space="preserve">iedzīvotājiem, </w:t>
      </w:r>
      <w:r w:rsidR="1E7F302B">
        <w:rPr>
          <w:rFonts w:ascii="Times New Roman" w:eastAsia="Calibri" w:hAnsi="Times New Roman" w:cs="Times New Roman"/>
          <w:kern w:val="2"/>
          <w:sz w:val="24"/>
          <w:szCs w:val="24"/>
          <w14:ligatures w14:val="standardContextual"/>
        </w:rPr>
        <w:t>tika veikti grozījumi</w:t>
      </w:r>
      <w:r w:rsidR="1317B95D">
        <w:rPr>
          <w:rFonts w:ascii="Times New Roman" w:eastAsia="Calibri" w:hAnsi="Times New Roman" w:cs="Times New Roman"/>
          <w:kern w:val="2"/>
          <w:sz w:val="24"/>
          <w:szCs w:val="24"/>
          <w14:ligatures w14:val="standardContextual"/>
        </w:rPr>
        <w:t xml:space="preserve"> LBVF</w:t>
      </w:r>
      <w:r w:rsidR="09CD4FD9">
        <w:rPr>
          <w:rFonts w:ascii="Times New Roman" w:eastAsia="Calibri" w:hAnsi="Times New Roman" w:cs="Times New Roman"/>
          <w:kern w:val="2"/>
          <w:sz w:val="24"/>
          <w:szCs w:val="24"/>
          <w14:ligatures w14:val="standardContextual"/>
        </w:rPr>
        <w:t xml:space="preserve"> 12. panta 3.</w:t>
      </w:r>
      <w:r w:rsidR="09CD4FD9" w:rsidRPr="00940337">
        <w:rPr>
          <w:rFonts w:ascii="Times New Roman" w:eastAsia="Calibri" w:hAnsi="Times New Roman" w:cs="Times New Roman"/>
          <w:kern w:val="2"/>
          <w:sz w:val="24"/>
          <w:szCs w:val="24"/>
          <w:vertAlign w:val="superscript"/>
          <w14:ligatures w14:val="standardContextual"/>
        </w:rPr>
        <w:t>1</w:t>
      </w:r>
      <w:r w:rsidR="7AB5151F" w:rsidRPr="469479B5">
        <w:rPr>
          <w:rFonts w:ascii="Times New Roman" w:eastAsia="Calibri" w:hAnsi="Times New Roman" w:cs="Times New Roman"/>
          <w:kern w:val="2"/>
          <w:sz w:val="24"/>
          <w:szCs w:val="24"/>
          <w14:ligatures w14:val="standardContextual"/>
        </w:rPr>
        <w:t xml:space="preserve"> daļā, kas paredz,</w:t>
      </w:r>
      <w:r w:rsidR="565B33CF" w:rsidRPr="469479B5">
        <w:rPr>
          <w:rFonts w:ascii="Times New Roman" w:eastAsia="Calibri" w:hAnsi="Times New Roman" w:cs="Times New Roman"/>
          <w:kern w:val="2"/>
          <w:sz w:val="24"/>
          <w:szCs w:val="24"/>
          <w14:ligatures w14:val="standardContextual"/>
        </w:rPr>
        <w:t xml:space="preserve"> ka finanšu ministram ir tiesības palielināt apropriāciju līdzekļiem neparedzētiem gadījumiem katastrofu</w:t>
      </w:r>
      <w:r w:rsidR="6D3D21F7" w:rsidRPr="469479B5">
        <w:rPr>
          <w:rFonts w:ascii="Times New Roman" w:eastAsia="Calibri" w:hAnsi="Times New Roman" w:cs="Times New Roman"/>
          <w:kern w:val="2"/>
          <w:sz w:val="24"/>
          <w:szCs w:val="24"/>
          <w14:ligatures w14:val="standardContextual"/>
        </w:rPr>
        <w:t>, dabas stihiju un ugunsgrēku seku novēršanai</w:t>
      </w:r>
      <w:r w:rsidR="0F7BC079" w:rsidRPr="469479B5">
        <w:rPr>
          <w:rFonts w:ascii="Times New Roman" w:eastAsia="Calibri" w:hAnsi="Times New Roman" w:cs="Times New Roman"/>
          <w:kern w:val="2"/>
          <w:sz w:val="24"/>
          <w:szCs w:val="24"/>
          <w14:ligatures w14:val="standardContextual"/>
        </w:rPr>
        <w:t xml:space="preserve"> un</w:t>
      </w:r>
      <w:r w:rsidR="6D3D21F7" w:rsidRPr="469479B5">
        <w:rPr>
          <w:rFonts w:ascii="Times New Roman" w:eastAsia="Calibri" w:hAnsi="Times New Roman" w:cs="Times New Roman"/>
          <w:kern w:val="2"/>
          <w:sz w:val="24"/>
          <w:szCs w:val="24"/>
          <w14:ligatures w14:val="standardContextual"/>
        </w:rPr>
        <w:t xml:space="preserve"> to radīto zaudējumu kompensēšanai</w:t>
      </w:r>
      <w:r w:rsidR="43D67B67" w:rsidRPr="469479B5">
        <w:rPr>
          <w:rFonts w:ascii="Times New Roman" w:eastAsia="Calibri" w:hAnsi="Times New Roman" w:cs="Times New Roman"/>
          <w:kern w:val="2"/>
          <w:sz w:val="24"/>
          <w:szCs w:val="24"/>
          <w14:ligatures w14:val="standardContextual"/>
        </w:rPr>
        <w:t>. Arī 2024. gad</w:t>
      </w:r>
      <w:r w:rsidR="05678AF2" w:rsidRPr="469479B5">
        <w:rPr>
          <w:rFonts w:ascii="Times New Roman" w:eastAsia="Calibri" w:hAnsi="Times New Roman" w:cs="Times New Roman"/>
          <w:kern w:val="2"/>
          <w:sz w:val="24"/>
          <w:szCs w:val="24"/>
          <w14:ligatures w14:val="standardContextual"/>
        </w:rPr>
        <w:t>a</w:t>
      </w:r>
      <w:r w:rsidR="43D67B67" w:rsidRPr="469479B5">
        <w:rPr>
          <w:rFonts w:ascii="Times New Roman" w:eastAsia="Calibri" w:hAnsi="Times New Roman" w:cs="Times New Roman"/>
          <w:kern w:val="2"/>
          <w:sz w:val="24"/>
          <w:szCs w:val="24"/>
          <w14:ligatures w14:val="standardContextual"/>
        </w:rPr>
        <w:t xml:space="preserve"> naktī no 28. </w:t>
      </w:r>
      <w:r w:rsidR="5AB660D6" w:rsidRPr="469479B5">
        <w:rPr>
          <w:rFonts w:ascii="Times New Roman" w:eastAsia="Calibri" w:hAnsi="Times New Roman" w:cs="Times New Roman"/>
          <w:kern w:val="2"/>
          <w:sz w:val="24"/>
          <w:szCs w:val="24"/>
          <w14:ligatures w14:val="standardContextual"/>
        </w:rPr>
        <w:t>u</w:t>
      </w:r>
      <w:r w:rsidR="43D67B67" w:rsidRPr="469479B5">
        <w:rPr>
          <w:rFonts w:ascii="Times New Roman" w:eastAsia="Calibri" w:hAnsi="Times New Roman" w:cs="Times New Roman"/>
          <w:kern w:val="2"/>
          <w:sz w:val="24"/>
          <w:szCs w:val="24"/>
          <w14:ligatures w14:val="standardContextual"/>
        </w:rPr>
        <w:t xml:space="preserve">z </w:t>
      </w:r>
      <w:r w:rsidR="6FDA5C5B" w:rsidRPr="469479B5">
        <w:rPr>
          <w:rFonts w:ascii="Times New Roman" w:eastAsia="Calibri" w:hAnsi="Times New Roman" w:cs="Times New Roman"/>
          <w:kern w:val="2"/>
          <w:sz w:val="24"/>
          <w:szCs w:val="24"/>
          <w14:ligatures w14:val="standardContextual"/>
        </w:rPr>
        <w:t xml:space="preserve">29. jūliju </w:t>
      </w:r>
      <w:r w:rsidR="592F3229" w:rsidRPr="469479B5">
        <w:rPr>
          <w:rFonts w:ascii="Times New Roman" w:eastAsia="Calibri" w:hAnsi="Times New Roman" w:cs="Times New Roman"/>
          <w:kern w:val="2"/>
          <w:sz w:val="24"/>
          <w:szCs w:val="24"/>
          <w14:ligatures w14:val="standardContextual"/>
        </w:rPr>
        <w:t>tika piedzīvota viena no spēcīgākajām vētrām novērojumu vēsturē, kas radīja plašus postījumus.</w:t>
      </w:r>
      <w:r w:rsidR="00D35DB6">
        <w:rPr>
          <w:rFonts w:ascii="Times New Roman" w:eastAsia="Calibri" w:hAnsi="Times New Roman" w:cs="Times New Roman"/>
          <w:kern w:val="2"/>
          <w:sz w:val="24"/>
          <w:szCs w:val="24"/>
          <w14:ligatures w14:val="standardContextual"/>
        </w:rPr>
        <w:t xml:space="preserve"> Atbilstoši FM rīkojumiem kopumā 2024. gadā tika piešķirti līdzekļi 6,3 milj. </w:t>
      </w:r>
      <w:r w:rsidR="00D35DB6" w:rsidRPr="00D35DB6">
        <w:rPr>
          <w:rFonts w:ascii="Times New Roman" w:eastAsia="Calibri" w:hAnsi="Times New Roman" w:cs="Times New Roman"/>
          <w:i/>
          <w:iCs/>
          <w:kern w:val="2"/>
          <w:sz w:val="24"/>
          <w:szCs w:val="24"/>
          <w14:ligatures w14:val="standardContextual"/>
        </w:rPr>
        <w:t>euro</w:t>
      </w:r>
      <w:r w:rsidR="00D35DB6">
        <w:rPr>
          <w:rFonts w:ascii="Times New Roman" w:eastAsia="Calibri" w:hAnsi="Times New Roman" w:cs="Times New Roman"/>
          <w:kern w:val="2"/>
          <w:sz w:val="24"/>
          <w:szCs w:val="24"/>
          <w14:ligatures w14:val="standardContextual"/>
        </w:rPr>
        <w:t xml:space="preserve"> apmērā no budžeta programmas “Līdzekļi neparedzētiem gadījumiem”, lai likvidētu dabas stihiju postījumus, taču 2024. gadā netika veikta apropriācijas palielināšana budžeta programmā “Līdzekļi neparedzētiem gadījumiem”, kurā 2024. gada beigās palika neizlietotais finansējums 45,3 milj. </w:t>
      </w:r>
      <w:r w:rsidR="00D35DB6" w:rsidRPr="00D35DB6">
        <w:rPr>
          <w:rFonts w:ascii="Times New Roman" w:eastAsia="Calibri" w:hAnsi="Times New Roman" w:cs="Times New Roman"/>
          <w:i/>
          <w:iCs/>
          <w:kern w:val="2"/>
          <w:sz w:val="24"/>
          <w:szCs w:val="24"/>
          <w14:ligatures w14:val="standardContextual"/>
        </w:rPr>
        <w:t>euro</w:t>
      </w:r>
      <w:r w:rsidR="00D35DB6">
        <w:rPr>
          <w:rFonts w:ascii="Times New Roman" w:eastAsia="Calibri" w:hAnsi="Times New Roman" w:cs="Times New Roman"/>
          <w:kern w:val="2"/>
          <w:sz w:val="24"/>
          <w:szCs w:val="24"/>
          <w14:ligatures w14:val="standardContextual"/>
        </w:rPr>
        <w:t>. Taču s</w:t>
      </w:r>
      <w:r w:rsidR="592F3229" w:rsidRPr="469479B5">
        <w:rPr>
          <w:rFonts w:ascii="Times New Roman" w:eastAsia="Calibri" w:hAnsi="Times New Roman" w:cs="Times New Roman"/>
          <w:kern w:val="2"/>
          <w:sz w:val="24"/>
          <w:szCs w:val="24"/>
          <w14:ligatures w14:val="standardContextual"/>
        </w:rPr>
        <w:t xml:space="preserve">agaidāms, ka turpmāk ir iespējama apropriācijas palielināšana </w:t>
      </w:r>
      <w:r w:rsidR="7479D361" w:rsidRPr="469479B5">
        <w:rPr>
          <w:rFonts w:ascii="Times New Roman" w:eastAsia="Calibri" w:hAnsi="Times New Roman" w:cs="Times New Roman"/>
          <w:kern w:val="2"/>
          <w:sz w:val="24"/>
          <w:szCs w:val="24"/>
          <w14:ligatures w14:val="standardContextual"/>
        </w:rPr>
        <w:t xml:space="preserve">līdzekļiem neparedzētiem gadījumiem dabas stihiju seku novēršanai un to radīto </w:t>
      </w:r>
      <w:r w:rsidR="36E1BF0A" w:rsidRPr="469479B5">
        <w:rPr>
          <w:rFonts w:ascii="Times New Roman" w:eastAsia="Calibri" w:hAnsi="Times New Roman" w:cs="Times New Roman"/>
          <w:kern w:val="2"/>
          <w:sz w:val="24"/>
          <w:szCs w:val="24"/>
          <w14:ligatures w14:val="standardContextual"/>
        </w:rPr>
        <w:t>zaudējumu kompensēšanai</w:t>
      </w:r>
      <w:r w:rsidR="04F166D5" w:rsidRPr="469479B5">
        <w:rPr>
          <w:rFonts w:ascii="Times New Roman" w:eastAsia="Calibri" w:hAnsi="Times New Roman" w:cs="Times New Roman"/>
          <w:kern w:val="2"/>
          <w:sz w:val="24"/>
          <w:szCs w:val="24"/>
          <w14:ligatures w14:val="standardContextual"/>
        </w:rPr>
        <w:t>.</w:t>
      </w:r>
      <w:r w:rsidR="5C931B7B" w:rsidRPr="469479B5">
        <w:rPr>
          <w:rFonts w:ascii="Times New Roman" w:eastAsia="Calibri" w:hAnsi="Times New Roman" w:cs="Times New Roman"/>
          <w:sz w:val="24"/>
          <w:szCs w:val="24"/>
        </w:rPr>
        <w:t xml:space="preserve"> </w:t>
      </w:r>
      <w:r w:rsidR="397C02BF" w:rsidRPr="469479B5">
        <w:rPr>
          <w:rFonts w:ascii="Times New Roman" w:eastAsia="Calibri" w:hAnsi="Times New Roman" w:cs="Times New Roman"/>
          <w:kern w:val="2"/>
          <w:sz w:val="24"/>
          <w:szCs w:val="24"/>
          <w14:ligatures w14:val="standardContextual"/>
        </w:rPr>
        <w:t>F</w:t>
      </w:r>
      <w:r w:rsidR="5C931B7B" w:rsidRPr="469479B5">
        <w:rPr>
          <w:rFonts w:ascii="Times New Roman" w:eastAsia="Calibri" w:hAnsi="Times New Roman" w:cs="Times New Roman"/>
          <w:kern w:val="2"/>
          <w:sz w:val="24"/>
          <w:szCs w:val="24"/>
          <w14:ligatures w14:val="standardContextual"/>
        </w:rPr>
        <w:t xml:space="preserve">iskālā riska iestāšanās un nepieciešamās fiskālās nodrošinājuma rezerves izveide un tās apmērs </w:t>
      </w:r>
      <w:r w:rsidR="26332ADB" w:rsidRPr="469479B5">
        <w:rPr>
          <w:rFonts w:ascii="Times New Roman" w:eastAsia="Calibri" w:hAnsi="Times New Roman" w:cs="Times New Roman"/>
          <w:kern w:val="2"/>
          <w:sz w:val="24"/>
          <w:szCs w:val="24"/>
          <w14:ligatures w14:val="standardContextual"/>
        </w:rPr>
        <w:t xml:space="preserve">deklarācijas ietvaros </w:t>
      </w:r>
      <w:r w:rsidR="5C931B7B" w:rsidRPr="469479B5">
        <w:rPr>
          <w:rFonts w:ascii="Times New Roman" w:eastAsia="Calibri" w:hAnsi="Times New Roman" w:cs="Times New Roman"/>
          <w:sz w:val="24"/>
          <w:szCs w:val="24"/>
        </w:rPr>
        <w:t>tiks analizēts arī turpm</w:t>
      </w:r>
      <w:r w:rsidR="63F044D5" w:rsidRPr="469479B5">
        <w:rPr>
          <w:rFonts w:ascii="Times New Roman" w:eastAsia="Calibri" w:hAnsi="Times New Roman" w:cs="Times New Roman"/>
          <w:sz w:val="24"/>
          <w:szCs w:val="24"/>
        </w:rPr>
        <w:t>āk.</w:t>
      </w:r>
    </w:p>
    <w:p w14:paraId="04FD5BE7" w14:textId="17506F05" w:rsidR="00D736A2" w:rsidRPr="00980D91" w:rsidRDefault="00D736A2" w:rsidP="00497710">
      <w:pPr>
        <w:pStyle w:val="Heading2"/>
        <w:numPr>
          <w:ilvl w:val="1"/>
          <w:numId w:val="4"/>
        </w:numPr>
        <w:tabs>
          <w:tab w:val="left" w:pos="851"/>
        </w:tabs>
        <w:spacing w:before="120" w:after="120" w:line="240" w:lineRule="auto"/>
        <w:ind w:left="567" w:hanging="567"/>
        <w:rPr>
          <w:rFonts w:cs="Times New Roman"/>
          <w:color w:val="auto"/>
          <w:szCs w:val="24"/>
        </w:rPr>
      </w:pPr>
      <w:bookmarkStart w:id="89" w:name="_Toc205554419"/>
      <w:r w:rsidRPr="00980D91">
        <w:rPr>
          <w:rFonts w:cs="Times New Roman"/>
          <w:color w:val="auto"/>
          <w:szCs w:val="24"/>
        </w:rPr>
        <w:t xml:space="preserve">Fiskālie riski saistībā ar </w:t>
      </w:r>
      <w:r w:rsidR="005D23B1" w:rsidRPr="00980D91">
        <w:rPr>
          <w:rFonts w:cs="Times New Roman"/>
          <w:color w:val="auto"/>
          <w:szCs w:val="24"/>
        </w:rPr>
        <w:t>līdzfinansējumu ārvalstu filmu uzņemšanai un dižpasākumu organizēšanai</w:t>
      </w:r>
      <w:bookmarkEnd w:id="89"/>
    </w:p>
    <w:p w14:paraId="3EA3AC35" w14:textId="77777777" w:rsidR="00061917" w:rsidRPr="00061917" w:rsidRDefault="00061917" w:rsidP="00061917">
      <w:pPr>
        <w:spacing w:after="0" w:line="240" w:lineRule="auto"/>
        <w:ind w:firstLine="567"/>
        <w:jc w:val="both"/>
        <w:rPr>
          <w:rFonts w:ascii="Times New Roman" w:eastAsia="Calibri" w:hAnsi="Times New Roman"/>
          <w:kern w:val="2"/>
          <w:sz w:val="24"/>
          <w:szCs w:val="24"/>
          <w14:ligatures w14:val="standardContextual"/>
        </w:rPr>
      </w:pPr>
      <w:r w:rsidRPr="00061917">
        <w:rPr>
          <w:rFonts w:ascii="Times New Roman" w:eastAsia="Calibri" w:hAnsi="Times New Roman"/>
          <w:kern w:val="2"/>
          <w:sz w:val="24"/>
          <w:szCs w:val="24"/>
          <w14:ligatures w14:val="standardContextual"/>
        </w:rPr>
        <w:t xml:space="preserve">Atbilstoši likuma “Par valsts budžetu 2025. gadam un budžeta ietvaru 2025., 2026. un 2027. gadam” 60. pantam un 61. pantam MK var pieņemt lēmumu par apropriācijas palielinājumu līdzfinansējuma nodrošināšanai ārvalstu filmu uzņemšanai un dižpasākumu organizēšanai. </w:t>
      </w:r>
    </w:p>
    <w:p w14:paraId="28124C7D" w14:textId="2581B912" w:rsidR="00061917" w:rsidRPr="00061917" w:rsidRDefault="00061917" w:rsidP="00061917">
      <w:pPr>
        <w:spacing w:after="0" w:line="240" w:lineRule="auto"/>
        <w:ind w:firstLine="567"/>
        <w:jc w:val="both"/>
        <w:rPr>
          <w:rFonts w:ascii="Times New Roman" w:eastAsia="Calibri" w:hAnsi="Times New Roman"/>
          <w:kern w:val="2"/>
          <w:sz w:val="24"/>
          <w:szCs w:val="24"/>
          <w14:ligatures w14:val="standardContextual"/>
        </w:rPr>
      </w:pPr>
      <w:r w:rsidRPr="00061917">
        <w:rPr>
          <w:rFonts w:ascii="Times New Roman" w:eastAsia="Calibri" w:hAnsi="Times New Roman"/>
          <w:kern w:val="2"/>
          <w:sz w:val="24"/>
          <w:szCs w:val="24"/>
          <w14:ligatures w14:val="standardContextual"/>
        </w:rPr>
        <w:t xml:space="preserve">Kārtību, kādā tiek piešķirts budžeta finansējums ārvalstu filmu uzņemšanai nosaka MK noteikumi Nr.99 “Kārtība, kādā lieliem, nozīmīgiem publiskiem pasākumiem un ārvalstu filmu uzņemšanai Latvijā tiek piešķirts valsts budžeta līdzfinansējums”, kur noteikts, ka līdzfinansējuma apmērs ir 30% no dižpasākuma un ārvalstu filmu projekta īstenošanas kopējām izmaksām Latvijā. </w:t>
      </w:r>
    </w:p>
    <w:p w14:paraId="610D2C14" w14:textId="27497AA1" w:rsidR="00061917" w:rsidRPr="00061917" w:rsidRDefault="00061917" w:rsidP="00061917">
      <w:pPr>
        <w:spacing w:after="0" w:line="240" w:lineRule="auto"/>
        <w:ind w:firstLine="567"/>
        <w:jc w:val="both"/>
        <w:rPr>
          <w:rFonts w:ascii="Times New Roman" w:eastAsia="Calibri" w:hAnsi="Times New Roman"/>
          <w:kern w:val="2"/>
          <w:sz w:val="24"/>
          <w:szCs w:val="24"/>
          <w14:ligatures w14:val="standardContextual"/>
        </w:rPr>
      </w:pPr>
      <w:r w:rsidRPr="00061917">
        <w:rPr>
          <w:rFonts w:ascii="Times New Roman" w:eastAsia="Calibri" w:hAnsi="Times New Roman"/>
          <w:kern w:val="2"/>
          <w:sz w:val="24"/>
          <w:szCs w:val="24"/>
          <w14:ligatures w14:val="standardContextual"/>
        </w:rPr>
        <w:t xml:space="preserve">Likumā iestrādātais mehānisms balstījās priekšlikuma autoru prezentētajā versijā, kur ar minēto mehānismu bija plānots atrisināt situāciju, kad Latvijai tiek piedāvāts liela mēroga projekts </w:t>
      </w:r>
      <w:r w:rsidR="00970AEB">
        <w:rPr>
          <w:rFonts w:ascii="Times New Roman" w:eastAsia="Calibri" w:hAnsi="Times New Roman"/>
          <w:kern w:val="2"/>
          <w:sz w:val="24"/>
          <w:szCs w:val="24"/>
          <w14:ligatures w14:val="standardContextual"/>
        </w:rPr>
        <w:t xml:space="preserve">ārvalstu </w:t>
      </w:r>
      <w:r w:rsidRPr="00061917">
        <w:rPr>
          <w:rFonts w:ascii="Times New Roman" w:eastAsia="Calibri" w:hAnsi="Times New Roman"/>
          <w:kern w:val="2"/>
          <w:sz w:val="24"/>
          <w:szCs w:val="24"/>
          <w14:ligatures w14:val="standardContextual"/>
        </w:rPr>
        <w:t>filmas uzņemšanā vai dižpasākuma īstenošanā, kas iepriekš nebija plānots un attiecīgi valsts atbalsta izdevumi šim pasākumam netika budžetā plānoti. Arguments par nepieciešamību šādu piedāvājumu pieņemt balstījās premisā, ka pasākuma īstenošana ģenerēs papildus IKP un attiecīgi papildus ieņēmumus budžetā, kas pārsniegs valsts atbalstu.</w:t>
      </w:r>
    </w:p>
    <w:p w14:paraId="5160DED8" w14:textId="3A071C6B" w:rsidR="00061917" w:rsidRPr="00061917" w:rsidRDefault="00061917" w:rsidP="00061917">
      <w:pPr>
        <w:spacing w:after="0" w:line="240" w:lineRule="auto"/>
        <w:ind w:firstLine="567"/>
        <w:jc w:val="both"/>
        <w:rPr>
          <w:rFonts w:ascii="Times New Roman" w:eastAsia="Calibri" w:hAnsi="Times New Roman"/>
          <w:kern w:val="2"/>
          <w:sz w:val="24"/>
          <w:szCs w:val="24"/>
          <w14:ligatures w14:val="standardContextual"/>
        </w:rPr>
      </w:pPr>
      <w:r w:rsidRPr="00061917">
        <w:rPr>
          <w:rFonts w:ascii="Times New Roman" w:eastAsia="Calibri" w:hAnsi="Times New Roman"/>
          <w:kern w:val="2"/>
          <w:sz w:val="24"/>
          <w:szCs w:val="24"/>
          <w14:ligatures w14:val="standardContextual"/>
        </w:rPr>
        <w:t xml:space="preserve">Šāda pieeja ir pamatota gadījumā, ja projekts ir tik apjomīgs, ka rada izmaiņas IKP un tā ietekme uz IKP nevar būt jau ņemta vērā </w:t>
      </w:r>
      <w:r w:rsidR="00002D28" w:rsidRPr="00061917">
        <w:rPr>
          <w:rFonts w:ascii="Times New Roman" w:eastAsia="Calibri" w:hAnsi="Times New Roman"/>
          <w:kern w:val="2"/>
          <w:sz w:val="24"/>
          <w:szCs w:val="24"/>
          <w14:ligatures w14:val="standardContextual"/>
        </w:rPr>
        <w:t>makroekonomiskajās</w:t>
      </w:r>
      <w:r w:rsidRPr="00061917">
        <w:rPr>
          <w:rFonts w:ascii="Times New Roman" w:eastAsia="Calibri" w:hAnsi="Times New Roman"/>
          <w:kern w:val="2"/>
          <w:sz w:val="24"/>
          <w:szCs w:val="24"/>
          <w14:ligatures w14:val="standardContextual"/>
        </w:rPr>
        <w:t xml:space="preserve"> prognozēs. Faktiski tas attiecas uz priekšlikumiem, kas varētu nākt reti – reizi 5-10 gados un vērā ietekmēt Latvijas ekonomiku attiecīgajā gadā. Šajā gadījumā piedāvājuma pieņemšana ir uzskatāms par fiskālo risku – pozitīvais efekts no papildus ieņēmumiem no augstāka IKP var nekompensēt negatīvo fiskālo ietekmi no apropriācijas palielinājuma, radot negatīvu ietekmi uz bilanci.</w:t>
      </w:r>
    </w:p>
    <w:p w14:paraId="0C51EDAC" w14:textId="2DB3F81B" w:rsidR="00061917" w:rsidRPr="00061917" w:rsidRDefault="00061917" w:rsidP="00061917">
      <w:pPr>
        <w:spacing w:after="0" w:line="240" w:lineRule="auto"/>
        <w:ind w:firstLine="567"/>
        <w:jc w:val="both"/>
        <w:rPr>
          <w:rFonts w:ascii="Times New Roman" w:eastAsia="Calibri" w:hAnsi="Times New Roman"/>
          <w:kern w:val="2"/>
          <w:sz w:val="24"/>
          <w:szCs w:val="24"/>
          <w14:ligatures w14:val="standardContextual"/>
        </w:rPr>
      </w:pPr>
      <w:r w:rsidRPr="00061917">
        <w:rPr>
          <w:rFonts w:ascii="Times New Roman" w:eastAsia="Calibri" w:hAnsi="Times New Roman"/>
          <w:kern w:val="2"/>
          <w:sz w:val="24"/>
          <w:szCs w:val="24"/>
          <w14:ligatures w14:val="standardContextual"/>
        </w:rPr>
        <w:t>Jāatzīmē, ka faktiskā priekšlikuma realizācija ir būtiski atšķirīga no augstāk minētā redzējuma. Faktiski 2025. gadā tika pieteikt</w:t>
      </w:r>
      <w:r w:rsidR="000D01D6">
        <w:rPr>
          <w:rFonts w:ascii="Times New Roman" w:eastAsia="Calibri" w:hAnsi="Times New Roman"/>
          <w:kern w:val="2"/>
          <w:sz w:val="24"/>
          <w:szCs w:val="24"/>
          <w14:ligatures w14:val="standardContextual"/>
        </w:rPr>
        <w:t>a</w:t>
      </w:r>
      <w:r w:rsidRPr="00061917">
        <w:rPr>
          <w:rFonts w:ascii="Times New Roman" w:eastAsia="Calibri" w:hAnsi="Times New Roman"/>
          <w:kern w:val="2"/>
          <w:sz w:val="24"/>
          <w:szCs w:val="24"/>
          <w14:ligatures w14:val="standardContextual"/>
        </w:rPr>
        <w:t xml:space="preserve"> virkne filmu un pasākumu finansēšanai no minētā mehānisma. Līdzīgi plānots rīkoties arī turpmākajos gados. Piedāvātais mehānisms tiek izmantots kā papildus finansējuma avots filmu uzņemšanai un pasākumu īstenošanai, jo budžetā finansējums ir mazāks, kā pieprasījums. </w:t>
      </w:r>
    </w:p>
    <w:p w14:paraId="3E1793DC" w14:textId="32090795" w:rsidR="00061917" w:rsidRPr="00061917" w:rsidRDefault="00061917" w:rsidP="00061917">
      <w:pPr>
        <w:spacing w:after="0" w:line="240" w:lineRule="auto"/>
        <w:ind w:firstLine="567"/>
        <w:jc w:val="both"/>
        <w:rPr>
          <w:rFonts w:ascii="Times New Roman" w:eastAsia="Calibri" w:hAnsi="Times New Roman"/>
          <w:kern w:val="2"/>
          <w:sz w:val="24"/>
          <w:szCs w:val="24"/>
          <w14:ligatures w14:val="standardContextual"/>
        </w:rPr>
      </w:pPr>
      <w:r w:rsidRPr="00061917">
        <w:rPr>
          <w:rFonts w:ascii="Times New Roman" w:eastAsia="Calibri" w:hAnsi="Times New Roman"/>
          <w:kern w:val="2"/>
          <w:sz w:val="24"/>
          <w:szCs w:val="24"/>
          <w14:ligatures w14:val="standardContextual"/>
        </w:rPr>
        <w:t>Makroekonomiskās prognozes tiek izstrādātas balstoties uz iepriekšējo gadu makroekonomiskajiem rādītājiem un prognozētajām makro</w:t>
      </w:r>
      <w:r w:rsidR="006210F5">
        <w:rPr>
          <w:rFonts w:ascii="Times New Roman" w:eastAsia="Calibri" w:hAnsi="Times New Roman"/>
          <w:kern w:val="2"/>
          <w:sz w:val="24"/>
          <w:szCs w:val="24"/>
          <w14:ligatures w14:val="standardContextual"/>
        </w:rPr>
        <w:t>ekonomikas</w:t>
      </w:r>
      <w:r w:rsidRPr="00061917">
        <w:rPr>
          <w:rFonts w:ascii="Times New Roman" w:eastAsia="Calibri" w:hAnsi="Times New Roman"/>
          <w:kern w:val="2"/>
          <w:sz w:val="24"/>
          <w:szCs w:val="24"/>
          <w14:ligatures w14:val="standardContextual"/>
        </w:rPr>
        <w:t xml:space="preserve"> rādītāju izmaiņām (inflācija, nodarbinātība, eksports, imports, produktivitāte u.c.)</w:t>
      </w:r>
      <w:r w:rsidR="00C150DD">
        <w:rPr>
          <w:rFonts w:ascii="Times New Roman" w:eastAsia="Calibri" w:hAnsi="Times New Roman"/>
          <w:kern w:val="2"/>
          <w:sz w:val="24"/>
          <w:szCs w:val="24"/>
          <w14:ligatures w14:val="standardContextual"/>
        </w:rPr>
        <w:t>.</w:t>
      </w:r>
      <w:r w:rsidRPr="00061917">
        <w:rPr>
          <w:rFonts w:ascii="Times New Roman" w:eastAsia="Calibri" w:hAnsi="Times New Roman"/>
          <w:kern w:val="2"/>
          <w:sz w:val="24"/>
          <w:szCs w:val="24"/>
          <w14:ligatures w14:val="standardContextual"/>
        </w:rPr>
        <w:t xml:space="preserve"> Atsevišķi mikrolīmeņa notikumi, tai skaitā lielāks vai mazāks skaits īstenoto pasākumu un uzņemto filmu šīs makroekonomiskās prognozes nemaina. </w:t>
      </w:r>
    </w:p>
    <w:p w14:paraId="2990377D" w14:textId="5FBB1122" w:rsidR="00061917" w:rsidRPr="00061917" w:rsidRDefault="00061917" w:rsidP="00061917">
      <w:pPr>
        <w:spacing w:after="0" w:line="240" w:lineRule="auto"/>
        <w:ind w:firstLine="567"/>
        <w:jc w:val="both"/>
        <w:rPr>
          <w:rFonts w:ascii="Times New Roman" w:eastAsia="Calibri" w:hAnsi="Times New Roman"/>
          <w:kern w:val="2"/>
          <w:sz w:val="24"/>
          <w:szCs w:val="24"/>
          <w14:ligatures w14:val="standardContextual"/>
        </w:rPr>
      </w:pPr>
      <w:r w:rsidRPr="00061917">
        <w:rPr>
          <w:rFonts w:ascii="Times New Roman" w:eastAsia="Calibri" w:hAnsi="Times New Roman"/>
          <w:kern w:val="2"/>
          <w:sz w:val="24"/>
          <w:szCs w:val="24"/>
          <w14:ligatures w14:val="standardContextual"/>
        </w:rPr>
        <w:t>Ņemot vērā minēto, jākonstatē, ka 2026.</w:t>
      </w:r>
      <w:r w:rsidR="00E112E2">
        <w:rPr>
          <w:rFonts w:ascii="Times New Roman" w:eastAsia="Calibri" w:hAnsi="Times New Roman"/>
          <w:kern w:val="2"/>
          <w:sz w:val="24"/>
          <w:szCs w:val="24"/>
          <w14:ligatures w14:val="standardContextual"/>
        </w:rPr>
        <w:t>,</w:t>
      </w:r>
      <w:r w:rsidRPr="00061917">
        <w:rPr>
          <w:rFonts w:ascii="Times New Roman" w:eastAsia="Calibri" w:hAnsi="Times New Roman"/>
          <w:kern w:val="2"/>
          <w:sz w:val="24"/>
          <w:szCs w:val="24"/>
          <w14:ligatures w14:val="standardContextual"/>
        </w:rPr>
        <w:t xml:space="preserve"> 2027. un 2028. gad</w:t>
      </w:r>
      <w:r w:rsidR="00E112E2">
        <w:rPr>
          <w:rFonts w:ascii="Times New Roman" w:eastAsia="Calibri" w:hAnsi="Times New Roman"/>
          <w:kern w:val="2"/>
          <w:sz w:val="24"/>
          <w:szCs w:val="24"/>
          <w14:ligatures w14:val="standardContextual"/>
        </w:rPr>
        <w:t>ā</w:t>
      </w:r>
      <w:r w:rsidRPr="00061917">
        <w:rPr>
          <w:rFonts w:ascii="Times New Roman" w:eastAsia="Calibri" w:hAnsi="Times New Roman"/>
          <w:kern w:val="2"/>
          <w:sz w:val="24"/>
          <w:szCs w:val="24"/>
          <w14:ligatures w14:val="standardContextual"/>
        </w:rPr>
        <w:t xml:space="preserve"> iespējams novērtēt</w:t>
      </w:r>
      <w:r w:rsidR="009D7075">
        <w:rPr>
          <w:rFonts w:ascii="Times New Roman" w:eastAsia="Calibri" w:hAnsi="Times New Roman"/>
          <w:kern w:val="2"/>
          <w:sz w:val="24"/>
          <w:szCs w:val="24"/>
          <w14:ligatures w14:val="standardContextual"/>
        </w:rPr>
        <w:t xml:space="preserve">, </w:t>
      </w:r>
      <w:r w:rsidRPr="00061917">
        <w:rPr>
          <w:rFonts w:ascii="Times New Roman" w:eastAsia="Calibri" w:hAnsi="Times New Roman"/>
          <w:kern w:val="2"/>
          <w:sz w:val="24"/>
          <w:szCs w:val="24"/>
          <w14:ligatures w14:val="standardContextual"/>
        </w:rPr>
        <w:t xml:space="preserve">ka apropriācija filmu uzņemšanai un dižpasākumu īstenošanai tiks palielināta un tas tiks izdarīts </w:t>
      </w:r>
      <w:r w:rsidR="009D7075">
        <w:rPr>
          <w:rFonts w:ascii="Times New Roman" w:eastAsia="Calibri" w:hAnsi="Times New Roman"/>
          <w:kern w:val="2"/>
          <w:sz w:val="24"/>
          <w:szCs w:val="24"/>
          <w14:ligatures w14:val="standardContextual"/>
        </w:rPr>
        <w:t>tādā pašā apjomā</w:t>
      </w:r>
      <w:r w:rsidR="004E162A">
        <w:rPr>
          <w:rFonts w:ascii="Times New Roman" w:eastAsia="Calibri" w:hAnsi="Times New Roman"/>
          <w:kern w:val="2"/>
          <w:sz w:val="24"/>
          <w:szCs w:val="24"/>
          <w14:ligatures w14:val="standardContextual"/>
        </w:rPr>
        <w:t xml:space="preserve"> % no IKP</w:t>
      </w:r>
      <w:r w:rsidR="009D7075">
        <w:rPr>
          <w:rFonts w:ascii="Times New Roman" w:eastAsia="Calibri" w:hAnsi="Times New Roman"/>
          <w:kern w:val="2"/>
          <w:sz w:val="24"/>
          <w:szCs w:val="24"/>
          <w14:ligatures w14:val="standardContextual"/>
        </w:rPr>
        <w:t xml:space="preserve"> kā 2025. gadā.</w:t>
      </w:r>
    </w:p>
    <w:p w14:paraId="3DA31C1B" w14:textId="27456FEE" w:rsidR="005D23B1" w:rsidRDefault="00834281" w:rsidP="006210F5">
      <w:pPr>
        <w:spacing w:after="0" w:line="240" w:lineRule="auto"/>
        <w:ind w:firstLine="567"/>
        <w:jc w:val="both"/>
        <w:rPr>
          <w:rFonts w:ascii="Times New Roman" w:eastAsia="Calibri" w:hAnsi="Times New Roman"/>
          <w:kern w:val="2"/>
          <w:sz w:val="24"/>
          <w:szCs w:val="24"/>
          <w14:ligatures w14:val="standardContextual"/>
        </w:rPr>
      </w:pPr>
      <w:r w:rsidRPr="00061917">
        <w:rPr>
          <w:rFonts w:ascii="Times New Roman" w:eastAsia="Calibri" w:hAnsi="Times New Roman"/>
          <w:kern w:val="2"/>
          <w:sz w:val="24"/>
          <w:szCs w:val="24"/>
          <w14:ligatures w14:val="standardContextual"/>
        </w:rPr>
        <w:t>Atbilstoši likuma “Par valsts budžetu 2025. gadam un budžeta ietvaru 2025., 2026. un 2027. gadam”</w:t>
      </w:r>
      <w:r>
        <w:rPr>
          <w:rFonts w:ascii="Times New Roman" w:eastAsia="Calibri" w:hAnsi="Times New Roman"/>
          <w:kern w:val="2"/>
          <w:sz w:val="24"/>
          <w:szCs w:val="24"/>
          <w14:ligatures w14:val="standardContextual"/>
        </w:rPr>
        <w:t xml:space="preserve"> 62. pantam </w:t>
      </w:r>
      <w:r w:rsidRPr="00061917">
        <w:rPr>
          <w:rFonts w:ascii="Times New Roman" w:eastAsia="Calibri" w:hAnsi="Times New Roman"/>
          <w:kern w:val="2"/>
          <w:sz w:val="24"/>
          <w:szCs w:val="24"/>
          <w14:ligatures w14:val="standardContextual"/>
        </w:rPr>
        <w:t>apropriācijas palielinājum</w:t>
      </w:r>
      <w:r>
        <w:rPr>
          <w:rFonts w:ascii="Times New Roman" w:eastAsia="Calibri" w:hAnsi="Times New Roman"/>
          <w:kern w:val="2"/>
          <w:sz w:val="24"/>
          <w:szCs w:val="24"/>
          <w14:ligatures w14:val="standardContextual"/>
        </w:rPr>
        <w:t>s</w:t>
      </w:r>
      <w:r w:rsidRPr="00061917">
        <w:rPr>
          <w:rFonts w:ascii="Times New Roman" w:eastAsia="Calibri" w:hAnsi="Times New Roman"/>
          <w:kern w:val="2"/>
          <w:sz w:val="24"/>
          <w:szCs w:val="24"/>
          <w14:ligatures w14:val="standardContextual"/>
        </w:rPr>
        <w:t xml:space="preserve"> līdzfinansējuma nodrošināšanai ārvalstu filmu uzņemšanai un dižpasākumu organizēšanai</w:t>
      </w:r>
      <w:r>
        <w:rPr>
          <w:rFonts w:ascii="Times New Roman" w:eastAsia="Calibri" w:hAnsi="Times New Roman"/>
          <w:kern w:val="2"/>
          <w:sz w:val="24"/>
          <w:szCs w:val="24"/>
          <w14:ligatures w14:val="standardContextual"/>
        </w:rPr>
        <w:t xml:space="preserve"> nedrīkst pārsniegt 15% no attiecīgā gada fiskālā nodrošinājuma rezerve</w:t>
      </w:r>
      <w:r w:rsidR="00C9368A">
        <w:rPr>
          <w:rFonts w:ascii="Times New Roman" w:eastAsia="Calibri" w:hAnsi="Times New Roman"/>
          <w:kern w:val="2"/>
          <w:sz w:val="24"/>
          <w:szCs w:val="24"/>
          <w14:ligatures w14:val="standardContextual"/>
        </w:rPr>
        <w:t>s,</w:t>
      </w:r>
      <w:r w:rsidR="000076DA">
        <w:rPr>
          <w:rFonts w:ascii="Times New Roman" w:eastAsia="Calibri" w:hAnsi="Times New Roman"/>
          <w:kern w:val="2"/>
          <w:sz w:val="24"/>
          <w:szCs w:val="24"/>
          <w14:ligatures w14:val="standardContextual"/>
        </w:rPr>
        <w:t xml:space="preserve"> kas tika noteikta 0,1% no IKP apmērā.</w:t>
      </w:r>
      <w:r w:rsidR="00C9368A">
        <w:rPr>
          <w:rFonts w:ascii="Times New Roman" w:eastAsia="Calibri" w:hAnsi="Times New Roman"/>
          <w:kern w:val="2"/>
          <w:sz w:val="24"/>
          <w:szCs w:val="24"/>
          <w14:ligatures w14:val="standardContextual"/>
        </w:rPr>
        <w:t xml:space="preserve"> </w:t>
      </w:r>
      <w:r w:rsidR="009D7075">
        <w:rPr>
          <w:rFonts w:ascii="Times New Roman" w:eastAsia="Calibri" w:hAnsi="Times New Roman"/>
          <w:kern w:val="2"/>
          <w:sz w:val="24"/>
          <w:szCs w:val="24"/>
          <w14:ligatures w14:val="standardContextual"/>
        </w:rPr>
        <w:t xml:space="preserve">Jau </w:t>
      </w:r>
      <w:r w:rsidR="00C9368A">
        <w:rPr>
          <w:rFonts w:ascii="Times New Roman" w:eastAsia="Calibri" w:hAnsi="Times New Roman"/>
          <w:kern w:val="2"/>
          <w:sz w:val="24"/>
          <w:szCs w:val="24"/>
          <w14:ligatures w14:val="standardContextual"/>
        </w:rPr>
        <w:t>2025. gada 3. jūnija MK sēdē tika apstiprināts rīkojums par apropriācijas palielināšanu</w:t>
      </w:r>
      <w:r w:rsidR="00C9368A">
        <w:rPr>
          <w:rStyle w:val="FootnoteReference"/>
          <w:rFonts w:ascii="Times New Roman" w:eastAsia="Calibri" w:hAnsi="Times New Roman"/>
          <w:kern w:val="2"/>
          <w:sz w:val="24"/>
          <w:szCs w:val="24"/>
          <w14:ligatures w14:val="standardContextual"/>
        </w:rPr>
        <w:footnoteReference w:id="32"/>
      </w:r>
      <w:r w:rsidR="00C9368A">
        <w:rPr>
          <w:rFonts w:ascii="Times New Roman" w:eastAsia="Calibri" w:hAnsi="Times New Roman"/>
          <w:kern w:val="2"/>
          <w:sz w:val="24"/>
          <w:szCs w:val="24"/>
          <w14:ligatures w14:val="standardContextual"/>
        </w:rPr>
        <w:t>, kas paredz palielināt</w:t>
      </w:r>
      <w:r w:rsidR="00BA25FF">
        <w:rPr>
          <w:rFonts w:ascii="Times New Roman" w:eastAsia="Calibri" w:hAnsi="Times New Roman"/>
          <w:kern w:val="2"/>
          <w:sz w:val="24"/>
          <w:szCs w:val="24"/>
          <w14:ligatures w14:val="standardContextual"/>
        </w:rPr>
        <w:t xml:space="preserve"> apropriāciju 2025. gadā 4 228 597 </w:t>
      </w:r>
      <w:r w:rsidR="00BA25FF" w:rsidRPr="003D7001">
        <w:rPr>
          <w:rFonts w:ascii="Times New Roman" w:eastAsia="Calibri" w:hAnsi="Times New Roman"/>
          <w:i/>
          <w:iCs/>
          <w:kern w:val="2"/>
          <w:sz w:val="24"/>
          <w:szCs w:val="24"/>
          <w14:ligatures w14:val="standardContextual"/>
        </w:rPr>
        <w:t>euro</w:t>
      </w:r>
      <w:r w:rsidR="00BA25FF">
        <w:rPr>
          <w:rFonts w:ascii="Times New Roman" w:eastAsia="Calibri" w:hAnsi="Times New Roman"/>
          <w:kern w:val="2"/>
          <w:sz w:val="24"/>
          <w:szCs w:val="24"/>
          <w14:ligatures w14:val="standardContextual"/>
        </w:rPr>
        <w:t xml:space="preserve"> apmērā jeb 0,0101% no IKP, kā arī</w:t>
      </w:r>
      <w:r w:rsidR="00F2779F">
        <w:rPr>
          <w:rFonts w:ascii="Times New Roman" w:eastAsia="Calibri" w:hAnsi="Times New Roman"/>
          <w:kern w:val="2"/>
          <w:sz w:val="24"/>
          <w:szCs w:val="24"/>
          <w14:ligatures w14:val="standardContextual"/>
        </w:rPr>
        <w:t xml:space="preserve"> atļauj uzņemties</w:t>
      </w:r>
      <w:r w:rsidR="00C9368A">
        <w:rPr>
          <w:rFonts w:ascii="Times New Roman" w:eastAsia="Calibri" w:hAnsi="Times New Roman"/>
          <w:kern w:val="2"/>
          <w:sz w:val="24"/>
          <w:szCs w:val="24"/>
          <w14:ligatures w14:val="standardContextual"/>
        </w:rPr>
        <w:t xml:space="preserve"> ilgtermiņa saistības 2026. gadā 1 125 257 </w:t>
      </w:r>
      <w:r w:rsidR="00C9368A" w:rsidRPr="00970AEB">
        <w:rPr>
          <w:rFonts w:ascii="Times New Roman" w:eastAsia="Calibri" w:hAnsi="Times New Roman"/>
          <w:i/>
          <w:iCs/>
          <w:kern w:val="2"/>
          <w:sz w:val="24"/>
          <w:szCs w:val="24"/>
          <w14:ligatures w14:val="standardContextual"/>
        </w:rPr>
        <w:t>euro</w:t>
      </w:r>
      <w:r w:rsidR="00C9368A">
        <w:rPr>
          <w:rFonts w:ascii="Times New Roman" w:eastAsia="Calibri" w:hAnsi="Times New Roman"/>
          <w:kern w:val="2"/>
          <w:sz w:val="24"/>
          <w:szCs w:val="24"/>
          <w14:ligatures w14:val="standardContextual"/>
        </w:rPr>
        <w:t xml:space="preserve"> apmērā</w:t>
      </w:r>
      <w:r w:rsidR="000076DA">
        <w:rPr>
          <w:rFonts w:ascii="Times New Roman" w:eastAsia="Calibri" w:hAnsi="Times New Roman"/>
          <w:kern w:val="2"/>
          <w:sz w:val="24"/>
          <w:szCs w:val="24"/>
          <w14:ligatures w14:val="standardContextual"/>
        </w:rPr>
        <w:t xml:space="preserve"> jeb 0,0026% no IKP</w:t>
      </w:r>
      <w:r w:rsidR="00C9368A">
        <w:rPr>
          <w:rFonts w:ascii="Times New Roman" w:eastAsia="Calibri" w:hAnsi="Times New Roman"/>
          <w:kern w:val="2"/>
          <w:sz w:val="24"/>
          <w:szCs w:val="24"/>
          <w14:ligatures w14:val="standardContextual"/>
        </w:rPr>
        <w:t xml:space="preserve"> un 2027. gadā 273 000 </w:t>
      </w:r>
      <w:r w:rsidR="00C9368A" w:rsidRPr="00970AEB">
        <w:rPr>
          <w:rFonts w:ascii="Times New Roman" w:eastAsia="Calibri" w:hAnsi="Times New Roman"/>
          <w:i/>
          <w:iCs/>
          <w:kern w:val="2"/>
          <w:sz w:val="24"/>
          <w:szCs w:val="24"/>
          <w14:ligatures w14:val="standardContextual"/>
        </w:rPr>
        <w:t>euro</w:t>
      </w:r>
      <w:r w:rsidR="00C9368A">
        <w:rPr>
          <w:rFonts w:ascii="Times New Roman" w:eastAsia="Calibri" w:hAnsi="Times New Roman"/>
          <w:kern w:val="2"/>
          <w:sz w:val="24"/>
          <w:szCs w:val="24"/>
          <w14:ligatures w14:val="standardContextual"/>
        </w:rPr>
        <w:t xml:space="preserve"> apmērā</w:t>
      </w:r>
      <w:r w:rsidR="000076DA">
        <w:rPr>
          <w:rFonts w:ascii="Times New Roman" w:eastAsia="Calibri" w:hAnsi="Times New Roman"/>
          <w:kern w:val="2"/>
          <w:sz w:val="24"/>
          <w:szCs w:val="24"/>
          <w14:ligatures w14:val="standardContextual"/>
        </w:rPr>
        <w:t xml:space="preserve"> jeb 0,0006% no IKP</w:t>
      </w:r>
      <w:r w:rsidR="00C9368A">
        <w:rPr>
          <w:rFonts w:ascii="Times New Roman" w:eastAsia="Calibri" w:hAnsi="Times New Roman"/>
          <w:kern w:val="2"/>
          <w:sz w:val="24"/>
          <w:szCs w:val="24"/>
          <w14:ligatures w14:val="standardContextual"/>
        </w:rPr>
        <w:t>, lai nodrošinātu valsts budžeta līdzfinansējumu dižpasākumu organizēšanai un ārvalstu filmu uzņemšanai Latvijā</w:t>
      </w:r>
      <w:r w:rsidR="000076DA">
        <w:rPr>
          <w:rFonts w:ascii="Times New Roman" w:eastAsia="Calibri" w:hAnsi="Times New Roman"/>
          <w:kern w:val="2"/>
          <w:sz w:val="24"/>
          <w:szCs w:val="24"/>
          <w14:ligatures w14:val="standardContextual"/>
        </w:rPr>
        <w:t xml:space="preserve">. </w:t>
      </w:r>
      <w:r w:rsidR="000076DA" w:rsidRPr="00970AEB">
        <w:rPr>
          <w:rFonts w:ascii="Times New Roman" w:eastAsia="Calibri" w:hAnsi="Times New Roman"/>
          <w:b/>
          <w:bCs/>
          <w:kern w:val="2"/>
          <w:sz w:val="24"/>
          <w:szCs w:val="24"/>
          <w14:ligatures w14:val="standardContextual"/>
        </w:rPr>
        <w:t>Tādējādi</w:t>
      </w:r>
      <w:r w:rsidR="00BA25FF">
        <w:rPr>
          <w:rFonts w:ascii="Times New Roman" w:eastAsia="Calibri" w:hAnsi="Times New Roman"/>
          <w:b/>
          <w:bCs/>
          <w:kern w:val="2"/>
          <w:sz w:val="24"/>
          <w:szCs w:val="24"/>
          <w14:ligatures w14:val="standardContextual"/>
        </w:rPr>
        <w:t xml:space="preserve"> </w:t>
      </w:r>
      <w:r w:rsidR="000076DA" w:rsidRPr="00970AEB">
        <w:rPr>
          <w:rFonts w:ascii="Times New Roman" w:eastAsia="Calibri" w:hAnsi="Times New Roman"/>
          <w:b/>
          <w:bCs/>
          <w:kern w:val="2"/>
          <w:sz w:val="24"/>
          <w:szCs w:val="24"/>
          <w14:ligatures w14:val="standardContextual"/>
        </w:rPr>
        <w:t xml:space="preserve">fiskālā nodrošinājuma rezerve, </w:t>
      </w:r>
      <w:r w:rsidR="000076DA" w:rsidRPr="003D7001">
        <w:rPr>
          <w:rFonts w:ascii="Times New Roman" w:eastAsia="Calibri" w:hAnsi="Times New Roman"/>
          <w:kern w:val="2"/>
          <w:sz w:val="24"/>
          <w:szCs w:val="24"/>
          <w14:ligatures w14:val="standardContextual"/>
        </w:rPr>
        <w:t xml:space="preserve">kas tiek </w:t>
      </w:r>
      <w:r w:rsidR="00BA25FF" w:rsidRPr="003D7001">
        <w:rPr>
          <w:rFonts w:ascii="Times New Roman" w:eastAsia="Calibri" w:hAnsi="Times New Roman"/>
          <w:kern w:val="2"/>
          <w:sz w:val="24"/>
          <w:szCs w:val="24"/>
          <w14:ligatures w14:val="standardContextual"/>
        </w:rPr>
        <w:t>noteikta</w:t>
      </w:r>
      <w:r w:rsidR="000076DA" w:rsidRPr="003D7001">
        <w:rPr>
          <w:rFonts w:ascii="Times New Roman" w:eastAsia="Calibri" w:hAnsi="Times New Roman"/>
          <w:kern w:val="2"/>
          <w:sz w:val="24"/>
          <w:szCs w:val="24"/>
          <w14:ligatures w14:val="standardContextual"/>
        </w:rPr>
        <w:t xml:space="preserve">, </w:t>
      </w:r>
      <w:r w:rsidR="000076DA" w:rsidRPr="00F2779F">
        <w:rPr>
          <w:rFonts w:ascii="Times New Roman" w:eastAsia="Calibri" w:hAnsi="Times New Roman"/>
          <w:b/>
          <w:bCs/>
          <w:kern w:val="2"/>
          <w:sz w:val="24"/>
          <w:szCs w:val="24"/>
          <w14:ligatures w14:val="standardContextual"/>
        </w:rPr>
        <w:t>lai</w:t>
      </w:r>
      <w:r w:rsidR="000076DA" w:rsidRPr="003D7001">
        <w:rPr>
          <w:rFonts w:ascii="Times New Roman" w:eastAsia="Calibri" w:hAnsi="Times New Roman"/>
          <w:kern w:val="2"/>
          <w:sz w:val="24"/>
          <w:szCs w:val="24"/>
          <w14:ligatures w14:val="standardContextual"/>
        </w:rPr>
        <w:t xml:space="preserve"> </w:t>
      </w:r>
      <w:r w:rsidR="00F2779F" w:rsidRPr="003D7001">
        <w:rPr>
          <w:rFonts w:ascii="Times New Roman" w:eastAsia="Calibri" w:hAnsi="Times New Roman"/>
          <w:kern w:val="2"/>
          <w:sz w:val="24"/>
          <w:szCs w:val="24"/>
          <w14:ligatures w14:val="standardContextual"/>
        </w:rPr>
        <w:t>atbilstoši</w:t>
      </w:r>
      <w:r w:rsidR="00F2779F">
        <w:rPr>
          <w:rFonts w:ascii="Times New Roman" w:eastAsia="Calibri" w:hAnsi="Times New Roman"/>
          <w:b/>
          <w:bCs/>
          <w:kern w:val="2"/>
          <w:sz w:val="24"/>
          <w:szCs w:val="24"/>
          <w14:ligatures w14:val="standardContextual"/>
        </w:rPr>
        <w:t xml:space="preserve"> </w:t>
      </w:r>
      <w:r w:rsidR="00F2779F" w:rsidRPr="00061917">
        <w:rPr>
          <w:rFonts w:ascii="Times New Roman" w:eastAsia="Calibri" w:hAnsi="Times New Roman"/>
          <w:kern w:val="2"/>
          <w:sz w:val="24"/>
          <w:szCs w:val="24"/>
          <w14:ligatures w14:val="standardContextual"/>
        </w:rPr>
        <w:t>likuma “Par valsts budžetu 2025. gadam un budžeta ietvaru 2025., 2026. un 2027. gadam” 60. pantam un 61. pantam</w:t>
      </w:r>
      <w:r w:rsidR="00F2779F" w:rsidRPr="00970AEB">
        <w:rPr>
          <w:rFonts w:ascii="Times New Roman" w:eastAsia="Calibri" w:hAnsi="Times New Roman"/>
          <w:b/>
          <w:bCs/>
          <w:kern w:val="2"/>
          <w:sz w:val="24"/>
          <w:szCs w:val="24"/>
          <w14:ligatures w14:val="standardContextual"/>
        </w:rPr>
        <w:t xml:space="preserve"> </w:t>
      </w:r>
      <w:r w:rsidR="000076DA" w:rsidRPr="00970AEB">
        <w:rPr>
          <w:rFonts w:ascii="Times New Roman" w:eastAsia="Calibri" w:hAnsi="Times New Roman"/>
          <w:b/>
          <w:bCs/>
          <w:kern w:val="2"/>
          <w:sz w:val="24"/>
          <w:szCs w:val="24"/>
          <w14:ligatures w14:val="standardContextual"/>
        </w:rPr>
        <w:t xml:space="preserve">nodrošinātu </w:t>
      </w:r>
      <w:r w:rsidR="00F2779F">
        <w:rPr>
          <w:rFonts w:ascii="Times New Roman" w:eastAsia="Calibri" w:hAnsi="Times New Roman"/>
          <w:b/>
          <w:bCs/>
          <w:kern w:val="2"/>
          <w:sz w:val="24"/>
          <w:szCs w:val="24"/>
          <w14:ligatures w14:val="standardContextual"/>
        </w:rPr>
        <w:t>papildus finansējumu</w:t>
      </w:r>
      <w:r w:rsidR="000076DA" w:rsidRPr="00970AEB">
        <w:rPr>
          <w:rFonts w:ascii="Times New Roman" w:eastAsia="Calibri" w:hAnsi="Times New Roman"/>
          <w:b/>
          <w:bCs/>
          <w:kern w:val="2"/>
          <w:sz w:val="24"/>
          <w:szCs w:val="24"/>
          <w14:ligatures w14:val="standardContextual"/>
        </w:rPr>
        <w:t xml:space="preserve"> dižpasākumu organizēšanai un ārvalstu filmu uzņemšanai Latvijā</w:t>
      </w:r>
      <w:r w:rsidR="00F2779F">
        <w:rPr>
          <w:rFonts w:ascii="Times New Roman" w:eastAsia="Calibri" w:hAnsi="Times New Roman"/>
          <w:b/>
          <w:bCs/>
          <w:kern w:val="2"/>
          <w:sz w:val="24"/>
          <w:szCs w:val="24"/>
          <w14:ligatures w14:val="standardContextual"/>
        </w:rPr>
        <w:t>,</w:t>
      </w:r>
      <w:r w:rsidR="000076DA" w:rsidRPr="00970AEB">
        <w:rPr>
          <w:rFonts w:ascii="Times New Roman" w:eastAsia="Calibri" w:hAnsi="Times New Roman"/>
          <w:b/>
          <w:bCs/>
          <w:kern w:val="2"/>
          <w:sz w:val="24"/>
          <w:szCs w:val="24"/>
          <w14:ligatures w14:val="standardContextual"/>
        </w:rPr>
        <w:t xml:space="preserve"> </w:t>
      </w:r>
      <w:r w:rsidR="00F2779F">
        <w:rPr>
          <w:rFonts w:ascii="Times New Roman" w:eastAsia="Calibri" w:hAnsi="Times New Roman"/>
          <w:b/>
          <w:bCs/>
          <w:kern w:val="2"/>
          <w:sz w:val="24"/>
          <w:szCs w:val="24"/>
          <w14:ligatures w14:val="standardContextual"/>
        </w:rPr>
        <w:t>tiek izveidota 2026.</w:t>
      </w:r>
      <w:r w:rsidR="0036373F">
        <w:rPr>
          <w:rFonts w:ascii="Times New Roman" w:eastAsia="Calibri" w:hAnsi="Times New Roman"/>
          <w:b/>
          <w:bCs/>
          <w:kern w:val="2"/>
          <w:sz w:val="24"/>
          <w:szCs w:val="24"/>
          <w14:ligatures w14:val="standardContextual"/>
        </w:rPr>
        <w:t xml:space="preserve"> – 2028.</w:t>
      </w:r>
      <w:r w:rsidR="00F2779F">
        <w:rPr>
          <w:rFonts w:ascii="Times New Roman" w:eastAsia="Calibri" w:hAnsi="Times New Roman"/>
          <w:b/>
          <w:bCs/>
          <w:kern w:val="2"/>
          <w:sz w:val="24"/>
          <w:szCs w:val="24"/>
          <w14:ligatures w14:val="standardContextual"/>
        </w:rPr>
        <w:t xml:space="preserve"> gadā</w:t>
      </w:r>
      <w:r w:rsidR="00F2779F" w:rsidRPr="00970AEB" w:rsidDel="00F2779F">
        <w:rPr>
          <w:rFonts w:ascii="Times New Roman" w:eastAsia="Calibri" w:hAnsi="Times New Roman"/>
          <w:b/>
          <w:bCs/>
          <w:kern w:val="2"/>
          <w:sz w:val="24"/>
          <w:szCs w:val="24"/>
          <w14:ligatures w14:val="standardContextual"/>
        </w:rPr>
        <w:t xml:space="preserve"> </w:t>
      </w:r>
      <w:r w:rsidR="000076DA" w:rsidRPr="00970AEB">
        <w:rPr>
          <w:rFonts w:ascii="Times New Roman" w:eastAsia="Calibri" w:hAnsi="Times New Roman"/>
          <w:b/>
          <w:bCs/>
          <w:kern w:val="2"/>
          <w:sz w:val="24"/>
          <w:szCs w:val="24"/>
          <w14:ligatures w14:val="standardContextual"/>
        </w:rPr>
        <w:t>0,01% no IKP</w:t>
      </w:r>
      <w:r w:rsidR="00F2779F">
        <w:rPr>
          <w:rFonts w:ascii="Times New Roman" w:eastAsia="Calibri" w:hAnsi="Times New Roman"/>
          <w:b/>
          <w:bCs/>
          <w:kern w:val="2"/>
          <w:sz w:val="24"/>
          <w:szCs w:val="24"/>
          <w14:ligatures w14:val="standardContextual"/>
        </w:rPr>
        <w:t xml:space="preserve"> apmērā </w:t>
      </w:r>
      <w:r w:rsidR="00BA25FF">
        <w:rPr>
          <w:rFonts w:ascii="Times New Roman" w:eastAsia="Calibri" w:hAnsi="Times New Roman"/>
          <w:b/>
          <w:bCs/>
          <w:kern w:val="2"/>
          <w:sz w:val="24"/>
          <w:szCs w:val="24"/>
          <w14:ligatures w14:val="standardContextual"/>
        </w:rPr>
        <w:t>atbilstoši 2025. gada faktiskajiem rezultātiem uz deklarācijas sagatavošanas brīdi</w:t>
      </w:r>
      <w:r w:rsidR="004E162A">
        <w:rPr>
          <w:rFonts w:ascii="Times New Roman" w:eastAsia="Calibri" w:hAnsi="Times New Roman"/>
          <w:b/>
          <w:bCs/>
          <w:kern w:val="2"/>
          <w:sz w:val="24"/>
          <w:szCs w:val="24"/>
          <w14:ligatures w14:val="standardContextual"/>
        </w:rPr>
        <w:t xml:space="preserve">, kas atbilst 4,395 milj. </w:t>
      </w:r>
      <w:r w:rsidR="004E162A" w:rsidRPr="003D7001">
        <w:rPr>
          <w:rFonts w:ascii="Times New Roman" w:eastAsia="Calibri" w:hAnsi="Times New Roman"/>
          <w:b/>
          <w:bCs/>
          <w:i/>
          <w:iCs/>
          <w:kern w:val="2"/>
          <w:sz w:val="24"/>
          <w:szCs w:val="24"/>
          <w14:ligatures w14:val="standardContextual"/>
        </w:rPr>
        <w:t>euro</w:t>
      </w:r>
      <w:r w:rsidR="004E162A">
        <w:rPr>
          <w:rFonts w:ascii="Times New Roman" w:eastAsia="Calibri" w:hAnsi="Times New Roman"/>
          <w:b/>
          <w:bCs/>
          <w:kern w:val="2"/>
          <w:sz w:val="24"/>
          <w:szCs w:val="24"/>
          <w14:ligatures w14:val="standardContextual"/>
        </w:rPr>
        <w:t xml:space="preserve"> 2026. gadā, 4,603 milj. </w:t>
      </w:r>
      <w:r w:rsidR="004E162A" w:rsidRPr="003D7001">
        <w:rPr>
          <w:rFonts w:ascii="Times New Roman" w:eastAsia="Calibri" w:hAnsi="Times New Roman"/>
          <w:b/>
          <w:bCs/>
          <w:i/>
          <w:iCs/>
          <w:kern w:val="2"/>
          <w:sz w:val="24"/>
          <w:szCs w:val="24"/>
          <w14:ligatures w14:val="standardContextual"/>
        </w:rPr>
        <w:t>euro</w:t>
      </w:r>
      <w:r w:rsidR="004E162A">
        <w:rPr>
          <w:rFonts w:ascii="Times New Roman" w:eastAsia="Calibri" w:hAnsi="Times New Roman"/>
          <w:b/>
          <w:bCs/>
          <w:kern w:val="2"/>
          <w:sz w:val="24"/>
          <w:szCs w:val="24"/>
          <w14:ligatures w14:val="standardContextual"/>
        </w:rPr>
        <w:t xml:space="preserve"> 2027. gadā un 4,815 milj. </w:t>
      </w:r>
      <w:r w:rsidR="004E162A" w:rsidRPr="003D7001">
        <w:rPr>
          <w:rFonts w:ascii="Times New Roman" w:eastAsia="Calibri" w:hAnsi="Times New Roman"/>
          <w:b/>
          <w:bCs/>
          <w:i/>
          <w:iCs/>
          <w:kern w:val="2"/>
          <w:sz w:val="24"/>
          <w:szCs w:val="24"/>
          <w14:ligatures w14:val="standardContextual"/>
        </w:rPr>
        <w:t>euro</w:t>
      </w:r>
      <w:r w:rsidR="004E162A">
        <w:rPr>
          <w:rFonts w:ascii="Times New Roman" w:eastAsia="Calibri" w:hAnsi="Times New Roman"/>
          <w:b/>
          <w:bCs/>
          <w:kern w:val="2"/>
          <w:sz w:val="24"/>
          <w:szCs w:val="24"/>
          <w14:ligatures w14:val="standardContextual"/>
        </w:rPr>
        <w:t xml:space="preserve"> 2028. gadā. </w:t>
      </w:r>
    </w:p>
    <w:p w14:paraId="77C9F908" w14:textId="77777777" w:rsidR="006210F5" w:rsidRDefault="006210F5" w:rsidP="006210F5">
      <w:pPr>
        <w:spacing w:after="0" w:line="240" w:lineRule="auto"/>
        <w:ind w:firstLine="567"/>
        <w:jc w:val="both"/>
        <w:rPr>
          <w:rFonts w:ascii="Times New Roman" w:eastAsia="Calibri" w:hAnsi="Times New Roman"/>
          <w:kern w:val="2"/>
          <w:sz w:val="24"/>
          <w:szCs w:val="24"/>
          <w14:ligatures w14:val="standardContextual"/>
        </w:rPr>
      </w:pPr>
    </w:p>
    <w:p w14:paraId="0B5D4BD7" w14:textId="77777777" w:rsidR="005D23B1" w:rsidRDefault="005D23B1" w:rsidP="005D23B1">
      <w:pPr>
        <w:pStyle w:val="Heading2"/>
        <w:numPr>
          <w:ilvl w:val="1"/>
          <w:numId w:val="4"/>
        </w:numPr>
        <w:tabs>
          <w:tab w:val="left" w:pos="851"/>
        </w:tabs>
        <w:spacing w:before="120" w:after="120" w:line="240" w:lineRule="auto"/>
        <w:ind w:left="360" w:hanging="567"/>
        <w:rPr>
          <w:rFonts w:cs="Times New Roman"/>
          <w:color w:val="auto"/>
          <w:szCs w:val="24"/>
        </w:rPr>
      </w:pPr>
      <w:bookmarkStart w:id="90" w:name="_Toc205554420"/>
      <w:r w:rsidRPr="00340519">
        <w:rPr>
          <w:rFonts w:cs="Times New Roman"/>
          <w:color w:val="auto"/>
          <w:szCs w:val="24"/>
        </w:rPr>
        <w:t>Fiskāl</w:t>
      </w:r>
      <w:r>
        <w:rPr>
          <w:rFonts w:cs="Times New Roman"/>
          <w:color w:val="auto"/>
          <w:szCs w:val="24"/>
        </w:rPr>
        <w:t>ais</w:t>
      </w:r>
      <w:r w:rsidRPr="00340519">
        <w:rPr>
          <w:rFonts w:cs="Times New Roman"/>
          <w:color w:val="auto"/>
          <w:szCs w:val="24"/>
        </w:rPr>
        <w:t xml:space="preserve"> risk</w:t>
      </w:r>
      <w:r>
        <w:rPr>
          <w:rFonts w:cs="Times New Roman"/>
          <w:color w:val="auto"/>
          <w:szCs w:val="24"/>
        </w:rPr>
        <w:t>s</w:t>
      </w:r>
      <w:r w:rsidRPr="00340519">
        <w:rPr>
          <w:rFonts w:cs="Times New Roman"/>
          <w:color w:val="auto"/>
          <w:szCs w:val="24"/>
        </w:rPr>
        <w:t xml:space="preserve"> saistībā ar valsts garantijas sistēmu</w:t>
      </w:r>
      <w:bookmarkEnd w:id="90"/>
    </w:p>
    <w:p w14:paraId="2884672F" w14:textId="02F90514" w:rsidR="00431493" w:rsidRDefault="00431493" w:rsidP="00431493">
      <w:pPr>
        <w:spacing w:after="0" w:line="240" w:lineRule="auto"/>
        <w:ind w:firstLine="720"/>
        <w:jc w:val="both"/>
        <w:rPr>
          <w:rFonts w:ascii="Times New Roman" w:eastAsia="Calibri" w:hAnsi="Times New Roman"/>
          <w:kern w:val="2"/>
          <w:sz w:val="24"/>
          <w:szCs w:val="24"/>
          <w14:ligatures w14:val="standardContextual"/>
        </w:rPr>
      </w:pPr>
      <w:r w:rsidRPr="00060A6C">
        <w:rPr>
          <w:rFonts w:ascii="Times New Roman" w:eastAsia="Calibri" w:hAnsi="Times New Roman"/>
          <w:kern w:val="2"/>
          <w:sz w:val="24"/>
          <w:szCs w:val="24"/>
          <w14:ligatures w14:val="standardContextual"/>
        </w:rPr>
        <w:t xml:space="preserve">2025. gada 17. jūnijā MK izskatīja informatīvo ziņojumu </w:t>
      </w:r>
      <w:r>
        <w:rPr>
          <w:rFonts w:ascii="Times New Roman" w:eastAsia="Calibri" w:hAnsi="Times New Roman"/>
          <w:kern w:val="2"/>
          <w:sz w:val="24"/>
          <w:szCs w:val="24"/>
          <w14:ligatures w14:val="standardContextual"/>
        </w:rPr>
        <w:t>“</w:t>
      </w:r>
      <w:r w:rsidRPr="00060A6C">
        <w:rPr>
          <w:rFonts w:ascii="Times New Roman" w:eastAsia="Calibri" w:hAnsi="Times New Roman"/>
          <w:kern w:val="2"/>
          <w:sz w:val="24"/>
          <w:szCs w:val="24"/>
          <w14:ligatures w14:val="standardContextual"/>
        </w:rPr>
        <w:t>Par kārtību, kādā akreditētie valsts muzeji var saņemt valsts garantētu apdrošināšanu starptautisku izstāžu rīkošanai</w:t>
      </w:r>
      <w:r>
        <w:rPr>
          <w:rFonts w:ascii="Times New Roman" w:eastAsia="Calibri" w:hAnsi="Times New Roman"/>
          <w:kern w:val="2"/>
          <w:sz w:val="24"/>
          <w:szCs w:val="24"/>
          <w14:ligatures w14:val="standardContextual"/>
        </w:rPr>
        <w:t>”</w:t>
      </w:r>
      <w:r w:rsidRPr="00060A6C">
        <w:rPr>
          <w:rFonts w:ascii="Times New Roman" w:eastAsia="Calibri" w:hAnsi="Times New Roman"/>
          <w:kern w:val="2"/>
          <w:sz w:val="24"/>
          <w:szCs w:val="24"/>
          <w14:ligatures w14:val="standardContextual"/>
        </w:rPr>
        <w:t xml:space="preserve"> paredzot ieviest valsts garantētu apdrošināšanu starptautisku izstāžu rīkošanā</w:t>
      </w:r>
      <w:r>
        <w:rPr>
          <w:rStyle w:val="FootnoteReference"/>
          <w:rFonts w:ascii="Times New Roman" w:eastAsia="Calibri" w:hAnsi="Times New Roman"/>
          <w:kern w:val="2"/>
          <w:sz w:val="24"/>
          <w:szCs w:val="24"/>
          <w14:ligatures w14:val="standardContextual"/>
        </w:rPr>
        <w:footnoteReference w:id="33"/>
      </w:r>
      <w:r w:rsidRPr="00060A6C">
        <w:rPr>
          <w:rFonts w:ascii="Times New Roman" w:eastAsia="Calibri" w:hAnsi="Times New Roman"/>
          <w:kern w:val="2"/>
          <w:sz w:val="24"/>
          <w:szCs w:val="24"/>
          <w14:ligatures w14:val="standardContextual"/>
        </w:rPr>
        <w:t xml:space="preserve"> </w:t>
      </w:r>
      <w:r w:rsidR="00EA2840" w:rsidRPr="00122D01">
        <w:rPr>
          <w:rFonts w:ascii="Times New Roman" w:eastAsia="Calibri" w:hAnsi="Times New Roman"/>
          <w:kern w:val="2"/>
          <w:sz w:val="24"/>
          <w:szCs w:val="24"/>
          <w14:ligatures w14:val="standardContextual"/>
        </w:rPr>
        <w:t>–</w:t>
      </w:r>
      <w:r w:rsidR="00EA2840">
        <w:rPr>
          <w:rFonts w:ascii="Times New Roman" w:eastAsia="Calibri" w:hAnsi="Times New Roman"/>
          <w:kern w:val="2"/>
          <w:sz w:val="24"/>
          <w:szCs w:val="24"/>
          <w14:ligatures w14:val="standardContextual"/>
        </w:rPr>
        <w:t xml:space="preserve"> kompensācijas </w:t>
      </w:r>
      <w:r w:rsidRPr="00060A6C">
        <w:rPr>
          <w:rFonts w:ascii="Times New Roman" w:eastAsia="Calibri" w:hAnsi="Times New Roman"/>
          <w:kern w:val="2"/>
          <w:sz w:val="24"/>
          <w:szCs w:val="24"/>
          <w14:ligatures w14:val="standardContextual"/>
        </w:rPr>
        <w:t>izmaksu kultūrvēsturiskās vērtības patapinātājam (deponējuma devējam), ja izstādes rīkošanas laikā patapinātājam (deponējuma devējam) piederošais objekts ir bojāts vai zudis.</w:t>
      </w:r>
      <w:r>
        <w:rPr>
          <w:rFonts w:ascii="Times New Roman" w:eastAsia="Calibri" w:hAnsi="Times New Roman"/>
          <w:kern w:val="2"/>
          <w:sz w:val="24"/>
          <w:szCs w:val="24"/>
          <w14:ligatures w14:val="standardContextual"/>
        </w:rPr>
        <w:t xml:space="preserve"> </w:t>
      </w:r>
      <w:r w:rsidRPr="00060A6C">
        <w:rPr>
          <w:rFonts w:ascii="Times New Roman" w:eastAsia="Calibri" w:hAnsi="Times New Roman"/>
          <w:kern w:val="2"/>
          <w:sz w:val="24"/>
          <w:szCs w:val="24"/>
          <w14:ligatures w14:val="standardContextual"/>
        </w:rPr>
        <w:t>Ieviešamā valsts garantijas sistēma paredz ikgadēju attiecīgā fiskālā riska iestāšanās varbūtības un fiskālās ietekmes novērtēšanu, atbilstoši iekļaujot fiskālā nodrošinājuma rezerves aprēķinā</w:t>
      </w:r>
      <w:r>
        <w:rPr>
          <w:rFonts w:ascii="Times New Roman" w:eastAsia="Calibri" w:hAnsi="Times New Roman"/>
          <w:kern w:val="2"/>
          <w:sz w:val="24"/>
          <w:szCs w:val="24"/>
          <w14:ligatures w14:val="standardContextual"/>
        </w:rPr>
        <w:t xml:space="preserve"> un </w:t>
      </w:r>
      <w:r w:rsidRPr="00060A6C">
        <w:rPr>
          <w:rFonts w:ascii="Times New Roman" w:eastAsia="Calibri" w:hAnsi="Times New Roman"/>
          <w:kern w:val="2"/>
          <w:sz w:val="24"/>
          <w:szCs w:val="24"/>
          <w14:ligatures w14:val="standardContextual"/>
        </w:rPr>
        <w:t xml:space="preserve">zaudējumu gadījumā kompensācijas izmaksas nodrošināšanai budžeta likumā tiks paredzētas tiesības palielināt apropriāciju </w:t>
      </w:r>
      <w:r>
        <w:rPr>
          <w:rFonts w:ascii="Times New Roman" w:eastAsia="Calibri" w:hAnsi="Times New Roman"/>
          <w:kern w:val="2"/>
          <w:sz w:val="24"/>
          <w:szCs w:val="24"/>
          <w14:ligatures w14:val="standardContextual"/>
        </w:rPr>
        <w:t>KM</w:t>
      </w:r>
      <w:r w:rsidRPr="00060A6C">
        <w:rPr>
          <w:rFonts w:ascii="Times New Roman" w:eastAsia="Calibri" w:hAnsi="Times New Roman"/>
          <w:kern w:val="2"/>
          <w:sz w:val="24"/>
          <w:szCs w:val="24"/>
          <w14:ligatures w14:val="standardContextual"/>
        </w:rPr>
        <w:t xml:space="preserve"> budžetā. </w:t>
      </w:r>
      <w:r>
        <w:rPr>
          <w:rFonts w:ascii="Times New Roman" w:eastAsia="Calibri" w:hAnsi="Times New Roman"/>
          <w:kern w:val="2"/>
          <w:sz w:val="24"/>
          <w:szCs w:val="24"/>
          <w14:ligatures w14:val="standardContextual"/>
        </w:rPr>
        <w:t xml:space="preserve">KM </w:t>
      </w:r>
      <w:r w:rsidRPr="002910A9">
        <w:rPr>
          <w:rFonts w:ascii="Times New Roman" w:eastAsia="Calibri" w:hAnsi="Times New Roman"/>
          <w:kern w:val="2"/>
          <w:sz w:val="24"/>
          <w:szCs w:val="24"/>
          <w14:ligatures w14:val="standardContextual"/>
        </w:rPr>
        <w:t>informatīv</w:t>
      </w:r>
      <w:r>
        <w:rPr>
          <w:rFonts w:ascii="Times New Roman" w:eastAsia="Calibri" w:hAnsi="Times New Roman"/>
          <w:kern w:val="2"/>
          <w:sz w:val="24"/>
          <w:szCs w:val="24"/>
          <w14:ligatures w14:val="standardContextual"/>
        </w:rPr>
        <w:t>ajā</w:t>
      </w:r>
      <w:r w:rsidRPr="002910A9">
        <w:rPr>
          <w:rFonts w:ascii="Times New Roman" w:eastAsia="Calibri" w:hAnsi="Times New Roman"/>
          <w:kern w:val="2"/>
          <w:sz w:val="24"/>
          <w:szCs w:val="24"/>
          <w14:ligatures w14:val="standardContextual"/>
        </w:rPr>
        <w:t xml:space="preserve"> ziņojum</w:t>
      </w:r>
      <w:r>
        <w:rPr>
          <w:rFonts w:ascii="Times New Roman" w:eastAsia="Calibri" w:hAnsi="Times New Roman"/>
          <w:kern w:val="2"/>
          <w:sz w:val="24"/>
          <w:szCs w:val="24"/>
          <w14:ligatures w14:val="standardContextual"/>
        </w:rPr>
        <w:t>ā</w:t>
      </w:r>
      <w:r w:rsidRPr="002910A9">
        <w:rPr>
          <w:rFonts w:ascii="Times New Roman" w:eastAsia="Calibri" w:hAnsi="Times New Roman"/>
          <w:kern w:val="2"/>
          <w:sz w:val="24"/>
          <w:szCs w:val="24"/>
          <w14:ligatures w14:val="standardContextual"/>
        </w:rPr>
        <w:t xml:space="preserve"> “Par kārtību, kādā akreditētie valsts muzeji var saņemt valsts garantētu apdrošināšanu starptautisku izstāžu rīkošanai” </w:t>
      </w:r>
      <w:r>
        <w:rPr>
          <w:rFonts w:ascii="Times New Roman" w:eastAsia="Calibri" w:hAnsi="Times New Roman"/>
          <w:kern w:val="2"/>
          <w:sz w:val="24"/>
          <w:szCs w:val="24"/>
          <w14:ligatures w14:val="standardContextual"/>
        </w:rPr>
        <w:t xml:space="preserve">paredzēja, ka </w:t>
      </w:r>
      <w:r w:rsidRPr="00122D01">
        <w:rPr>
          <w:rFonts w:ascii="Times New Roman" w:eastAsia="Calibri" w:hAnsi="Times New Roman"/>
          <w:kern w:val="2"/>
          <w:sz w:val="24"/>
          <w:szCs w:val="24"/>
          <w14:ligatures w14:val="standardContextual"/>
        </w:rPr>
        <w:t>sākot no 2026.</w:t>
      </w:r>
      <w:r>
        <w:rPr>
          <w:rFonts w:ascii="Times New Roman" w:eastAsia="Calibri" w:hAnsi="Times New Roman"/>
          <w:kern w:val="2"/>
          <w:sz w:val="24"/>
          <w:szCs w:val="24"/>
          <w14:ligatures w14:val="standardContextual"/>
        </w:rPr>
        <w:t xml:space="preserve"> </w:t>
      </w:r>
      <w:r w:rsidRPr="00122D01">
        <w:rPr>
          <w:rFonts w:ascii="Times New Roman" w:eastAsia="Calibri" w:hAnsi="Times New Roman"/>
          <w:kern w:val="2"/>
          <w:sz w:val="24"/>
          <w:szCs w:val="24"/>
          <w14:ligatures w14:val="standardContextual"/>
        </w:rPr>
        <w:t>gada 1. janvāra</w:t>
      </w:r>
      <w:r>
        <w:rPr>
          <w:rFonts w:ascii="Times New Roman" w:eastAsia="Calibri" w:hAnsi="Times New Roman"/>
          <w:kern w:val="2"/>
          <w:sz w:val="24"/>
          <w:szCs w:val="24"/>
          <w14:ligatures w14:val="standardContextual"/>
        </w:rPr>
        <w:t>, ņ</w:t>
      </w:r>
      <w:r w:rsidRPr="00122D01">
        <w:rPr>
          <w:rFonts w:ascii="Times New Roman" w:eastAsia="Calibri" w:hAnsi="Times New Roman"/>
          <w:kern w:val="2"/>
          <w:sz w:val="24"/>
          <w:szCs w:val="24"/>
          <w14:ligatures w14:val="standardContextual"/>
        </w:rPr>
        <w:t>emot vērā pēdējos 10 gados notikušo un periodā no 2025. līdz 2028.</w:t>
      </w:r>
      <w:r>
        <w:rPr>
          <w:rFonts w:ascii="Times New Roman" w:eastAsia="Calibri" w:hAnsi="Times New Roman"/>
          <w:kern w:val="2"/>
          <w:sz w:val="24"/>
          <w:szCs w:val="24"/>
          <w14:ligatures w14:val="standardContextual"/>
        </w:rPr>
        <w:t xml:space="preserve"> </w:t>
      </w:r>
      <w:r w:rsidRPr="00122D01">
        <w:rPr>
          <w:rFonts w:ascii="Times New Roman" w:eastAsia="Calibri" w:hAnsi="Times New Roman"/>
          <w:kern w:val="2"/>
          <w:sz w:val="24"/>
          <w:szCs w:val="24"/>
          <w14:ligatures w14:val="standardContextual"/>
        </w:rPr>
        <w:t>gadam plānoto Latvijas Nacionāl</w:t>
      </w:r>
      <w:r w:rsidR="00BB1154">
        <w:rPr>
          <w:rFonts w:ascii="Times New Roman" w:eastAsia="Calibri" w:hAnsi="Times New Roman"/>
          <w:kern w:val="2"/>
          <w:sz w:val="24"/>
          <w:szCs w:val="24"/>
          <w14:ligatures w14:val="standardContextual"/>
        </w:rPr>
        <w:t>ā</w:t>
      </w:r>
      <w:r w:rsidRPr="00122D01">
        <w:rPr>
          <w:rFonts w:ascii="Times New Roman" w:eastAsia="Calibri" w:hAnsi="Times New Roman"/>
          <w:kern w:val="2"/>
          <w:sz w:val="24"/>
          <w:szCs w:val="24"/>
          <w14:ligatures w14:val="standardContextual"/>
        </w:rPr>
        <w:t xml:space="preserve"> mākslas muzej</w:t>
      </w:r>
      <w:r>
        <w:rPr>
          <w:rFonts w:ascii="Times New Roman" w:eastAsia="Calibri" w:hAnsi="Times New Roman"/>
          <w:kern w:val="2"/>
          <w:sz w:val="24"/>
          <w:szCs w:val="24"/>
          <w14:ligatures w14:val="standardContextual"/>
        </w:rPr>
        <w:t>a</w:t>
      </w:r>
      <w:r w:rsidRPr="00122D01">
        <w:rPr>
          <w:rFonts w:ascii="Times New Roman" w:eastAsia="Calibri" w:hAnsi="Times New Roman"/>
          <w:kern w:val="2"/>
          <w:sz w:val="24"/>
          <w:szCs w:val="24"/>
          <w14:ligatures w14:val="standardContextual"/>
        </w:rPr>
        <w:t xml:space="preserve"> organizēto starptautisko izstāžu vidējo apdrošināšanas vērtību, katru gadu </w:t>
      </w:r>
      <w:r>
        <w:rPr>
          <w:rFonts w:ascii="Times New Roman" w:eastAsia="Calibri" w:hAnsi="Times New Roman"/>
          <w:kern w:val="2"/>
          <w:sz w:val="24"/>
          <w:szCs w:val="24"/>
          <w14:ligatures w14:val="standardContextual"/>
        </w:rPr>
        <w:t>valsts garantiju</w:t>
      </w:r>
      <w:r w:rsidRPr="00122D01">
        <w:rPr>
          <w:rFonts w:ascii="Times New Roman" w:eastAsia="Calibri" w:hAnsi="Times New Roman"/>
          <w:kern w:val="2"/>
          <w:sz w:val="24"/>
          <w:szCs w:val="24"/>
          <w14:ligatures w14:val="standardContextual"/>
        </w:rPr>
        <w:t xml:space="preserve"> sistēmas ietvaros garantētā izstāžu kopējā vērtība bū</w:t>
      </w:r>
      <w:r>
        <w:rPr>
          <w:rFonts w:ascii="Times New Roman" w:eastAsia="Calibri" w:hAnsi="Times New Roman"/>
          <w:kern w:val="2"/>
          <w:sz w:val="24"/>
          <w:szCs w:val="24"/>
          <w14:ligatures w14:val="standardContextual"/>
        </w:rPr>
        <w:t>tu</w:t>
      </w:r>
      <w:r w:rsidRPr="00122D01">
        <w:rPr>
          <w:rFonts w:ascii="Times New Roman" w:eastAsia="Calibri" w:hAnsi="Times New Roman"/>
          <w:kern w:val="2"/>
          <w:sz w:val="24"/>
          <w:szCs w:val="24"/>
          <w14:ligatures w14:val="standardContextual"/>
        </w:rPr>
        <w:t xml:space="preserve"> ap 50 </w:t>
      </w:r>
      <w:r>
        <w:rPr>
          <w:rFonts w:ascii="Times New Roman" w:eastAsia="Calibri" w:hAnsi="Times New Roman"/>
          <w:kern w:val="2"/>
          <w:sz w:val="24"/>
          <w:szCs w:val="24"/>
          <w14:ligatures w14:val="standardContextual"/>
        </w:rPr>
        <w:t>milj.</w:t>
      </w:r>
      <w:r w:rsidRPr="00122D01">
        <w:rPr>
          <w:rFonts w:ascii="Times New Roman" w:eastAsia="Calibri" w:hAnsi="Times New Roman"/>
          <w:kern w:val="2"/>
          <w:sz w:val="24"/>
          <w:szCs w:val="24"/>
          <w14:ligatures w14:val="standardContextual"/>
        </w:rPr>
        <w:t xml:space="preserve"> </w:t>
      </w:r>
      <w:r w:rsidRPr="00122D01">
        <w:rPr>
          <w:rFonts w:ascii="Times New Roman" w:eastAsia="Calibri" w:hAnsi="Times New Roman"/>
          <w:i/>
          <w:iCs/>
          <w:kern w:val="2"/>
          <w:sz w:val="24"/>
          <w:szCs w:val="24"/>
          <w14:ligatures w14:val="standardContextual"/>
        </w:rPr>
        <w:t>euro</w:t>
      </w:r>
      <w:r>
        <w:rPr>
          <w:rFonts w:ascii="Times New Roman" w:eastAsia="Calibri" w:hAnsi="Times New Roman"/>
          <w:kern w:val="2"/>
          <w:sz w:val="24"/>
          <w:szCs w:val="24"/>
          <w14:ligatures w14:val="standardContextual"/>
        </w:rPr>
        <w:t>,</w:t>
      </w:r>
      <w:r w:rsidRPr="00122D01">
        <w:rPr>
          <w:rFonts w:ascii="Times New Roman" w:eastAsia="Calibri" w:hAnsi="Times New Roman"/>
          <w:kern w:val="2"/>
          <w:sz w:val="24"/>
          <w:szCs w:val="24"/>
          <w14:ligatures w14:val="standardContextual"/>
        </w:rPr>
        <w:t xml:space="preserve"> līdz ar to attiecīgi </w:t>
      </w:r>
      <w:r>
        <w:rPr>
          <w:rFonts w:ascii="Times New Roman" w:eastAsia="Calibri" w:hAnsi="Times New Roman"/>
          <w:kern w:val="2"/>
          <w:sz w:val="24"/>
          <w:szCs w:val="24"/>
          <w14:ligatures w14:val="standardContextual"/>
        </w:rPr>
        <w:t>valsts garantiju</w:t>
      </w:r>
      <w:r w:rsidRPr="00122D01">
        <w:rPr>
          <w:rFonts w:ascii="Times New Roman" w:eastAsia="Calibri" w:hAnsi="Times New Roman"/>
          <w:kern w:val="2"/>
          <w:sz w:val="24"/>
          <w:szCs w:val="24"/>
          <w14:ligatures w14:val="standardContextual"/>
        </w:rPr>
        <w:t xml:space="preserve"> sistēmas ietvaros garantēto izstāžu kopējā vērtība veido</w:t>
      </w:r>
      <w:r w:rsidR="00BB1154">
        <w:rPr>
          <w:rFonts w:ascii="Times New Roman" w:eastAsia="Calibri" w:hAnsi="Times New Roman"/>
          <w:kern w:val="2"/>
          <w:sz w:val="24"/>
          <w:szCs w:val="24"/>
          <w14:ligatures w14:val="standardContextual"/>
        </w:rPr>
        <w:t>tu</w:t>
      </w:r>
      <w:r w:rsidRPr="00122D01">
        <w:rPr>
          <w:rFonts w:ascii="Times New Roman" w:eastAsia="Calibri" w:hAnsi="Times New Roman"/>
          <w:kern w:val="2"/>
          <w:sz w:val="24"/>
          <w:szCs w:val="24"/>
          <w14:ligatures w14:val="standardContextual"/>
        </w:rPr>
        <w:t xml:space="preserve"> 0,1% no IKP. </w:t>
      </w:r>
      <w:r>
        <w:rPr>
          <w:rFonts w:ascii="Times New Roman" w:eastAsia="Calibri" w:hAnsi="Times New Roman"/>
          <w:kern w:val="2"/>
          <w:sz w:val="24"/>
          <w:szCs w:val="24"/>
          <w14:ligatures w14:val="standardContextual"/>
        </w:rPr>
        <w:t>S</w:t>
      </w:r>
      <w:r w:rsidRPr="00353160">
        <w:rPr>
          <w:rFonts w:ascii="Times New Roman" w:eastAsia="Calibri" w:hAnsi="Times New Roman"/>
          <w:kern w:val="2"/>
          <w:sz w:val="24"/>
          <w:szCs w:val="24"/>
          <w14:ligatures w14:val="standardContextual"/>
        </w:rPr>
        <w:t xml:space="preserve">istēmas ieviešanai ir nepieciešams izstrādāt </w:t>
      </w:r>
      <w:r w:rsidR="009F1E1C">
        <w:rPr>
          <w:rFonts w:ascii="Times New Roman" w:eastAsia="Calibri" w:hAnsi="Times New Roman"/>
          <w:kern w:val="2"/>
          <w:sz w:val="24"/>
          <w:szCs w:val="24"/>
          <w14:ligatures w14:val="standardContextual"/>
        </w:rPr>
        <w:t>MK</w:t>
      </w:r>
      <w:r w:rsidRPr="00353160">
        <w:rPr>
          <w:rFonts w:ascii="Times New Roman" w:eastAsia="Calibri" w:hAnsi="Times New Roman"/>
          <w:kern w:val="2"/>
          <w:sz w:val="24"/>
          <w:szCs w:val="24"/>
          <w14:ligatures w14:val="standardContextual"/>
        </w:rPr>
        <w:t xml:space="preserve"> noteikumu projektu </w:t>
      </w:r>
      <w:r w:rsidR="009F1E1C">
        <w:rPr>
          <w:rFonts w:ascii="Times New Roman" w:eastAsia="Calibri" w:hAnsi="Times New Roman"/>
          <w:kern w:val="2"/>
          <w:sz w:val="24"/>
          <w:szCs w:val="24"/>
          <w14:ligatures w14:val="standardContextual"/>
        </w:rPr>
        <w:t>“</w:t>
      </w:r>
      <w:r w:rsidRPr="00353160">
        <w:rPr>
          <w:rFonts w:ascii="Times New Roman" w:eastAsia="Calibri" w:hAnsi="Times New Roman"/>
          <w:kern w:val="2"/>
          <w:sz w:val="24"/>
          <w:szCs w:val="24"/>
          <w14:ligatures w14:val="standardContextual"/>
        </w:rPr>
        <w:t>Kārtība, kādā akreditētie valsts muzeji var saņemt valsts garantētu apdrošināšanu starptautisku izstāžu rīkošanai</w:t>
      </w:r>
      <w:r w:rsidR="009F1E1C">
        <w:rPr>
          <w:rFonts w:ascii="Times New Roman" w:eastAsia="Calibri" w:hAnsi="Times New Roman"/>
          <w:kern w:val="2"/>
          <w:sz w:val="24"/>
          <w:szCs w:val="24"/>
          <w14:ligatures w14:val="standardContextual"/>
        </w:rPr>
        <w:t>”</w:t>
      </w:r>
      <w:r w:rsidRPr="00353160">
        <w:rPr>
          <w:rFonts w:ascii="Times New Roman" w:eastAsia="Calibri" w:hAnsi="Times New Roman"/>
          <w:kern w:val="2"/>
          <w:sz w:val="24"/>
          <w:szCs w:val="24"/>
          <w:vertAlign w:val="superscript"/>
          <w14:ligatures w14:val="standardContextual"/>
        </w:rPr>
        <w:footnoteReference w:id="34"/>
      </w:r>
      <w:r>
        <w:rPr>
          <w:rFonts w:ascii="Times New Roman" w:eastAsia="Calibri" w:hAnsi="Times New Roman"/>
          <w:kern w:val="2"/>
          <w:sz w:val="24"/>
          <w:szCs w:val="24"/>
          <w14:ligatures w14:val="standardContextual"/>
        </w:rPr>
        <w:t>.</w:t>
      </w:r>
    </w:p>
    <w:p w14:paraId="4D8C7DD4" w14:textId="2F6F3960" w:rsidR="00431493" w:rsidRDefault="00431493" w:rsidP="00431493">
      <w:pPr>
        <w:spacing w:after="0" w:line="240" w:lineRule="auto"/>
        <w:ind w:firstLine="720"/>
        <w:jc w:val="both"/>
        <w:rPr>
          <w:rFonts w:ascii="Times New Roman" w:eastAsia="Calibri" w:hAnsi="Times New Roman"/>
          <w:kern w:val="2"/>
          <w:sz w:val="24"/>
          <w:szCs w:val="24"/>
          <w14:ligatures w14:val="standardContextual"/>
        </w:rPr>
      </w:pPr>
      <w:r w:rsidRPr="00122D01">
        <w:rPr>
          <w:rFonts w:ascii="Times New Roman" w:eastAsia="Calibri" w:hAnsi="Times New Roman"/>
          <w:kern w:val="2"/>
          <w:sz w:val="24"/>
          <w:szCs w:val="24"/>
          <w14:ligatures w14:val="standardContextual"/>
        </w:rPr>
        <w:t xml:space="preserve">Savukārt, </w:t>
      </w:r>
      <w:r>
        <w:rPr>
          <w:rFonts w:ascii="Times New Roman" w:eastAsia="Calibri" w:hAnsi="Times New Roman"/>
          <w:kern w:val="2"/>
          <w:sz w:val="24"/>
          <w:szCs w:val="24"/>
          <w14:ligatures w14:val="standardContextual"/>
        </w:rPr>
        <w:t>ņ</w:t>
      </w:r>
      <w:r w:rsidRPr="00122D01">
        <w:rPr>
          <w:rFonts w:ascii="Times New Roman" w:eastAsia="Calibri" w:hAnsi="Times New Roman"/>
          <w:kern w:val="2"/>
          <w:sz w:val="24"/>
          <w:szCs w:val="24"/>
          <w14:ligatures w14:val="standardContextual"/>
        </w:rPr>
        <w:t xml:space="preserve">emot vērā gan </w:t>
      </w:r>
      <w:r>
        <w:rPr>
          <w:rFonts w:ascii="Times New Roman" w:eastAsia="Calibri" w:hAnsi="Times New Roman"/>
          <w:kern w:val="2"/>
          <w:sz w:val="24"/>
          <w:szCs w:val="24"/>
          <w14:ligatures w14:val="standardContextual"/>
        </w:rPr>
        <w:t>ES</w:t>
      </w:r>
      <w:r w:rsidRPr="00122D01">
        <w:rPr>
          <w:rFonts w:ascii="Times New Roman" w:eastAsia="Calibri" w:hAnsi="Times New Roman"/>
          <w:kern w:val="2"/>
          <w:sz w:val="24"/>
          <w:szCs w:val="24"/>
          <w14:ligatures w14:val="standardContextual"/>
        </w:rPr>
        <w:t xml:space="preserve"> valstu 2007.–2011.</w:t>
      </w:r>
      <w:r w:rsidR="00E9469F">
        <w:rPr>
          <w:rFonts w:ascii="Times New Roman" w:eastAsia="Calibri" w:hAnsi="Times New Roman"/>
          <w:kern w:val="2"/>
          <w:sz w:val="24"/>
          <w:szCs w:val="24"/>
          <w14:ligatures w14:val="standardContextual"/>
        </w:rPr>
        <w:t xml:space="preserve"> </w:t>
      </w:r>
      <w:r w:rsidRPr="00122D01">
        <w:rPr>
          <w:rFonts w:ascii="Times New Roman" w:eastAsia="Calibri" w:hAnsi="Times New Roman"/>
          <w:kern w:val="2"/>
          <w:sz w:val="24"/>
          <w:szCs w:val="24"/>
          <w14:ligatures w14:val="standardContextual"/>
        </w:rPr>
        <w:t xml:space="preserve">gadu statistiku, gan Igaunijas pēdējo 10 gadu pieredzi, </w:t>
      </w:r>
      <w:r>
        <w:rPr>
          <w:rFonts w:ascii="Times New Roman" w:eastAsia="Calibri" w:hAnsi="Times New Roman"/>
          <w:kern w:val="2"/>
          <w:sz w:val="24"/>
          <w:szCs w:val="24"/>
          <w14:ligatures w14:val="standardContextual"/>
        </w:rPr>
        <w:t>valsts garantiju</w:t>
      </w:r>
      <w:r w:rsidRPr="00122D01">
        <w:rPr>
          <w:rFonts w:ascii="Times New Roman" w:eastAsia="Calibri" w:hAnsi="Times New Roman"/>
          <w:kern w:val="2"/>
          <w:sz w:val="24"/>
          <w:szCs w:val="24"/>
          <w14:ligatures w14:val="standardContextual"/>
        </w:rPr>
        <w:t xml:space="preserve"> sistēmas </w:t>
      </w:r>
      <w:r w:rsidRPr="00AF38DC">
        <w:rPr>
          <w:rFonts w:ascii="Times New Roman" w:eastAsia="Calibri" w:hAnsi="Times New Roman"/>
          <w:b/>
          <w:bCs/>
          <w:kern w:val="2"/>
          <w:sz w:val="24"/>
          <w:szCs w:val="24"/>
          <w14:ligatures w14:val="standardContextual"/>
        </w:rPr>
        <w:t>riska iestāšanās varbūtība ir zema</w:t>
      </w:r>
      <w:r w:rsidRPr="00122D01">
        <w:rPr>
          <w:rFonts w:ascii="Times New Roman" w:eastAsia="Calibri" w:hAnsi="Times New Roman"/>
          <w:kern w:val="2"/>
          <w:sz w:val="24"/>
          <w:szCs w:val="24"/>
          <w14:ligatures w14:val="standardContextual"/>
        </w:rPr>
        <w:t xml:space="preserve"> (iestāšanās varbūtības novērtējums ir 1 – iestāšanās varbūtība ir tuvāk 0%).</w:t>
      </w:r>
    </w:p>
    <w:p w14:paraId="5FD2B135" w14:textId="1502A6AD" w:rsidR="00431493" w:rsidRPr="00431493" w:rsidRDefault="00431493" w:rsidP="00431493">
      <w:pPr>
        <w:spacing w:after="100" w:afterAutospacing="1" w:line="240" w:lineRule="auto"/>
        <w:ind w:firstLine="709"/>
        <w:jc w:val="both"/>
        <w:rPr>
          <w:rFonts w:ascii="Times New Roman" w:eastAsiaTheme="minorHAnsi" w:hAnsi="Times New Roman" w:cs="Times New Roman"/>
          <w:b/>
          <w:bCs/>
          <w:sz w:val="24"/>
          <w:szCs w:val="20"/>
        </w:rPr>
      </w:pPr>
      <w:r w:rsidRPr="00EA3B36">
        <w:rPr>
          <w:rFonts w:ascii="Times New Roman" w:eastAsiaTheme="minorHAnsi" w:hAnsi="Times New Roman" w:cs="Times New Roman"/>
          <w:sz w:val="24"/>
          <w:szCs w:val="20"/>
        </w:rPr>
        <w:t xml:space="preserve">Ņemot vērā </w:t>
      </w:r>
      <w:r w:rsidRPr="008A2B5F">
        <w:rPr>
          <w:rFonts w:ascii="Times New Roman" w:eastAsiaTheme="minorHAnsi" w:hAnsi="Times New Roman" w:cs="Times New Roman"/>
          <w:sz w:val="24"/>
          <w:szCs w:val="20"/>
        </w:rPr>
        <w:t xml:space="preserve">zemo riska iestāšanās varbūtību, </w:t>
      </w:r>
      <w:r w:rsidRPr="008A2B5F">
        <w:rPr>
          <w:rFonts w:ascii="Times New Roman" w:eastAsiaTheme="minorHAnsi" w:hAnsi="Times New Roman" w:cs="Times New Roman"/>
          <w:b/>
          <w:bCs/>
          <w:sz w:val="24"/>
          <w:szCs w:val="20"/>
        </w:rPr>
        <w:t xml:space="preserve">fiskālo risku nodrošinājuma rezerve šim riskam </w:t>
      </w:r>
      <w:r>
        <w:rPr>
          <w:rFonts w:ascii="Times New Roman" w:eastAsiaTheme="minorHAnsi" w:hAnsi="Times New Roman" w:cs="Times New Roman"/>
          <w:b/>
          <w:bCs/>
          <w:sz w:val="24"/>
          <w:szCs w:val="20"/>
        </w:rPr>
        <w:t xml:space="preserve">pašlaik </w:t>
      </w:r>
      <w:r w:rsidRPr="008A2B5F">
        <w:rPr>
          <w:rFonts w:ascii="Times New Roman" w:eastAsiaTheme="minorHAnsi" w:hAnsi="Times New Roman" w:cs="Times New Roman"/>
          <w:b/>
          <w:bCs/>
          <w:sz w:val="24"/>
          <w:szCs w:val="20"/>
        </w:rPr>
        <w:t xml:space="preserve">netiek veidota. </w:t>
      </w:r>
    </w:p>
    <w:p w14:paraId="3C625450" w14:textId="330AFB4B" w:rsidR="00822D84" w:rsidRPr="00980D91" w:rsidRDefault="00822D84" w:rsidP="00497710">
      <w:pPr>
        <w:pStyle w:val="Heading2"/>
        <w:numPr>
          <w:ilvl w:val="1"/>
          <w:numId w:val="4"/>
        </w:numPr>
        <w:tabs>
          <w:tab w:val="left" w:pos="851"/>
          <w:tab w:val="left" w:pos="5103"/>
          <w:tab w:val="left" w:pos="5245"/>
        </w:tabs>
        <w:spacing w:before="120" w:after="120" w:line="240" w:lineRule="auto"/>
        <w:ind w:left="567" w:hanging="555"/>
        <w:rPr>
          <w:rFonts w:cs="Times New Roman"/>
          <w:szCs w:val="24"/>
        </w:rPr>
      </w:pPr>
      <w:bookmarkStart w:id="91" w:name="_Toc405371083"/>
      <w:bookmarkStart w:id="92" w:name="_Toc536779066"/>
      <w:bookmarkStart w:id="93" w:name="_Toc205554421"/>
      <w:bookmarkStart w:id="94" w:name="_Hlk164323346"/>
      <w:bookmarkEnd w:id="88"/>
      <w:r w:rsidRPr="00980D91">
        <w:rPr>
          <w:rFonts w:cs="Times New Roman"/>
          <w:color w:val="auto"/>
          <w:szCs w:val="24"/>
        </w:rPr>
        <w:t>Kapitāls uz pieprasījumu</w:t>
      </w:r>
      <w:bookmarkEnd w:id="91"/>
      <w:bookmarkEnd w:id="92"/>
      <w:bookmarkEnd w:id="93"/>
    </w:p>
    <w:p w14:paraId="59DBD9E3" w14:textId="372BF5D7" w:rsidR="008A60AA" w:rsidRPr="00EA3B36" w:rsidRDefault="004D1798" w:rsidP="008A60AA">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F</w:t>
      </w:r>
      <w:r w:rsidR="008A60AA" w:rsidRPr="00EA3B36">
        <w:rPr>
          <w:rFonts w:ascii="Times New Roman" w:eastAsiaTheme="minorHAnsi" w:hAnsi="Times New Roman" w:cs="Times New Roman"/>
          <w:sz w:val="24"/>
          <w:szCs w:val="20"/>
        </w:rPr>
        <w:t>iskālais risks var īstenoties</w:t>
      </w:r>
      <w:r w:rsidR="008D7449" w:rsidRPr="00EA3B36">
        <w:rPr>
          <w:rFonts w:ascii="Times New Roman" w:eastAsiaTheme="minorHAnsi" w:hAnsi="Times New Roman" w:cs="Times New Roman"/>
          <w:sz w:val="24"/>
          <w:szCs w:val="20"/>
        </w:rPr>
        <w:t>,</w:t>
      </w:r>
      <w:r w:rsidRPr="00EA3B36">
        <w:rPr>
          <w:rFonts w:ascii="Times New Roman" w:eastAsiaTheme="minorHAnsi" w:hAnsi="Times New Roman" w:cs="Times New Roman"/>
          <w:sz w:val="24"/>
          <w:szCs w:val="20"/>
        </w:rPr>
        <w:t xml:space="preserve"> </w:t>
      </w:r>
      <w:r w:rsidR="008A60AA" w:rsidRPr="00EA3B36">
        <w:rPr>
          <w:rFonts w:ascii="Times New Roman" w:eastAsiaTheme="minorHAnsi" w:hAnsi="Times New Roman" w:cs="Times New Roman"/>
          <w:sz w:val="24"/>
          <w:szCs w:val="20"/>
        </w:rPr>
        <w:t>iestāj</w:t>
      </w:r>
      <w:r w:rsidRPr="00EA3B36">
        <w:rPr>
          <w:rFonts w:ascii="Times New Roman" w:eastAsiaTheme="minorHAnsi" w:hAnsi="Times New Roman" w:cs="Times New Roman"/>
          <w:sz w:val="24"/>
          <w:szCs w:val="20"/>
        </w:rPr>
        <w:t>oties</w:t>
      </w:r>
      <w:r w:rsidR="008A60AA" w:rsidRPr="00EA3B36">
        <w:rPr>
          <w:rFonts w:ascii="Times New Roman" w:eastAsiaTheme="minorHAnsi" w:hAnsi="Times New Roman" w:cs="Times New Roman"/>
          <w:sz w:val="24"/>
          <w:szCs w:val="20"/>
        </w:rPr>
        <w:t xml:space="preserve"> līgumā ar SFI, kurā Latvija ir kapitāla daļu turētāja, noteik</w:t>
      </w:r>
      <w:r w:rsidRPr="00EA3B36">
        <w:rPr>
          <w:rFonts w:ascii="Times New Roman" w:eastAsiaTheme="minorHAnsi" w:hAnsi="Times New Roman" w:cs="Times New Roman"/>
          <w:sz w:val="24"/>
          <w:szCs w:val="20"/>
        </w:rPr>
        <w:t>tajiem</w:t>
      </w:r>
      <w:r w:rsidR="008A60AA" w:rsidRPr="00EA3B36">
        <w:rPr>
          <w:rFonts w:ascii="Times New Roman" w:eastAsiaTheme="minorHAnsi" w:hAnsi="Times New Roman" w:cs="Times New Roman"/>
          <w:sz w:val="24"/>
          <w:szCs w:val="20"/>
        </w:rPr>
        <w:t xml:space="preserve"> apstākļi</w:t>
      </w:r>
      <w:r w:rsidRPr="00EA3B36">
        <w:rPr>
          <w:rFonts w:ascii="Times New Roman" w:eastAsiaTheme="minorHAnsi" w:hAnsi="Times New Roman" w:cs="Times New Roman"/>
          <w:sz w:val="24"/>
          <w:szCs w:val="20"/>
        </w:rPr>
        <w:t xml:space="preserve">em un attiecīgi </w:t>
      </w:r>
      <w:r w:rsidR="008A60AA" w:rsidRPr="00EA3B36">
        <w:rPr>
          <w:rFonts w:ascii="Times New Roman" w:eastAsiaTheme="minorHAnsi" w:hAnsi="Times New Roman" w:cs="Times New Roman"/>
          <w:sz w:val="24"/>
          <w:szCs w:val="20"/>
        </w:rPr>
        <w:t>var tikt pieprasīta kapitāla uz pieprasījumu apmaksa. Ar starptautiskajām institūcijām</w:t>
      </w:r>
      <w:r w:rsidR="00BA7CFE" w:rsidRPr="00EA3B36">
        <w:rPr>
          <w:rFonts w:ascii="Times New Roman" w:eastAsiaTheme="minorHAnsi" w:hAnsi="Times New Roman" w:cs="Times New Roman"/>
          <w:sz w:val="24"/>
          <w:szCs w:val="20"/>
        </w:rPr>
        <w:t xml:space="preserve"> </w:t>
      </w:r>
      <w:r w:rsidR="008A60AA" w:rsidRPr="00EA3B36">
        <w:rPr>
          <w:rFonts w:ascii="Times New Roman" w:eastAsiaTheme="minorHAnsi" w:hAnsi="Times New Roman" w:cs="Times New Roman"/>
          <w:sz w:val="24"/>
          <w:szCs w:val="20"/>
        </w:rPr>
        <w:t xml:space="preserve">SFI noslēgto līgumu nosacījumu analīze liecina, ka tie ir salīdzinoši vienveidīgi un nosaka to, ka organizācija var pieprasīt apmaksāt kapitālu uz pieprasījumu situācijā, kad organizācijas rīcībā nav pietiekami finanšu resursi, lai nodrošinātu institūcijas mērķu izpildi straujas finanšu situācijas pasliktināšanās gadījumos. </w:t>
      </w:r>
    </w:p>
    <w:p w14:paraId="332BE03B" w14:textId="67076EE6" w:rsidR="004D1798" w:rsidRPr="00EA3B36" w:rsidRDefault="008A60AA" w:rsidP="008A60AA">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Situācija, kad SFI pieprasa neapmaksātā reģistrētā kapitāla apmaksu, pati par sevi nenosaka, ka ir īstenojies fiskālais risks. Gadījumā, ja V</w:t>
      </w:r>
      <w:r w:rsidR="00D11383" w:rsidRPr="00EA3B36">
        <w:rPr>
          <w:rFonts w:ascii="Times New Roman" w:eastAsiaTheme="minorHAnsi" w:hAnsi="Times New Roman" w:cs="Times New Roman"/>
          <w:sz w:val="24"/>
          <w:szCs w:val="20"/>
        </w:rPr>
        <w:t xml:space="preserve">K </w:t>
      </w:r>
      <w:r w:rsidRPr="00EA3B36">
        <w:rPr>
          <w:rFonts w:ascii="Times New Roman" w:eastAsiaTheme="minorHAnsi" w:hAnsi="Times New Roman" w:cs="Times New Roman"/>
          <w:sz w:val="24"/>
          <w:szCs w:val="20"/>
        </w:rPr>
        <w:t>minētā pieprasījuma izpildei aizņemas finanšu resursus virs plānotā aizņēmuma apmēra, neplānota ietekme rodas uz valsts parādu piesaistīto līdzekļu apmērā, kā arī attiecīgi palielinās valsts budžeta izdevumi par valsts parāda vadību</w:t>
      </w:r>
      <w:r w:rsidR="004D1798" w:rsidRPr="00EA3B36">
        <w:rPr>
          <w:rFonts w:ascii="Times New Roman" w:eastAsiaTheme="minorHAnsi" w:hAnsi="Times New Roman" w:cs="Times New Roman"/>
          <w:sz w:val="24"/>
          <w:szCs w:val="20"/>
        </w:rPr>
        <w:t>.</w:t>
      </w:r>
    </w:p>
    <w:p w14:paraId="6242CD01" w14:textId="40DD2496" w:rsidR="008A60AA" w:rsidRPr="00EA3B36" w:rsidRDefault="004D1798" w:rsidP="008A60AA">
      <w:pPr>
        <w:spacing w:after="0" w:line="240" w:lineRule="auto"/>
        <w:ind w:firstLine="720"/>
        <w:jc w:val="both"/>
        <w:rPr>
          <w:rFonts w:ascii="Times New Roman" w:eastAsiaTheme="minorHAnsi" w:hAnsi="Times New Roman" w:cs="Times New Roman"/>
          <w:sz w:val="24"/>
          <w:szCs w:val="20"/>
        </w:rPr>
      </w:pPr>
      <w:bookmarkStart w:id="95" w:name="_Hlk172844696"/>
      <w:r w:rsidRPr="00EA3B36">
        <w:rPr>
          <w:rFonts w:ascii="Times New Roman" w:eastAsiaTheme="minorHAnsi" w:hAnsi="Times New Roman" w:cs="Times New Roman"/>
          <w:sz w:val="24"/>
          <w:szCs w:val="20"/>
        </w:rPr>
        <w:t>B</w:t>
      </w:r>
      <w:r w:rsidR="008A60AA" w:rsidRPr="00EA3B36">
        <w:rPr>
          <w:rFonts w:ascii="Times New Roman" w:eastAsiaTheme="minorHAnsi" w:hAnsi="Times New Roman" w:cs="Times New Roman"/>
          <w:sz w:val="24"/>
          <w:szCs w:val="20"/>
        </w:rPr>
        <w:t>ūtiskāks fiskālais risks iestājas tajos gadījumos, kad ar kapitālu uz pieprasījumu tiek segti organizācijas SFI finansiālās darbības zaudējumi (piemēram, organizācija SFI noraksta izsniegto aizdevumu) un attiecīgi šāda kapitāla palielināšana tiktu uzskaitīta kā vispārējās valdības budžeta izdevumi, pasliktinot</w:t>
      </w:r>
      <w:r w:rsidR="00674088">
        <w:rPr>
          <w:rFonts w:ascii="Times New Roman" w:eastAsiaTheme="minorHAnsi" w:hAnsi="Times New Roman" w:cs="Times New Roman"/>
          <w:sz w:val="24"/>
          <w:szCs w:val="20"/>
        </w:rPr>
        <w:t xml:space="preserve"> </w:t>
      </w:r>
      <w:r w:rsidR="00674088" w:rsidRPr="00EA3B36">
        <w:rPr>
          <w:rFonts w:ascii="Times New Roman" w:eastAsiaTheme="minorHAnsi" w:hAnsi="Times New Roman" w:cs="Times New Roman"/>
          <w:sz w:val="24"/>
          <w:szCs w:val="20"/>
        </w:rPr>
        <w:t>vispārējās valdības</w:t>
      </w:r>
      <w:r w:rsidR="008A60AA" w:rsidRPr="00EA3B36">
        <w:rPr>
          <w:rFonts w:ascii="Times New Roman" w:eastAsiaTheme="minorHAnsi" w:hAnsi="Times New Roman" w:cs="Times New Roman"/>
          <w:sz w:val="24"/>
          <w:szCs w:val="20"/>
        </w:rPr>
        <w:t xml:space="preserve"> budžeta bilanci.</w:t>
      </w:r>
    </w:p>
    <w:bookmarkEnd w:id="95"/>
    <w:p w14:paraId="43C215A2" w14:textId="5A622330" w:rsidR="006210F5" w:rsidRDefault="008A60AA" w:rsidP="009324B2">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Valsts iespējamās saistības saskaņā ar pašreiz spēkā esošajiem līgumiem ir apkopotas tabulā Nr.</w:t>
      </w:r>
      <w:r w:rsidR="000C19C5" w:rsidRPr="00EA3B36">
        <w:rPr>
          <w:rFonts w:ascii="Times New Roman" w:eastAsiaTheme="minorHAnsi" w:hAnsi="Times New Roman" w:cs="Times New Roman"/>
          <w:sz w:val="24"/>
          <w:szCs w:val="20"/>
        </w:rPr>
        <w:t>2.</w:t>
      </w:r>
      <w:r w:rsidR="00A84963">
        <w:rPr>
          <w:rFonts w:ascii="Times New Roman" w:eastAsiaTheme="minorHAnsi" w:hAnsi="Times New Roman" w:cs="Times New Roman"/>
          <w:sz w:val="24"/>
          <w:szCs w:val="20"/>
        </w:rPr>
        <w:t>10</w:t>
      </w:r>
      <w:r w:rsidR="000C19C5" w:rsidRPr="00EA3B36">
        <w:rPr>
          <w:rFonts w:ascii="Times New Roman" w:eastAsiaTheme="minorHAnsi" w:hAnsi="Times New Roman" w:cs="Times New Roman"/>
          <w:sz w:val="24"/>
          <w:szCs w:val="20"/>
        </w:rPr>
        <w:t>.1</w:t>
      </w:r>
      <w:r w:rsidRPr="00EA3B36">
        <w:rPr>
          <w:rFonts w:ascii="Times New Roman" w:eastAsiaTheme="minorHAnsi" w:hAnsi="Times New Roman" w:cs="Times New Roman"/>
          <w:sz w:val="24"/>
          <w:szCs w:val="20"/>
        </w:rPr>
        <w:t>.</w:t>
      </w:r>
    </w:p>
    <w:p w14:paraId="6BBFDB32" w14:textId="77777777" w:rsidR="00E252EB" w:rsidRDefault="00E252EB" w:rsidP="00E252EB">
      <w:pPr>
        <w:spacing w:after="0" w:line="240" w:lineRule="auto"/>
        <w:jc w:val="both"/>
        <w:rPr>
          <w:rFonts w:ascii="Times New Roman" w:eastAsiaTheme="minorHAnsi" w:hAnsi="Times New Roman" w:cs="Times New Roman"/>
          <w:sz w:val="20"/>
          <w:szCs w:val="16"/>
          <w:highlight w:val="yellow"/>
        </w:rPr>
      </w:pPr>
    </w:p>
    <w:p w14:paraId="4DC43D86" w14:textId="1FEF9978" w:rsidR="001F3A40" w:rsidRPr="00EA3B36" w:rsidRDefault="001F3A40" w:rsidP="00497710">
      <w:pPr>
        <w:spacing w:line="240" w:lineRule="auto"/>
        <w:jc w:val="right"/>
        <w:rPr>
          <w:rFonts w:ascii="Times New Roman" w:eastAsiaTheme="minorHAnsi" w:hAnsi="Times New Roman" w:cs="Times New Roman"/>
          <w:b/>
          <w:sz w:val="24"/>
          <w:szCs w:val="20"/>
        </w:rPr>
      </w:pPr>
      <w:r w:rsidRPr="00EA3B36">
        <w:rPr>
          <w:rFonts w:ascii="Times New Roman" w:eastAsiaTheme="minorHAnsi" w:hAnsi="Times New Roman" w:cs="Times New Roman"/>
          <w:b/>
          <w:sz w:val="24"/>
          <w:szCs w:val="20"/>
        </w:rPr>
        <w:t>Tabula Nr.</w:t>
      </w:r>
      <w:r w:rsidR="000C19C5" w:rsidRPr="00EA3B36">
        <w:rPr>
          <w:rFonts w:ascii="Times New Roman" w:eastAsiaTheme="minorHAnsi" w:hAnsi="Times New Roman" w:cs="Times New Roman"/>
          <w:b/>
          <w:sz w:val="24"/>
          <w:szCs w:val="20"/>
        </w:rPr>
        <w:t>2.</w:t>
      </w:r>
      <w:r w:rsidR="00061917">
        <w:rPr>
          <w:rFonts w:ascii="Times New Roman" w:eastAsiaTheme="minorHAnsi" w:hAnsi="Times New Roman" w:cs="Times New Roman"/>
          <w:b/>
          <w:sz w:val="24"/>
          <w:szCs w:val="20"/>
        </w:rPr>
        <w:t>10</w:t>
      </w:r>
      <w:r w:rsidR="000C19C5" w:rsidRPr="00EA3B36">
        <w:rPr>
          <w:rFonts w:ascii="Times New Roman" w:eastAsiaTheme="minorHAnsi" w:hAnsi="Times New Roman" w:cs="Times New Roman"/>
          <w:b/>
          <w:sz w:val="24"/>
          <w:szCs w:val="20"/>
        </w:rPr>
        <w:t>.1</w:t>
      </w:r>
      <w:r w:rsidR="00BA7CFE" w:rsidRPr="00EA3B36">
        <w:rPr>
          <w:rFonts w:ascii="Times New Roman" w:eastAsiaTheme="minorHAnsi" w:hAnsi="Times New Roman" w:cs="Times New Roman"/>
          <w:b/>
          <w:sz w:val="24"/>
          <w:szCs w:val="20"/>
        </w:rPr>
        <w:t xml:space="preserve"> </w:t>
      </w:r>
      <w:r w:rsidRPr="00EA3B36">
        <w:rPr>
          <w:rFonts w:ascii="Times New Roman" w:eastAsiaTheme="minorHAnsi" w:hAnsi="Times New Roman" w:cs="Times New Roman"/>
          <w:b/>
          <w:sz w:val="24"/>
          <w:szCs w:val="20"/>
        </w:rPr>
        <w:t>Kapitāls uz pieprasījumu sadalījumā pa starptautiskajām institūcijām</w:t>
      </w:r>
    </w:p>
    <w:tbl>
      <w:tblPr>
        <w:tblW w:w="9800" w:type="dxa"/>
        <w:tblLook w:val="04A0" w:firstRow="1" w:lastRow="0" w:firstColumn="1" w:lastColumn="0" w:noHBand="0" w:noVBand="1"/>
      </w:tblPr>
      <w:tblGrid>
        <w:gridCol w:w="3762"/>
        <w:gridCol w:w="2471"/>
        <w:gridCol w:w="1096"/>
        <w:gridCol w:w="2471"/>
      </w:tblGrid>
      <w:tr w:rsidR="00FB16D6" w:rsidRPr="00B57D0A" w14:paraId="7F4803F6" w14:textId="77777777" w:rsidTr="00BB1154">
        <w:trPr>
          <w:trHeight w:val="284"/>
        </w:trPr>
        <w:tc>
          <w:tcPr>
            <w:tcW w:w="3762" w:type="dxa"/>
            <w:vMerge w:val="restart"/>
            <w:tcBorders>
              <w:top w:val="single" w:sz="8" w:space="0" w:color="95B3D7"/>
              <w:left w:val="single" w:sz="4" w:space="0" w:color="9CC2E5" w:themeColor="accent1" w:themeTint="99"/>
              <w:bottom w:val="single" w:sz="8" w:space="0" w:color="95B3D7"/>
              <w:right w:val="single" w:sz="4" w:space="0" w:color="9CC2E5" w:themeColor="accent1" w:themeTint="99"/>
            </w:tcBorders>
            <w:vAlign w:val="center"/>
            <w:hideMark/>
          </w:tcPr>
          <w:p w14:paraId="5374BE95" w14:textId="4D2FEC46" w:rsidR="00FB16D6" w:rsidRPr="00DC1531" w:rsidRDefault="008A60AA" w:rsidP="0058124B">
            <w:pPr>
              <w:spacing w:after="0" w:line="240" w:lineRule="auto"/>
              <w:jc w:val="center"/>
              <w:rPr>
                <w:rFonts w:ascii="Times New Roman" w:eastAsiaTheme="minorHAnsi" w:hAnsi="Times New Roman" w:cs="Times New Roman"/>
                <w:b/>
                <w:bCs/>
                <w:sz w:val="20"/>
                <w:szCs w:val="20"/>
              </w:rPr>
            </w:pPr>
            <w:r w:rsidRPr="00DC1531">
              <w:rPr>
                <w:rFonts w:ascii="Times New Roman" w:eastAsiaTheme="minorHAnsi" w:hAnsi="Times New Roman" w:cs="Times New Roman"/>
                <w:b/>
                <w:sz w:val="20"/>
                <w:szCs w:val="20"/>
              </w:rPr>
              <w:t>SFI</w:t>
            </w:r>
          </w:p>
        </w:tc>
        <w:tc>
          <w:tcPr>
            <w:tcW w:w="3567" w:type="dxa"/>
            <w:gridSpan w:val="2"/>
            <w:tcBorders>
              <w:top w:val="single" w:sz="8" w:space="0" w:color="95B3D7"/>
              <w:left w:val="single" w:sz="4" w:space="0" w:color="9CC2E5" w:themeColor="accent1" w:themeTint="99"/>
              <w:bottom w:val="single" w:sz="8" w:space="0" w:color="95B3D7"/>
              <w:right w:val="single" w:sz="8" w:space="0" w:color="95B3D7"/>
            </w:tcBorders>
            <w:vAlign w:val="center"/>
            <w:hideMark/>
          </w:tcPr>
          <w:p w14:paraId="40C04D12" w14:textId="77777777" w:rsidR="00FB16D6" w:rsidRPr="00DC1531" w:rsidRDefault="00FB16D6" w:rsidP="00DC1531">
            <w:pPr>
              <w:spacing w:after="0" w:line="240" w:lineRule="auto"/>
              <w:jc w:val="center"/>
              <w:rPr>
                <w:rFonts w:ascii="Times New Roman" w:eastAsiaTheme="minorHAnsi" w:hAnsi="Times New Roman" w:cs="Times New Roman"/>
                <w:b/>
                <w:bCs/>
                <w:sz w:val="20"/>
                <w:szCs w:val="20"/>
              </w:rPr>
            </w:pPr>
            <w:r w:rsidRPr="00DC1531">
              <w:rPr>
                <w:rFonts w:ascii="Times New Roman" w:eastAsiaTheme="minorHAnsi" w:hAnsi="Times New Roman" w:cs="Times New Roman"/>
                <w:b/>
                <w:bCs/>
                <w:sz w:val="20"/>
                <w:szCs w:val="20"/>
              </w:rPr>
              <w:t>Kapitāls uz pieprasījumu*</w:t>
            </w:r>
          </w:p>
        </w:tc>
        <w:tc>
          <w:tcPr>
            <w:tcW w:w="2471" w:type="dxa"/>
            <w:vMerge w:val="restart"/>
            <w:tcBorders>
              <w:top w:val="single" w:sz="8" w:space="0" w:color="95B3D7"/>
              <w:left w:val="single" w:sz="8" w:space="0" w:color="95B3D7"/>
              <w:bottom w:val="single" w:sz="8" w:space="0" w:color="95B3D7"/>
              <w:right w:val="single" w:sz="4" w:space="0" w:color="9CC2E5" w:themeColor="accent1" w:themeTint="99"/>
            </w:tcBorders>
            <w:vAlign w:val="center"/>
            <w:hideMark/>
          </w:tcPr>
          <w:p w14:paraId="2C597771" w14:textId="77777777" w:rsidR="00FB16D6" w:rsidRPr="00DC1531" w:rsidRDefault="00FB16D6" w:rsidP="00623897">
            <w:pPr>
              <w:spacing w:after="0" w:line="240" w:lineRule="auto"/>
              <w:jc w:val="center"/>
              <w:rPr>
                <w:rFonts w:ascii="Times New Roman" w:eastAsiaTheme="minorHAnsi" w:hAnsi="Times New Roman" w:cs="Times New Roman"/>
                <w:b/>
                <w:bCs/>
                <w:sz w:val="20"/>
                <w:szCs w:val="20"/>
              </w:rPr>
            </w:pPr>
            <w:r w:rsidRPr="00DC1531">
              <w:rPr>
                <w:rFonts w:ascii="Times New Roman" w:eastAsiaTheme="minorHAnsi" w:hAnsi="Times New Roman" w:cs="Times New Roman"/>
                <w:b/>
                <w:bCs/>
                <w:i/>
                <w:sz w:val="20"/>
                <w:szCs w:val="20"/>
              </w:rPr>
              <w:t>euro</w:t>
            </w:r>
            <w:r w:rsidRPr="00DC1531">
              <w:rPr>
                <w:rFonts w:ascii="Times New Roman" w:eastAsiaTheme="minorHAnsi" w:hAnsi="Times New Roman" w:cs="Times New Roman"/>
                <w:b/>
                <w:bCs/>
                <w:sz w:val="20"/>
                <w:szCs w:val="20"/>
              </w:rPr>
              <w:t xml:space="preserve"> **</w:t>
            </w:r>
          </w:p>
        </w:tc>
      </w:tr>
      <w:tr w:rsidR="00FB16D6" w:rsidRPr="00B57D0A" w14:paraId="6A8D9244" w14:textId="77777777" w:rsidTr="00BB1154">
        <w:trPr>
          <w:trHeight w:val="284"/>
        </w:trPr>
        <w:tc>
          <w:tcPr>
            <w:tcW w:w="3762" w:type="dxa"/>
            <w:vMerge/>
            <w:tcBorders>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8CCF360" w14:textId="77777777" w:rsidR="00FB16D6" w:rsidRPr="00DC1531" w:rsidRDefault="00FB16D6" w:rsidP="00623897">
            <w:pPr>
              <w:spacing w:after="0" w:line="240" w:lineRule="auto"/>
              <w:jc w:val="both"/>
              <w:rPr>
                <w:rFonts w:ascii="Times New Roman" w:eastAsiaTheme="minorHAnsi" w:hAnsi="Times New Roman" w:cs="Times New Roman"/>
                <w:b/>
                <w:bCs/>
                <w:sz w:val="20"/>
                <w:szCs w:val="20"/>
                <w:highlight w:val="yellow"/>
              </w:rPr>
            </w:pPr>
          </w:p>
        </w:tc>
        <w:tc>
          <w:tcPr>
            <w:tcW w:w="2471" w:type="dxa"/>
            <w:tcBorders>
              <w:top w:val="nil"/>
              <w:left w:val="single" w:sz="4" w:space="0" w:color="9CC2E5" w:themeColor="accent1" w:themeTint="99"/>
              <w:bottom w:val="single" w:sz="8" w:space="0" w:color="95B3D7"/>
              <w:right w:val="single" w:sz="8" w:space="0" w:color="95B3D7"/>
            </w:tcBorders>
            <w:vAlign w:val="center"/>
            <w:hideMark/>
          </w:tcPr>
          <w:p w14:paraId="39A158DB" w14:textId="65A5C21A" w:rsidR="00FB16D6" w:rsidRPr="00DC1531" w:rsidRDefault="00FB16D6" w:rsidP="0058124B">
            <w:pPr>
              <w:spacing w:after="0" w:line="240" w:lineRule="auto"/>
              <w:jc w:val="center"/>
              <w:rPr>
                <w:rFonts w:ascii="Times New Roman" w:eastAsiaTheme="minorHAnsi" w:hAnsi="Times New Roman" w:cs="Times New Roman"/>
                <w:b/>
                <w:bCs/>
                <w:sz w:val="20"/>
                <w:szCs w:val="20"/>
              </w:rPr>
            </w:pPr>
            <w:r w:rsidRPr="00DC1531">
              <w:rPr>
                <w:rFonts w:ascii="Times New Roman" w:eastAsiaTheme="minorHAnsi" w:hAnsi="Times New Roman" w:cs="Times New Roman"/>
                <w:b/>
                <w:bCs/>
                <w:sz w:val="20"/>
                <w:szCs w:val="20"/>
              </w:rPr>
              <w:t>att.</w:t>
            </w:r>
            <w:r w:rsidR="00052D08" w:rsidRPr="00DC1531">
              <w:rPr>
                <w:rFonts w:ascii="Times New Roman" w:eastAsiaTheme="minorHAnsi" w:hAnsi="Times New Roman" w:cs="Times New Roman"/>
                <w:b/>
                <w:bCs/>
                <w:sz w:val="20"/>
                <w:szCs w:val="20"/>
              </w:rPr>
              <w:t xml:space="preserve"> </w:t>
            </w:r>
            <w:r w:rsidRPr="00DC1531">
              <w:rPr>
                <w:rFonts w:ascii="Times New Roman" w:eastAsiaTheme="minorHAnsi" w:hAnsi="Times New Roman" w:cs="Times New Roman"/>
                <w:b/>
                <w:bCs/>
                <w:sz w:val="20"/>
                <w:szCs w:val="20"/>
              </w:rPr>
              <w:t>valūtas vienībās</w:t>
            </w:r>
          </w:p>
        </w:tc>
        <w:tc>
          <w:tcPr>
            <w:tcW w:w="1096" w:type="dxa"/>
            <w:tcBorders>
              <w:top w:val="nil"/>
              <w:left w:val="nil"/>
              <w:bottom w:val="single" w:sz="8" w:space="0" w:color="95B3D7"/>
              <w:right w:val="single" w:sz="8" w:space="0" w:color="95B3D7"/>
            </w:tcBorders>
            <w:vAlign w:val="center"/>
            <w:hideMark/>
          </w:tcPr>
          <w:p w14:paraId="7DDA9F20" w14:textId="77777777" w:rsidR="00FB16D6" w:rsidRPr="00DC1531" w:rsidRDefault="00FB16D6" w:rsidP="00DC1531">
            <w:pPr>
              <w:spacing w:after="0" w:line="240" w:lineRule="auto"/>
              <w:jc w:val="center"/>
              <w:rPr>
                <w:rFonts w:ascii="Times New Roman" w:eastAsiaTheme="minorHAnsi" w:hAnsi="Times New Roman" w:cs="Times New Roman"/>
                <w:b/>
                <w:bCs/>
                <w:i/>
                <w:iCs/>
                <w:sz w:val="20"/>
                <w:szCs w:val="20"/>
              </w:rPr>
            </w:pPr>
            <w:r w:rsidRPr="00DC1531">
              <w:rPr>
                <w:rFonts w:ascii="Times New Roman" w:eastAsiaTheme="minorHAnsi" w:hAnsi="Times New Roman" w:cs="Times New Roman"/>
                <w:b/>
                <w:bCs/>
                <w:i/>
                <w:iCs/>
                <w:sz w:val="20"/>
                <w:szCs w:val="20"/>
              </w:rPr>
              <w:t>Valūta</w:t>
            </w:r>
          </w:p>
        </w:tc>
        <w:tc>
          <w:tcPr>
            <w:tcW w:w="2471" w:type="dxa"/>
            <w:vMerge/>
            <w:tcBorders>
              <w:bottom w:val="single" w:sz="4" w:space="0" w:color="9CC2E5" w:themeColor="accent1" w:themeTint="99"/>
              <w:right w:val="single" w:sz="4" w:space="0" w:color="9CC2E5" w:themeColor="accent1" w:themeTint="99"/>
            </w:tcBorders>
            <w:vAlign w:val="center"/>
            <w:hideMark/>
          </w:tcPr>
          <w:p w14:paraId="47177919" w14:textId="77777777" w:rsidR="00FB16D6" w:rsidRPr="00DC1531" w:rsidRDefault="00FB16D6" w:rsidP="00623897">
            <w:pPr>
              <w:spacing w:after="0" w:line="240" w:lineRule="auto"/>
              <w:jc w:val="both"/>
              <w:rPr>
                <w:rFonts w:ascii="Times New Roman" w:eastAsiaTheme="minorHAnsi" w:hAnsi="Times New Roman" w:cs="Times New Roman"/>
                <w:b/>
                <w:bCs/>
                <w:sz w:val="20"/>
                <w:szCs w:val="20"/>
                <w:highlight w:val="yellow"/>
              </w:rPr>
            </w:pPr>
          </w:p>
        </w:tc>
      </w:tr>
      <w:tr w:rsidR="00BD0EA7" w:rsidRPr="00B57D0A" w14:paraId="403A90CE" w14:textId="77777777" w:rsidTr="00BB1154">
        <w:trPr>
          <w:trHeight w:val="284"/>
        </w:trPr>
        <w:tc>
          <w:tcPr>
            <w:tcW w:w="3762" w:type="dxa"/>
            <w:tcBorders>
              <w:top w:val="single" w:sz="4" w:space="0" w:color="9CC2E5" w:themeColor="accent1" w:themeTint="99"/>
              <w:left w:val="single" w:sz="8" w:space="0" w:color="95B3D7"/>
              <w:bottom w:val="single" w:sz="8" w:space="0" w:color="95B3D7"/>
              <w:right w:val="single" w:sz="8" w:space="0" w:color="95B3D7"/>
            </w:tcBorders>
            <w:shd w:val="clear" w:color="auto" w:fill="DBE5F1"/>
            <w:vAlign w:val="center"/>
            <w:hideMark/>
          </w:tcPr>
          <w:p w14:paraId="543120E8" w14:textId="61057AF7" w:rsidR="00BD0EA7" w:rsidRPr="00DC1531" w:rsidRDefault="48DDF9F1" w:rsidP="00BD0EA7">
            <w:pPr>
              <w:spacing w:after="0" w:line="240" w:lineRule="auto"/>
              <w:jc w:val="center"/>
              <w:rPr>
                <w:rFonts w:ascii="Times New Roman" w:eastAsiaTheme="minorHAnsi" w:hAnsi="Times New Roman" w:cs="Times New Roman"/>
                <w:sz w:val="20"/>
                <w:szCs w:val="20"/>
              </w:rPr>
            </w:pPr>
            <w:r w:rsidRPr="00DC1531">
              <w:rPr>
                <w:rFonts w:ascii="Times New Roman" w:hAnsi="Times New Roman" w:cs="Times New Roman"/>
                <w:sz w:val="20"/>
                <w:szCs w:val="20"/>
              </w:rPr>
              <w:t>Eiropas Padomes Attīstības banka</w:t>
            </w:r>
          </w:p>
        </w:tc>
        <w:tc>
          <w:tcPr>
            <w:tcW w:w="2471" w:type="dxa"/>
            <w:tcBorders>
              <w:top w:val="nil"/>
              <w:left w:val="nil"/>
              <w:bottom w:val="single" w:sz="8" w:space="0" w:color="95B3D7"/>
              <w:right w:val="single" w:sz="8" w:space="0" w:color="95B3D7"/>
            </w:tcBorders>
            <w:shd w:val="clear" w:color="auto" w:fill="DBE5F1"/>
            <w:vAlign w:val="center"/>
            <w:hideMark/>
          </w:tcPr>
          <w:p w14:paraId="7BC834D3" w14:textId="6B71713B" w:rsidR="00BD0EA7" w:rsidRPr="00DC1531" w:rsidRDefault="00BD0EA7" w:rsidP="00BD0EA7">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18 518 509,00</w:t>
            </w:r>
          </w:p>
        </w:tc>
        <w:tc>
          <w:tcPr>
            <w:tcW w:w="1096" w:type="dxa"/>
            <w:tcBorders>
              <w:top w:val="nil"/>
              <w:left w:val="nil"/>
              <w:bottom w:val="single" w:sz="8" w:space="0" w:color="95B3D7"/>
              <w:right w:val="single" w:sz="8" w:space="0" w:color="95B3D7"/>
            </w:tcBorders>
            <w:shd w:val="clear" w:color="auto" w:fill="DBE5F1"/>
            <w:vAlign w:val="center"/>
            <w:hideMark/>
          </w:tcPr>
          <w:p w14:paraId="4A9F8CF8" w14:textId="1A2C5B41" w:rsidR="00BD0EA7" w:rsidRPr="00DC1531" w:rsidRDefault="00BD0EA7" w:rsidP="00DC1531">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EUR</w:t>
            </w:r>
          </w:p>
        </w:tc>
        <w:tc>
          <w:tcPr>
            <w:tcW w:w="2471" w:type="dxa"/>
            <w:tcBorders>
              <w:top w:val="single" w:sz="4" w:space="0" w:color="9CC2E5" w:themeColor="accent1" w:themeTint="99"/>
              <w:left w:val="nil"/>
              <w:bottom w:val="single" w:sz="8" w:space="0" w:color="95B3D7"/>
              <w:right w:val="single" w:sz="8" w:space="0" w:color="95B3D7"/>
            </w:tcBorders>
            <w:shd w:val="clear" w:color="auto" w:fill="DBE5F1"/>
            <w:vAlign w:val="center"/>
            <w:hideMark/>
          </w:tcPr>
          <w:p w14:paraId="65EFEBEB" w14:textId="29B8BD5E" w:rsidR="00BD0EA7" w:rsidRPr="00DC1531" w:rsidRDefault="00BD0EA7" w:rsidP="00BD0EA7">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18 518 509,00</w:t>
            </w:r>
          </w:p>
        </w:tc>
      </w:tr>
      <w:tr w:rsidR="00FB16D6" w:rsidRPr="00B57D0A" w14:paraId="3E552F4D" w14:textId="77777777" w:rsidTr="469479B5">
        <w:trPr>
          <w:trHeight w:val="315"/>
        </w:trPr>
        <w:tc>
          <w:tcPr>
            <w:tcW w:w="3762" w:type="dxa"/>
            <w:tcBorders>
              <w:top w:val="nil"/>
              <w:left w:val="single" w:sz="8" w:space="0" w:color="95B3D7"/>
              <w:bottom w:val="single" w:sz="8" w:space="0" w:color="95B3D7"/>
              <w:right w:val="single" w:sz="8" w:space="0" w:color="95B3D7"/>
            </w:tcBorders>
            <w:vAlign w:val="center"/>
            <w:hideMark/>
          </w:tcPr>
          <w:p w14:paraId="21D20109" w14:textId="381FC743" w:rsidR="00FB16D6" w:rsidRPr="00DC1531" w:rsidRDefault="00FB16D6" w:rsidP="0058124B">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Eiropas Rekonstrukcijas un attīstības banka</w:t>
            </w:r>
          </w:p>
        </w:tc>
        <w:tc>
          <w:tcPr>
            <w:tcW w:w="2471" w:type="dxa"/>
            <w:tcBorders>
              <w:top w:val="nil"/>
              <w:left w:val="nil"/>
              <w:bottom w:val="single" w:sz="8" w:space="0" w:color="95B3D7"/>
              <w:right w:val="single" w:sz="8" w:space="0" w:color="95B3D7"/>
            </w:tcBorders>
            <w:vAlign w:val="center"/>
            <w:hideMark/>
          </w:tcPr>
          <w:p w14:paraId="107E73B7" w14:textId="03CCF08E" w:rsidR="00FB16D6" w:rsidRPr="00DC1531" w:rsidRDefault="00FB16D6"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23 750 000,00</w:t>
            </w:r>
          </w:p>
        </w:tc>
        <w:tc>
          <w:tcPr>
            <w:tcW w:w="1096" w:type="dxa"/>
            <w:tcBorders>
              <w:top w:val="nil"/>
              <w:left w:val="nil"/>
              <w:bottom w:val="single" w:sz="8" w:space="0" w:color="95B3D7"/>
              <w:right w:val="single" w:sz="8" w:space="0" w:color="95B3D7"/>
            </w:tcBorders>
            <w:vAlign w:val="center"/>
            <w:hideMark/>
          </w:tcPr>
          <w:p w14:paraId="5E29E4DB" w14:textId="77777777" w:rsidR="00FB16D6" w:rsidRPr="00DC1531" w:rsidRDefault="00FB16D6" w:rsidP="00DC1531">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EUR</w:t>
            </w:r>
          </w:p>
        </w:tc>
        <w:tc>
          <w:tcPr>
            <w:tcW w:w="2471" w:type="dxa"/>
            <w:tcBorders>
              <w:top w:val="nil"/>
              <w:left w:val="nil"/>
              <w:bottom w:val="single" w:sz="8" w:space="0" w:color="95B3D7"/>
              <w:right w:val="single" w:sz="8" w:space="0" w:color="95B3D7"/>
            </w:tcBorders>
            <w:vAlign w:val="center"/>
            <w:hideMark/>
          </w:tcPr>
          <w:p w14:paraId="083D9A4D" w14:textId="2F5E1A99" w:rsidR="00FB16D6" w:rsidRPr="00DC1531" w:rsidRDefault="00FB16D6"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23 750 000,00</w:t>
            </w:r>
          </w:p>
        </w:tc>
      </w:tr>
      <w:tr w:rsidR="00FB16D6" w:rsidRPr="00B57D0A" w14:paraId="03749067" w14:textId="77777777" w:rsidTr="00BB1154">
        <w:trPr>
          <w:trHeight w:val="284"/>
        </w:trPr>
        <w:tc>
          <w:tcPr>
            <w:tcW w:w="3762" w:type="dxa"/>
            <w:tcBorders>
              <w:top w:val="nil"/>
              <w:left w:val="single" w:sz="8" w:space="0" w:color="95B3D7"/>
              <w:bottom w:val="single" w:sz="8" w:space="0" w:color="95B3D7"/>
              <w:right w:val="single" w:sz="8" w:space="0" w:color="95B3D7"/>
            </w:tcBorders>
            <w:shd w:val="clear" w:color="auto" w:fill="DBE5F1"/>
            <w:vAlign w:val="center"/>
            <w:hideMark/>
          </w:tcPr>
          <w:p w14:paraId="650460B5" w14:textId="77777777" w:rsidR="00FB16D6" w:rsidRPr="00DC1531" w:rsidRDefault="00FB16D6" w:rsidP="0058124B">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Eiropas Investīciju banka</w:t>
            </w:r>
          </w:p>
        </w:tc>
        <w:tc>
          <w:tcPr>
            <w:tcW w:w="2471" w:type="dxa"/>
            <w:tcBorders>
              <w:top w:val="nil"/>
              <w:left w:val="nil"/>
              <w:bottom w:val="single" w:sz="8" w:space="0" w:color="95B3D7"/>
              <w:right w:val="single" w:sz="8" w:space="0" w:color="95B3D7"/>
            </w:tcBorders>
            <w:shd w:val="clear" w:color="auto" w:fill="DBE5F1"/>
            <w:vAlign w:val="center"/>
            <w:hideMark/>
          </w:tcPr>
          <w:p w14:paraId="73FEE162" w14:textId="2474A6E3" w:rsidR="00FB16D6" w:rsidRPr="00DC1531" w:rsidRDefault="00685E60"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243 254 895,00</w:t>
            </w:r>
          </w:p>
        </w:tc>
        <w:tc>
          <w:tcPr>
            <w:tcW w:w="1096" w:type="dxa"/>
            <w:tcBorders>
              <w:top w:val="nil"/>
              <w:left w:val="nil"/>
              <w:bottom w:val="single" w:sz="8" w:space="0" w:color="95B3D7"/>
              <w:right w:val="single" w:sz="8" w:space="0" w:color="95B3D7"/>
            </w:tcBorders>
            <w:shd w:val="clear" w:color="auto" w:fill="DBE5F1"/>
            <w:vAlign w:val="center"/>
            <w:hideMark/>
          </w:tcPr>
          <w:p w14:paraId="14196072" w14:textId="77777777" w:rsidR="00FB16D6" w:rsidRPr="00DC1531" w:rsidRDefault="00FB16D6" w:rsidP="00DC1531">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EUR</w:t>
            </w:r>
          </w:p>
        </w:tc>
        <w:tc>
          <w:tcPr>
            <w:tcW w:w="2471" w:type="dxa"/>
            <w:tcBorders>
              <w:top w:val="nil"/>
              <w:left w:val="nil"/>
              <w:bottom w:val="single" w:sz="8" w:space="0" w:color="95B3D7"/>
              <w:right w:val="single" w:sz="8" w:space="0" w:color="95B3D7"/>
            </w:tcBorders>
            <w:shd w:val="clear" w:color="auto" w:fill="DBE5F1"/>
            <w:vAlign w:val="center"/>
            <w:hideMark/>
          </w:tcPr>
          <w:p w14:paraId="2C95A1FF" w14:textId="2A3314A1" w:rsidR="00FB16D6" w:rsidRPr="00DC1531" w:rsidRDefault="00685E60"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243 254 895,00</w:t>
            </w:r>
          </w:p>
        </w:tc>
      </w:tr>
      <w:tr w:rsidR="00FB16D6" w:rsidRPr="00B57D0A" w14:paraId="52A8B84D" w14:textId="77777777" w:rsidTr="00BB1154">
        <w:trPr>
          <w:trHeight w:val="284"/>
        </w:trPr>
        <w:tc>
          <w:tcPr>
            <w:tcW w:w="3762" w:type="dxa"/>
            <w:tcBorders>
              <w:top w:val="nil"/>
              <w:left w:val="single" w:sz="8" w:space="0" w:color="95B3D7"/>
              <w:bottom w:val="single" w:sz="8" w:space="0" w:color="95B3D7"/>
              <w:right w:val="single" w:sz="8" w:space="0" w:color="95B3D7"/>
            </w:tcBorders>
            <w:vAlign w:val="center"/>
            <w:hideMark/>
          </w:tcPr>
          <w:p w14:paraId="29D46DF3" w14:textId="18338F8D" w:rsidR="00FB16D6" w:rsidRPr="00DC1531" w:rsidRDefault="00FB16D6" w:rsidP="0058124B">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Daudzpusējā investīciju garantiju aģentūra</w:t>
            </w:r>
          </w:p>
        </w:tc>
        <w:tc>
          <w:tcPr>
            <w:tcW w:w="2471" w:type="dxa"/>
            <w:tcBorders>
              <w:top w:val="nil"/>
              <w:left w:val="nil"/>
              <w:bottom w:val="single" w:sz="8" w:space="0" w:color="95B3D7"/>
              <w:right w:val="single" w:sz="8" w:space="0" w:color="95B3D7"/>
            </w:tcBorders>
            <w:vAlign w:val="center"/>
            <w:hideMark/>
          </w:tcPr>
          <w:p w14:paraId="558AD566" w14:textId="68353699" w:rsidR="00FB16D6" w:rsidRPr="00DC1531" w:rsidRDefault="00FB16D6"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1 498 99</w:t>
            </w:r>
            <w:r w:rsidR="00685E60" w:rsidRPr="00DC1531">
              <w:rPr>
                <w:rFonts w:ascii="Times New Roman" w:eastAsiaTheme="minorHAnsi" w:hAnsi="Times New Roman" w:cs="Times New Roman"/>
                <w:sz w:val="20"/>
                <w:szCs w:val="20"/>
              </w:rPr>
              <w:t>2</w:t>
            </w:r>
            <w:r w:rsidRPr="00DC1531">
              <w:rPr>
                <w:rFonts w:ascii="Times New Roman" w:eastAsiaTheme="minorHAnsi" w:hAnsi="Times New Roman" w:cs="Times New Roman"/>
                <w:sz w:val="20"/>
                <w:szCs w:val="20"/>
              </w:rPr>
              <w:t>,00</w:t>
            </w:r>
          </w:p>
        </w:tc>
        <w:tc>
          <w:tcPr>
            <w:tcW w:w="1096" w:type="dxa"/>
            <w:tcBorders>
              <w:top w:val="nil"/>
              <w:left w:val="nil"/>
              <w:bottom w:val="single" w:sz="8" w:space="0" w:color="95B3D7"/>
              <w:right w:val="single" w:sz="8" w:space="0" w:color="95B3D7"/>
            </w:tcBorders>
            <w:vAlign w:val="center"/>
            <w:hideMark/>
          </w:tcPr>
          <w:p w14:paraId="4A2986E4" w14:textId="77777777" w:rsidR="00FB16D6" w:rsidRPr="00DC1531" w:rsidRDefault="00FB16D6" w:rsidP="00DC1531">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USD</w:t>
            </w:r>
          </w:p>
        </w:tc>
        <w:tc>
          <w:tcPr>
            <w:tcW w:w="2471" w:type="dxa"/>
            <w:tcBorders>
              <w:top w:val="nil"/>
              <w:left w:val="nil"/>
              <w:bottom w:val="single" w:sz="8" w:space="0" w:color="95B3D7"/>
              <w:right w:val="single" w:sz="8" w:space="0" w:color="95B3D7"/>
            </w:tcBorders>
            <w:vAlign w:val="center"/>
            <w:hideMark/>
          </w:tcPr>
          <w:p w14:paraId="3EA33B76" w14:textId="77777777" w:rsidR="00BA0D41" w:rsidRPr="00DC1531" w:rsidRDefault="00BA0D41"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1 448 026,27</w:t>
            </w:r>
          </w:p>
          <w:p w14:paraId="3628B4B1" w14:textId="20F6D901" w:rsidR="00FB16D6" w:rsidRPr="00DC1531" w:rsidRDefault="00FB16D6" w:rsidP="00656DCF">
            <w:pPr>
              <w:spacing w:after="0" w:line="240" w:lineRule="auto"/>
              <w:jc w:val="center"/>
              <w:rPr>
                <w:rFonts w:ascii="Times New Roman" w:eastAsiaTheme="minorHAnsi" w:hAnsi="Times New Roman" w:cs="Times New Roman"/>
                <w:sz w:val="20"/>
                <w:szCs w:val="20"/>
              </w:rPr>
            </w:pPr>
          </w:p>
        </w:tc>
      </w:tr>
      <w:tr w:rsidR="00623897" w:rsidRPr="00B57D0A" w14:paraId="18FEAF1E" w14:textId="77777777" w:rsidTr="00BB1154">
        <w:trPr>
          <w:trHeight w:val="284"/>
        </w:trPr>
        <w:tc>
          <w:tcPr>
            <w:tcW w:w="3762" w:type="dxa"/>
            <w:tcBorders>
              <w:top w:val="nil"/>
              <w:left w:val="single" w:sz="8" w:space="0" w:color="95B3D7"/>
              <w:bottom w:val="single" w:sz="8" w:space="0" w:color="95B3D7"/>
              <w:right w:val="single" w:sz="8" w:space="0" w:color="95B3D7"/>
            </w:tcBorders>
            <w:shd w:val="clear" w:color="auto" w:fill="DBE5F1"/>
            <w:vAlign w:val="center"/>
            <w:hideMark/>
          </w:tcPr>
          <w:p w14:paraId="2DB33F2F" w14:textId="77777777" w:rsidR="00623897" w:rsidRPr="00DC1531" w:rsidRDefault="00623897" w:rsidP="0058124B">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Ziemeļu Investīciju banka</w:t>
            </w:r>
          </w:p>
        </w:tc>
        <w:tc>
          <w:tcPr>
            <w:tcW w:w="2471" w:type="dxa"/>
            <w:tcBorders>
              <w:top w:val="nil"/>
              <w:left w:val="nil"/>
              <w:bottom w:val="single" w:sz="8" w:space="0" w:color="95B3D7"/>
              <w:right w:val="single" w:sz="8" w:space="0" w:color="95B3D7"/>
            </w:tcBorders>
            <w:shd w:val="clear" w:color="auto" w:fill="DBE5F1"/>
            <w:vAlign w:val="center"/>
            <w:hideMark/>
          </w:tcPr>
          <w:p w14:paraId="508BC66A" w14:textId="5C7C8291" w:rsidR="00623897" w:rsidRPr="00DC1531" w:rsidRDefault="00623897"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100 532 025,22</w:t>
            </w:r>
          </w:p>
        </w:tc>
        <w:tc>
          <w:tcPr>
            <w:tcW w:w="1096" w:type="dxa"/>
            <w:tcBorders>
              <w:top w:val="nil"/>
              <w:left w:val="nil"/>
              <w:bottom w:val="single" w:sz="8" w:space="0" w:color="95B3D7"/>
              <w:right w:val="single" w:sz="8" w:space="0" w:color="95B3D7"/>
            </w:tcBorders>
            <w:shd w:val="clear" w:color="auto" w:fill="DBE5F1"/>
            <w:vAlign w:val="center"/>
            <w:hideMark/>
          </w:tcPr>
          <w:p w14:paraId="1D47B045" w14:textId="65B43463" w:rsidR="00623897" w:rsidRPr="00DC1531" w:rsidRDefault="00623897" w:rsidP="00DC1531">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EUR</w:t>
            </w:r>
          </w:p>
        </w:tc>
        <w:tc>
          <w:tcPr>
            <w:tcW w:w="2471" w:type="dxa"/>
            <w:tcBorders>
              <w:top w:val="nil"/>
              <w:left w:val="nil"/>
              <w:bottom w:val="single" w:sz="8" w:space="0" w:color="95B3D7"/>
              <w:right w:val="single" w:sz="8" w:space="0" w:color="95B3D7"/>
            </w:tcBorders>
            <w:shd w:val="clear" w:color="auto" w:fill="DBE5F1"/>
            <w:vAlign w:val="center"/>
            <w:hideMark/>
          </w:tcPr>
          <w:p w14:paraId="6241FFC9" w14:textId="42B01FD9" w:rsidR="00623897" w:rsidRPr="00DC1531" w:rsidRDefault="00623897"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100 532 025,22</w:t>
            </w:r>
          </w:p>
        </w:tc>
      </w:tr>
      <w:tr w:rsidR="00BD0EA7" w:rsidRPr="00B57D0A" w14:paraId="5245CE6A" w14:textId="77777777" w:rsidTr="00BB1154">
        <w:trPr>
          <w:trHeight w:val="284"/>
        </w:trPr>
        <w:tc>
          <w:tcPr>
            <w:tcW w:w="3762" w:type="dxa"/>
            <w:tcBorders>
              <w:top w:val="nil"/>
              <w:left w:val="single" w:sz="8" w:space="0" w:color="95B3D7"/>
              <w:bottom w:val="single" w:sz="8" w:space="0" w:color="95B3D7"/>
              <w:right w:val="single" w:sz="8" w:space="0" w:color="95B3D7"/>
            </w:tcBorders>
            <w:vAlign w:val="center"/>
            <w:hideMark/>
          </w:tcPr>
          <w:p w14:paraId="7D90D75B" w14:textId="7779DE34" w:rsidR="00BD0EA7" w:rsidRPr="00DC1531" w:rsidRDefault="00BD0EA7" w:rsidP="00BD0EA7">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Starptautiskā Rekonstrukcijas un attīstības banka (Pasaules Banka)</w:t>
            </w:r>
          </w:p>
        </w:tc>
        <w:tc>
          <w:tcPr>
            <w:tcW w:w="2471" w:type="dxa"/>
            <w:tcBorders>
              <w:top w:val="nil"/>
              <w:left w:val="nil"/>
              <w:bottom w:val="single" w:sz="8" w:space="0" w:color="95B3D7"/>
              <w:right w:val="single" w:sz="8" w:space="0" w:color="95B3D7"/>
            </w:tcBorders>
            <w:vAlign w:val="center"/>
            <w:hideMark/>
          </w:tcPr>
          <w:p w14:paraId="38A2A682" w14:textId="6E0B3BC1" w:rsidR="00BD0EA7" w:rsidRPr="00DC1531" w:rsidRDefault="00BD0EA7" w:rsidP="00BD0EA7">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229 276 166,71</w:t>
            </w:r>
          </w:p>
        </w:tc>
        <w:tc>
          <w:tcPr>
            <w:tcW w:w="1096" w:type="dxa"/>
            <w:tcBorders>
              <w:top w:val="nil"/>
              <w:left w:val="nil"/>
              <w:bottom w:val="single" w:sz="8" w:space="0" w:color="95B3D7"/>
              <w:right w:val="single" w:sz="8" w:space="0" w:color="95B3D7"/>
            </w:tcBorders>
            <w:vAlign w:val="center"/>
            <w:hideMark/>
          </w:tcPr>
          <w:p w14:paraId="52DAAB28" w14:textId="2E274EE1" w:rsidR="00BD0EA7" w:rsidRPr="00DC1531" w:rsidRDefault="00BD0EA7" w:rsidP="00DC1531">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USD</w:t>
            </w:r>
          </w:p>
        </w:tc>
        <w:tc>
          <w:tcPr>
            <w:tcW w:w="2471" w:type="dxa"/>
            <w:tcBorders>
              <w:top w:val="nil"/>
              <w:left w:val="nil"/>
              <w:bottom w:val="single" w:sz="8" w:space="0" w:color="95B3D7"/>
              <w:right w:val="single" w:sz="8" w:space="0" w:color="95B3D7"/>
            </w:tcBorders>
            <w:vAlign w:val="center"/>
            <w:hideMark/>
          </w:tcPr>
          <w:p w14:paraId="6805C8E2" w14:textId="77777777" w:rsidR="00BA0D41" w:rsidRPr="00DC1531" w:rsidRDefault="00BA0D41" w:rsidP="00BD0EA7">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221 480 777,04</w:t>
            </w:r>
          </w:p>
          <w:p w14:paraId="29E506E2" w14:textId="158D39FC" w:rsidR="00BD0EA7" w:rsidRPr="00DC1531" w:rsidRDefault="00BD0EA7" w:rsidP="00BD0EA7">
            <w:pPr>
              <w:spacing w:after="0" w:line="240" w:lineRule="auto"/>
              <w:jc w:val="center"/>
              <w:rPr>
                <w:rFonts w:ascii="Times New Roman" w:eastAsiaTheme="minorHAnsi" w:hAnsi="Times New Roman" w:cs="Times New Roman"/>
                <w:sz w:val="20"/>
                <w:szCs w:val="20"/>
              </w:rPr>
            </w:pPr>
          </w:p>
        </w:tc>
      </w:tr>
      <w:tr w:rsidR="00BD0EA7" w:rsidRPr="00B57D0A" w14:paraId="0A4EC080" w14:textId="77777777" w:rsidTr="00BB1154">
        <w:trPr>
          <w:trHeight w:val="284"/>
        </w:trPr>
        <w:tc>
          <w:tcPr>
            <w:tcW w:w="3762" w:type="dxa"/>
            <w:tcBorders>
              <w:top w:val="nil"/>
              <w:left w:val="single" w:sz="8" w:space="0" w:color="95B3D7"/>
              <w:bottom w:val="single" w:sz="8" w:space="0" w:color="95B3D7"/>
              <w:right w:val="single" w:sz="8" w:space="0" w:color="95B3D7"/>
            </w:tcBorders>
            <w:shd w:val="clear" w:color="auto" w:fill="DBE5F1"/>
            <w:vAlign w:val="center"/>
            <w:hideMark/>
          </w:tcPr>
          <w:p w14:paraId="5B0C88D4" w14:textId="77777777" w:rsidR="00BD0EA7" w:rsidRPr="00CE2DCF" w:rsidRDefault="00BD0EA7" w:rsidP="00BD0EA7">
            <w:pPr>
              <w:spacing w:after="0" w:line="240" w:lineRule="auto"/>
              <w:jc w:val="center"/>
              <w:rPr>
                <w:rFonts w:ascii="Times New Roman" w:eastAsiaTheme="minorHAnsi" w:hAnsi="Times New Roman" w:cs="Times New Roman"/>
                <w:sz w:val="20"/>
                <w:szCs w:val="20"/>
              </w:rPr>
            </w:pPr>
            <w:r w:rsidRPr="00CE2DCF">
              <w:rPr>
                <w:rFonts w:ascii="Times New Roman" w:eastAsiaTheme="minorHAnsi" w:hAnsi="Times New Roman" w:cs="Times New Roman"/>
                <w:sz w:val="20"/>
                <w:szCs w:val="20"/>
              </w:rPr>
              <w:t>Starptautiskais Valūtas fonds</w:t>
            </w:r>
          </w:p>
        </w:tc>
        <w:tc>
          <w:tcPr>
            <w:tcW w:w="2471" w:type="dxa"/>
            <w:tcBorders>
              <w:top w:val="nil"/>
              <w:left w:val="nil"/>
              <w:bottom w:val="single" w:sz="8" w:space="0" w:color="95B3D7"/>
              <w:right w:val="single" w:sz="8" w:space="0" w:color="95B3D7"/>
            </w:tcBorders>
            <w:shd w:val="clear" w:color="auto" w:fill="DBE5F1"/>
            <w:vAlign w:val="center"/>
            <w:hideMark/>
          </w:tcPr>
          <w:p w14:paraId="74D2610D" w14:textId="77777777" w:rsidR="00BA0D41" w:rsidRPr="00CE2DCF" w:rsidRDefault="00BA0D41" w:rsidP="00BD0EA7">
            <w:pPr>
              <w:spacing w:after="0" w:line="240" w:lineRule="auto"/>
              <w:jc w:val="center"/>
              <w:rPr>
                <w:rFonts w:ascii="Times New Roman" w:eastAsiaTheme="minorHAnsi" w:hAnsi="Times New Roman" w:cs="Times New Roman"/>
                <w:sz w:val="20"/>
                <w:szCs w:val="20"/>
              </w:rPr>
            </w:pPr>
            <w:r w:rsidRPr="00CE2DCF">
              <w:rPr>
                <w:rFonts w:ascii="Times New Roman" w:eastAsiaTheme="minorHAnsi" w:hAnsi="Times New Roman" w:cs="Times New Roman"/>
                <w:sz w:val="20"/>
                <w:szCs w:val="20"/>
              </w:rPr>
              <w:t>295 082 601,00</w:t>
            </w:r>
          </w:p>
          <w:p w14:paraId="0AEA226F" w14:textId="3FCEBE0A" w:rsidR="00BD0EA7" w:rsidRPr="00CE2DCF" w:rsidRDefault="00BD0EA7" w:rsidP="00BD0EA7">
            <w:pPr>
              <w:spacing w:after="0" w:line="240" w:lineRule="auto"/>
              <w:jc w:val="center"/>
              <w:rPr>
                <w:rFonts w:ascii="Times New Roman" w:eastAsiaTheme="minorHAnsi" w:hAnsi="Times New Roman" w:cs="Times New Roman"/>
                <w:sz w:val="20"/>
                <w:szCs w:val="20"/>
              </w:rPr>
            </w:pPr>
          </w:p>
        </w:tc>
        <w:tc>
          <w:tcPr>
            <w:tcW w:w="1096" w:type="dxa"/>
            <w:tcBorders>
              <w:top w:val="nil"/>
              <w:left w:val="nil"/>
              <w:bottom w:val="single" w:sz="8" w:space="0" w:color="95B3D7"/>
              <w:right w:val="single" w:sz="8" w:space="0" w:color="95B3D7"/>
            </w:tcBorders>
            <w:shd w:val="clear" w:color="auto" w:fill="DBE5F1"/>
            <w:vAlign w:val="center"/>
            <w:hideMark/>
          </w:tcPr>
          <w:p w14:paraId="5337A1A3" w14:textId="58853760" w:rsidR="00BD0EA7" w:rsidRPr="00CE2DCF" w:rsidRDefault="00BD0EA7" w:rsidP="00CE2DCF">
            <w:pPr>
              <w:spacing w:after="0" w:line="240" w:lineRule="auto"/>
              <w:jc w:val="center"/>
              <w:rPr>
                <w:rFonts w:ascii="Times New Roman" w:eastAsiaTheme="minorHAnsi" w:hAnsi="Times New Roman" w:cs="Times New Roman"/>
                <w:sz w:val="20"/>
                <w:szCs w:val="20"/>
              </w:rPr>
            </w:pPr>
            <w:r w:rsidRPr="00CE2DCF">
              <w:rPr>
                <w:rFonts w:ascii="Times New Roman" w:eastAsiaTheme="minorHAnsi" w:hAnsi="Times New Roman" w:cs="Times New Roman"/>
                <w:sz w:val="20"/>
                <w:szCs w:val="20"/>
              </w:rPr>
              <w:t>XDR</w:t>
            </w:r>
          </w:p>
        </w:tc>
        <w:tc>
          <w:tcPr>
            <w:tcW w:w="2471" w:type="dxa"/>
            <w:tcBorders>
              <w:top w:val="nil"/>
              <w:left w:val="nil"/>
              <w:bottom w:val="single" w:sz="8" w:space="0" w:color="95B3D7"/>
              <w:right w:val="single" w:sz="8" w:space="0" w:color="95B3D7"/>
            </w:tcBorders>
            <w:shd w:val="clear" w:color="auto" w:fill="DBE5F1"/>
            <w:vAlign w:val="center"/>
            <w:hideMark/>
          </w:tcPr>
          <w:p w14:paraId="1840D597" w14:textId="2F644B1A" w:rsidR="00BD0EA7" w:rsidRPr="00CE2DCF" w:rsidRDefault="00BA0D41" w:rsidP="00BD0EA7">
            <w:pPr>
              <w:spacing w:after="0" w:line="240" w:lineRule="auto"/>
              <w:jc w:val="center"/>
              <w:rPr>
                <w:rFonts w:ascii="Times New Roman" w:eastAsiaTheme="minorHAnsi" w:hAnsi="Times New Roman" w:cs="Times New Roman"/>
                <w:sz w:val="20"/>
                <w:szCs w:val="20"/>
              </w:rPr>
            </w:pPr>
            <w:r w:rsidRPr="00CE2DCF">
              <w:rPr>
                <w:rFonts w:ascii="Times New Roman" w:eastAsiaTheme="minorHAnsi" w:hAnsi="Times New Roman" w:cs="Times New Roman"/>
                <w:sz w:val="20"/>
                <w:szCs w:val="20"/>
              </w:rPr>
              <w:t>374 459 820,67</w:t>
            </w:r>
          </w:p>
        </w:tc>
      </w:tr>
      <w:tr w:rsidR="00FB16D6" w:rsidRPr="00B57D0A" w14:paraId="2DAF31C2" w14:textId="77777777" w:rsidTr="00BB1154">
        <w:trPr>
          <w:trHeight w:val="284"/>
        </w:trPr>
        <w:tc>
          <w:tcPr>
            <w:tcW w:w="3762" w:type="dxa"/>
            <w:tcBorders>
              <w:top w:val="nil"/>
              <w:left w:val="single" w:sz="8" w:space="0" w:color="95B3D7"/>
              <w:bottom w:val="single" w:sz="8" w:space="0" w:color="95B3D7"/>
              <w:right w:val="single" w:sz="8" w:space="0" w:color="95B3D7"/>
            </w:tcBorders>
            <w:vAlign w:val="center"/>
            <w:hideMark/>
          </w:tcPr>
          <w:p w14:paraId="0A3B9C49" w14:textId="77777777" w:rsidR="00FB16D6" w:rsidRPr="00DC1531" w:rsidRDefault="00FB16D6" w:rsidP="0058124B">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Eiropas Stabilitātes mehānisms</w:t>
            </w:r>
          </w:p>
        </w:tc>
        <w:tc>
          <w:tcPr>
            <w:tcW w:w="2471" w:type="dxa"/>
            <w:tcBorders>
              <w:top w:val="nil"/>
              <w:left w:val="nil"/>
              <w:bottom w:val="single" w:sz="8" w:space="0" w:color="95B3D7"/>
              <w:right w:val="single" w:sz="8" w:space="0" w:color="95B3D7"/>
            </w:tcBorders>
            <w:vAlign w:val="center"/>
            <w:hideMark/>
          </w:tcPr>
          <w:p w14:paraId="2BE74F53" w14:textId="7ED17595" w:rsidR="00FB16D6" w:rsidRPr="00DC1531" w:rsidRDefault="00FB16D6"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1 714 100 000,00</w:t>
            </w:r>
          </w:p>
        </w:tc>
        <w:tc>
          <w:tcPr>
            <w:tcW w:w="1096" w:type="dxa"/>
            <w:tcBorders>
              <w:top w:val="nil"/>
              <w:left w:val="nil"/>
              <w:bottom w:val="single" w:sz="8" w:space="0" w:color="95B3D7"/>
              <w:right w:val="single" w:sz="8" w:space="0" w:color="95B3D7"/>
            </w:tcBorders>
            <w:vAlign w:val="center"/>
            <w:hideMark/>
          </w:tcPr>
          <w:p w14:paraId="63DADC78" w14:textId="77777777" w:rsidR="00FB16D6" w:rsidRPr="00DC1531" w:rsidRDefault="00FB16D6" w:rsidP="00DC1531">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EUR</w:t>
            </w:r>
          </w:p>
        </w:tc>
        <w:tc>
          <w:tcPr>
            <w:tcW w:w="2471" w:type="dxa"/>
            <w:tcBorders>
              <w:top w:val="nil"/>
              <w:left w:val="nil"/>
              <w:bottom w:val="single" w:sz="8" w:space="0" w:color="95B3D7"/>
              <w:right w:val="single" w:sz="8" w:space="0" w:color="95B3D7"/>
            </w:tcBorders>
            <w:vAlign w:val="center"/>
            <w:hideMark/>
          </w:tcPr>
          <w:p w14:paraId="5E48E612" w14:textId="79C2AC3C" w:rsidR="00FB16D6" w:rsidRPr="00DC1531" w:rsidRDefault="00FB16D6" w:rsidP="00656DCF">
            <w:pPr>
              <w:spacing w:after="0" w:line="240" w:lineRule="auto"/>
              <w:jc w:val="center"/>
              <w:rPr>
                <w:rFonts w:ascii="Times New Roman" w:eastAsiaTheme="minorHAnsi" w:hAnsi="Times New Roman" w:cs="Times New Roman"/>
                <w:sz w:val="20"/>
                <w:szCs w:val="20"/>
              </w:rPr>
            </w:pPr>
            <w:r w:rsidRPr="00DC1531">
              <w:rPr>
                <w:rFonts w:ascii="Times New Roman" w:eastAsiaTheme="minorHAnsi" w:hAnsi="Times New Roman" w:cs="Times New Roman"/>
                <w:sz w:val="20"/>
                <w:szCs w:val="20"/>
              </w:rPr>
              <w:t>1 714 100 000,00</w:t>
            </w:r>
          </w:p>
        </w:tc>
      </w:tr>
      <w:tr w:rsidR="00623897" w:rsidRPr="00B57D0A" w14:paraId="562946C2" w14:textId="77777777" w:rsidTr="00BB1154">
        <w:trPr>
          <w:trHeight w:val="284"/>
        </w:trPr>
        <w:tc>
          <w:tcPr>
            <w:tcW w:w="7329" w:type="dxa"/>
            <w:gridSpan w:val="3"/>
            <w:tcBorders>
              <w:top w:val="single" w:sz="8" w:space="0" w:color="95B3D7"/>
              <w:left w:val="single" w:sz="8" w:space="0" w:color="95B3D7"/>
              <w:bottom w:val="single" w:sz="8" w:space="0" w:color="95B3D7"/>
              <w:right w:val="single" w:sz="8" w:space="0" w:color="95B3D7"/>
            </w:tcBorders>
            <w:shd w:val="clear" w:color="auto" w:fill="DBE5F1"/>
            <w:vAlign w:val="center"/>
            <w:hideMark/>
          </w:tcPr>
          <w:p w14:paraId="3514A490" w14:textId="77777777" w:rsidR="00623897" w:rsidRPr="00DC1531" w:rsidRDefault="00623897" w:rsidP="00623897">
            <w:pPr>
              <w:spacing w:after="0" w:line="240" w:lineRule="auto"/>
              <w:jc w:val="right"/>
              <w:rPr>
                <w:rFonts w:ascii="Times New Roman" w:eastAsiaTheme="minorHAnsi" w:hAnsi="Times New Roman" w:cs="Times New Roman"/>
                <w:b/>
                <w:bCs/>
                <w:sz w:val="20"/>
                <w:szCs w:val="20"/>
              </w:rPr>
            </w:pPr>
            <w:r w:rsidRPr="00DC1531">
              <w:rPr>
                <w:rFonts w:ascii="Times New Roman" w:eastAsiaTheme="minorHAnsi" w:hAnsi="Times New Roman" w:cs="Times New Roman"/>
                <w:b/>
                <w:bCs/>
                <w:sz w:val="20"/>
                <w:szCs w:val="20"/>
              </w:rPr>
              <w:t>Kopā</w:t>
            </w:r>
          </w:p>
        </w:tc>
        <w:tc>
          <w:tcPr>
            <w:tcW w:w="2471" w:type="dxa"/>
            <w:tcBorders>
              <w:top w:val="nil"/>
              <w:left w:val="nil"/>
              <w:bottom w:val="single" w:sz="8" w:space="0" w:color="95B3D7"/>
              <w:right w:val="single" w:sz="8" w:space="0" w:color="95B3D7"/>
            </w:tcBorders>
            <w:shd w:val="clear" w:color="auto" w:fill="DBE5F1"/>
            <w:vAlign w:val="center"/>
            <w:hideMark/>
          </w:tcPr>
          <w:p w14:paraId="0C890F5B" w14:textId="77777777" w:rsidR="00BA0D41" w:rsidRPr="00DC1531" w:rsidRDefault="00BA0D41" w:rsidP="00656DCF">
            <w:pPr>
              <w:spacing w:after="0" w:line="240" w:lineRule="auto"/>
              <w:jc w:val="center"/>
              <w:rPr>
                <w:rFonts w:ascii="Times New Roman" w:hAnsi="Times New Roman" w:cs="Times New Roman"/>
                <w:b/>
                <w:bCs/>
                <w:sz w:val="20"/>
                <w:szCs w:val="20"/>
              </w:rPr>
            </w:pPr>
            <w:r w:rsidRPr="00DC1531">
              <w:rPr>
                <w:rFonts w:ascii="Times New Roman" w:hAnsi="Times New Roman" w:cs="Times New Roman"/>
                <w:b/>
                <w:bCs/>
                <w:sz w:val="20"/>
                <w:szCs w:val="20"/>
              </w:rPr>
              <w:t>2 697 544 053,20</w:t>
            </w:r>
          </w:p>
          <w:p w14:paraId="73F9EDEB" w14:textId="3E8D7E76" w:rsidR="00623897" w:rsidRPr="00DC1531" w:rsidRDefault="00623897" w:rsidP="00656DCF">
            <w:pPr>
              <w:spacing w:after="0" w:line="240" w:lineRule="auto"/>
              <w:jc w:val="center"/>
              <w:rPr>
                <w:rFonts w:ascii="Times New Roman" w:eastAsiaTheme="minorHAnsi" w:hAnsi="Times New Roman" w:cs="Times New Roman"/>
                <w:b/>
                <w:bCs/>
                <w:sz w:val="20"/>
                <w:szCs w:val="20"/>
              </w:rPr>
            </w:pPr>
          </w:p>
        </w:tc>
      </w:tr>
      <w:tr w:rsidR="00623897" w:rsidRPr="00B57D0A" w14:paraId="0B66279E" w14:textId="77777777" w:rsidTr="469479B5">
        <w:trPr>
          <w:trHeight w:val="300"/>
        </w:trPr>
        <w:tc>
          <w:tcPr>
            <w:tcW w:w="9800" w:type="dxa"/>
            <w:gridSpan w:val="4"/>
            <w:tcBorders>
              <w:top w:val="nil"/>
              <w:left w:val="nil"/>
              <w:bottom w:val="nil"/>
              <w:right w:val="nil"/>
            </w:tcBorders>
            <w:noWrap/>
            <w:vAlign w:val="center"/>
            <w:hideMark/>
          </w:tcPr>
          <w:p w14:paraId="088C5A05" w14:textId="2A0FDC72" w:rsidR="00623897" w:rsidRPr="00DC1531" w:rsidRDefault="00623897" w:rsidP="002D428D">
            <w:pPr>
              <w:spacing w:after="0" w:line="240" w:lineRule="auto"/>
              <w:ind w:left="-120"/>
              <w:rPr>
                <w:rFonts w:ascii="Times New Roman" w:eastAsiaTheme="minorHAnsi" w:hAnsi="Times New Roman" w:cs="Times New Roman"/>
                <w:sz w:val="20"/>
                <w:szCs w:val="20"/>
                <w:highlight w:val="yellow"/>
              </w:rPr>
            </w:pPr>
            <w:r w:rsidRPr="00DC1531">
              <w:rPr>
                <w:rFonts w:ascii="Times New Roman" w:eastAsiaTheme="minorHAnsi" w:hAnsi="Times New Roman" w:cs="Times New Roman"/>
                <w:i/>
                <w:iCs/>
                <w:sz w:val="20"/>
                <w:szCs w:val="20"/>
              </w:rPr>
              <w:t>*</w:t>
            </w:r>
            <w:r w:rsidR="005A07F4" w:rsidRPr="00DC1531">
              <w:rPr>
                <w:rFonts w:ascii="Times New Roman" w:eastAsiaTheme="minorHAnsi" w:hAnsi="Times New Roman" w:cs="Times New Roman"/>
                <w:i/>
                <w:iCs/>
                <w:sz w:val="20"/>
                <w:szCs w:val="20"/>
              </w:rPr>
              <w:t xml:space="preserve"> </w:t>
            </w:r>
            <w:r w:rsidRPr="00DC1531">
              <w:rPr>
                <w:rFonts w:ascii="Times New Roman" w:eastAsiaTheme="minorHAnsi" w:hAnsi="Times New Roman" w:cs="Times New Roman"/>
                <w:i/>
                <w:iCs/>
                <w:sz w:val="20"/>
                <w:szCs w:val="20"/>
              </w:rPr>
              <w:t>saskaņā ar spēkā esošiem līgumiem</w:t>
            </w:r>
          </w:p>
        </w:tc>
      </w:tr>
      <w:tr w:rsidR="00623897" w:rsidRPr="00B57D0A" w14:paraId="570C065F" w14:textId="77777777" w:rsidTr="469479B5">
        <w:trPr>
          <w:trHeight w:val="300"/>
        </w:trPr>
        <w:tc>
          <w:tcPr>
            <w:tcW w:w="9800" w:type="dxa"/>
            <w:gridSpan w:val="4"/>
            <w:tcBorders>
              <w:top w:val="nil"/>
              <w:left w:val="nil"/>
              <w:bottom w:val="nil"/>
              <w:right w:val="nil"/>
            </w:tcBorders>
            <w:noWrap/>
            <w:vAlign w:val="center"/>
            <w:hideMark/>
          </w:tcPr>
          <w:p w14:paraId="690A9BE8" w14:textId="3E8C9801" w:rsidR="00623897" w:rsidRPr="00DC1531" w:rsidRDefault="01A8F412" w:rsidP="469479B5">
            <w:pPr>
              <w:spacing w:after="0" w:line="240" w:lineRule="auto"/>
              <w:ind w:left="-120"/>
              <w:jc w:val="both"/>
              <w:rPr>
                <w:rFonts w:ascii="Times New Roman" w:hAnsi="Times New Roman" w:cs="Times New Roman"/>
                <w:i/>
                <w:iCs/>
                <w:sz w:val="20"/>
                <w:szCs w:val="20"/>
              </w:rPr>
            </w:pPr>
            <w:r w:rsidRPr="00DC1531">
              <w:rPr>
                <w:rFonts w:ascii="Times New Roman" w:hAnsi="Times New Roman" w:cs="Times New Roman"/>
                <w:i/>
                <w:iCs/>
                <w:sz w:val="20"/>
                <w:szCs w:val="20"/>
              </w:rPr>
              <w:t>**</w:t>
            </w:r>
            <w:r w:rsidR="22AA343D" w:rsidRPr="00DC1531">
              <w:rPr>
                <w:rFonts w:ascii="Times New Roman" w:hAnsi="Times New Roman" w:cs="Times New Roman"/>
                <w:i/>
                <w:iCs/>
                <w:sz w:val="20"/>
                <w:szCs w:val="20"/>
              </w:rPr>
              <w:t xml:space="preserve"> </w:t>
            </w:r>
            <w:r w:rsidRPr="00DC1531">
              <w:rPr>
                <w:rFonts w:ascii="Times New Roman" w:hAnsi="Times New Roman" w:cs="Times New Roman"/>
                <w:i/>
                <w:iCs/>
                <w:sz w:val="20"/>
                <w:szCs w:val="20"/>
              </w:rPr>
              <w:t>aprēķinā izmantoti valsts budžeta pieprasījumu 202</w:t>
            </w:r>
            <w:r w:rsidR="00BA0D41" w:rsidRPr="00DC1531">
              <w:rPr>
                <w:rFonts w:ascii="Times New Roman" w:hAnsi="Times New Roman" w:cs="Times New Roman"/>
                <w:i/>
                <w:iCs/>
                <w:sz w:val="20"/>
                <w:szCs w:val="20"/>
              </w:rPr>
              <w:t>5</w:t>
            </w:r>
            <w:r w:rsidR="52F60C78" w:rsidRPr="00DC1531">
              <w:rPr>
                <w:rFonts w:ascii="Times New Roman" w:hAnsi="Times New Roman" w:cs="Times New Roman"/>
                <w:i/>
                <w:iCs/>
                <w:sz w:val="20"/>
                <w:szCs w:val="20"/>
              </w:rPr>
              <w:t>.</w:t>
            </w:r>
            <w:r w:rsidR="006E3148" w:rsidRPr="00DC1531">
              <w:rPr>
                <w:rFonts w:ascii="Times New Roman" w:hAnsi="Times New Roman" w:cs="Times New Roman"/>
                <w:i/>
                <w:iCs/>
                <w:sz w:val="20"/>
                <w:szCs w:val="20"/>
              </w:rPr>
              <w:t xml:space="preserve"> </w:t>
            </w:r>
            <w:r w:rsidRPr="00DC1531">
              <w:rPr>
                <w:rFonts w:ascii="Times New Roman" w:hAnsi="Times New Roman" w:cs="Times New Roman"/>
                <w:sz w:val="20"/>
                <w:szCs w:val="20"/>
              </w:rPr>
              <w:t>–</w:t>
            </w:r>
            <w:r w:rsidR="006E3148" w:rsidRPr="00DC1531">
              <w:rPr>
                <w:rFonts w:ascii="Times New Roman" w:hAnsi="Times New Roman" w:cs="Times New Roman"/>
                <w:sz w:val="20"/>
                <w:szCs w:val="20"/>
              </w:rPr>
              <w:t xml:space="preserve"> </w:t>
            </w:r>
            <w:r w:rsidR="64DB89C2" w:rsidRPr="00DC1531">
              <w:rPr>
                <w:rFonts w:ascii="Times New Roman" w:hAnsi="Times New Roman" w:cs="Times New Roman"/>
                <w:i/>
                <w:iCs/>
                <w:sz w:val="20"/>
                <w:szCs w:val="20"/>
              </w:rPr>
              <w:t>202</w:t>
            </w:r>
            <w:r w:rsidR="00BA0D41" w:rsidRPr="00DC1531">
              <w:rPr>
                <w:rFonts w:ascii="Times New Roman" w:hAnsi="Times New Roman" w:cs="Times New Roman"/>
                <w:i/>
                <w:iCs/>
                <w:sz w:val="20"/>
                <w:szCs w:val="20"/>
              </w:rPr>
              <w:t>7</w:t>
            </w:r>
            <w:r w:rsidRPr="00DC1531">
              <w:rPr>
                <w:rFonts w:ascii="Times New Roman" w:hAnsi="Times New Roman" w:cs="Times New Roman"/>
                <w:i/>
                <w:iCs/>
                <w:sz w:val="20"/>
                <w:szCs w:val="20"/>
              </w:rPr>
              <w:t>.</w:t>
            </w:r>
            <w:r w:rsidR="17D1DF28" w:rsidRPr="00DC1531">
              <w:rPr>
                <w:rFonts w:ascii="Times New Roman" w:hAnsi="Times New Roman" w:cs="Times New Roman"/>
                <w:b/>
                <w:bCs/>
                <w:sz w:val="20"/>
                <w:szCs w:val="20"/>
              </w:rPr>
              <w:t xml:space="preserve"> </w:t>
            </w:r>
            <w:r w:rsidRPr="00DC1531">
              <w:rPr>
                <w:rFonts w:ascii="Times New Roman" w:hAnsi="Times New Roman" w:cs="Times New Roman"/>
                <w:i/>
                <w:iCs/>
                <w:sz w:val="20"/>
                <w:szCs w:val="20"/>
              </w:rPr>
              <w:t>gadam sagatavošanai izmantojamie ārvalstu valūtu maiņas kursi</w:t>
            </w:r>
          </w:p>
        </w:tc>
      </w:tr>
    </w:tbl>
    <w:p w14:paraId="035D445B" w14:textId="77777777" w:rsidR="001F3A40" w:rsidRPr="006E3148" w:rsidRDefault="001F3A40" w:rsidP="00623897">
      <w:pPr>
        <w:spacing w:after="0" w:line="240" w:lineRule="auto"/>
        <w:jc w:val="both"/>
        <w:rPr>
          <w:rFonts w:ascii="Times New Roman" w:eastAsiaTheme="minorHAnsi" w:hAnsi="Times New Roman" w:cs="Times New Roman"/>
          <w:sz w:val="16"/>
          <w:szCs w:val="12"/>
        </w:rPr>
      </w:pPr>
    </w:p>
    <w:p w14:paraId="72CDD602" w14:textId="23C7BF45" w:rsidR="008A60AA" w:rsidRPr="00EA3B36" w:rsidRDefault="008A60AA" w:rsidP="00DB2A78">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 xml:space="preserve">Līgumos paredzētā kapitāla uz pieprasījumu </w:t>
      </w:r>
      <w:r w:rsidRPr="006E3A40">
        <w:rPr>
          <w:rFonts w:ascii="Times New Roman" w:eastAsiaTheme="minorHAnsi" w:hAnsi="Times New Roman" w:cs="Times New Roman"/>
          <w:sz w:val="24"/>
          <w:szCs w:val="20"/>
        </w:rPr>
        <w:t xml:space="preserve">kopējā summa ir </w:t>
      </w:r>
      <w:r w:rsidR="00BA0D41">
        <w:rPr>
          <w:rFonts w:ascii="Times New Roman" w:eastAsiaTheme="minorHAnsi" w:hAnsi="Times New Roman" w:cs="Times New Roman"/>
          <w:sz w:val="24"/>
          <w:szCs w:val="20"/>
        </w:rPr>
        <w:t xml:space="preserve">2 697 </w:t>
      </w:r>
      <w:r w:rsidR="00DB2A78" w:rsidRPr="006E3A40">
        <w:rPr>
          <w:rFonts w:ascii="Times New Roman" w:eastAsiaTheme="minorHAnsi" w:hAnsi="Times New Roman" w:cs="Times New Roman"/>
          <w:sz w:val="24"/>
          <w:szCs w:val="20"/>
        </w:rPr>
        <w:t xml:space="preserve">milj. </w:t>
      </w:r>
      <w:r w:rsidR="00DB2A78" w:rsidRPr="006E3A40">
        <w:rPr>
          <w:rFonts w:ascii="Times New Roman" w:eastAsiaTheme="minorHAnsi" w:hAnsi="Times New Roman" w:cs="Times New Roman"/>
          <w:i/>
          <w:sz w:val="24"/>
          <w:szCs w:val="20"/>
        </w:rPr>
        <w:t>euro</w:t>
      </w:r>
      <w:r w:rsidR="00DB2A78" w:rsidRPr="006E3A40">
        <w:rPr>
          <w:rFonts w:ascii="Times New Roman" w:eastAsiaTheme="minorHAnsi" w:hAnsi="Times New Roman" w:cs="Times New Roman"/>
          <w:sz w:val="24"/>
          <w:szCs w:val="20"/>
        </w:rPr>
        <w:t>.</w:t>
      </w:r>
      <w:r w:rsidR="00DB2A78" w:rsidRPr="00EA3B36">
        <w:rPr>
          <w:rFonts w:ascii="Times New Roman" w:eastAsiaTheme="minorHAnsi" w:hAnsi="Times New Roman" w:cs="Times New Roman"/>
          <w:sz w:val="24"/>
          <w:szCs w:val="20"/>
        </w:rPr>
        <w:t xml:space="preserve"> </w:t>
      </w:r>
    </w:p>
    <w:p w14:paraId="0B3E180F" w14:textId="313AE697" w:rsidR="006D6C33" w:rsidRPr="00EA3B36" w:rsidRDefault="008A60AA" w:rsidP="008A60AA">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 xml:space="preserve">Līdzšinējā pieredze Latvijas dalībā </w:t>
      </w:r>
      <w:r w:rsidR="006D42CF" w:rsidRPr="00EA3B36">
        <w:rPr>
          <w:rFonts w:ascii="Times New Roman" w:eastAsiaTheme="minorHAnsi" w:hAnsi="Times New Roman" w:cs="Times New Roman"/>
          <w:sz w:val="24"/>
          <w:szCs w:val="20"/>
        </w:rPr>
        <w:t>SFI</w:t>
      </w:r>
      <w:r w:rsidRPr="00EA3B36">
        <w:rPr>
          <w:rFonts w:ascii="Times New Roman" w:eastAsiaTheme="minorHAnsi" w:hAnsi="Times New Roman" w:cs="Times New Roman"/>
          <w:sz w:val="24"/>
          <w:szCs w:val="20"/>
        </w:rPr>
        <w:t xml:space="preserve"> rāda, ka situācija, kad jāveic maksājumu kapitālā uz pieprasījumu, kas palielina deficītu, ir </w:t>
      </w:r>
      <w:r w:rsidR="00685E60" w:rsidRPr="00EA3B36">
        <w:rPr>
          <w:rFonts w:ascii="Times New Roman" w:eastAsiaTheme="minorHAnsi" w:hAnsi="Times New Roman" w:cs="Times New Roman"/>
          <w:sz w:val="24"/>
          <w:szCs w:val="20"/>
        </w:rPr>
        <w:t>maz ticama</w:t>
      </w:r>
      <w:r w:rsidR="002A15FA" w:rsidRPr="00EA3B36">
        <w:rPr>
          <w:rFonts w:ascii="Times New Roman" w:eastAsiaTheme="minorHAnsi" w:hAnsi="Times New Roman" w:cs="Times New Roman"/>
          <w:sz w:val="24"/>
          <w:szCs w:val="20"/>
        </w:rPr>
        <w:t>.</w:t>
      </w:r>
      <w:r w:rsidRPr="00EA3B36">
        <w:rPr>
          <w:rFonts w:ascii="Times New Roman" w:eastAsiaTheme="minorHAnsi" w:hAnsi="Times New Roman" w:cs="Times New Roman"/>
          <w:sz w:val="24"/>
          <w:szCs w:val="20"/>
        </w:rPr>
        <w:t xml:space="preserve"> </w:t>
      </w:r>
      <w:r w:rsidR="00685E60" w:rsidRPr="00EA3B36">
        <w:rPr>
          <w:rFonts w:ascii="Times New Roman" w:eastAsiaTheme="minorHAnsi" w:hAnsi="Times New Roman" w:cs="Times New Roman"/>
          <w:sz w:val="24"/>
          <w:szCs w:val="20"/>
        </w:rPr>
        <w:t xml:space="preserve">Līdz šim šādu maksājumu nepieciešamība nav bijusi. </w:t>
      </w:r>
      <w:r w:rsidRPr="00EA3B36">
        <w:rPr>
          <w:rFonts w:ascii="Times New Roman" w:eastAsiaTheme="minorHAnsi" w:hAnsi="Times New Roman" w:cs="Times New Roman"/>
          <w:sz w:val="24"/>
          <w:szCs w:val="20"/>
        </w:rPr>
        <w:t xml:space="preserve">Jāatzīmē, ka kapitāla uz pieprasījuma jēga ir nodrošināt SFI augstu </w:t>
      </w:r>
      <w:r w:rsidR="00685E60" w:rsidRPr="00EA3B36">
        <w:rPr>
          <w:rFonts w:ascii="Times New Roman" w:eastAsiaTheme="minorHAnsi" w:hAnsi="Times New Roman" w:cs="Times New Roman"/>
          <w:sz w:val="24"/>
          <w:szCs w:val="20"/>
        </w:rPr>
        <w:t>kredīt</w:t>
      </w:r>
      <w:r w:rsidRPr="00EA3B36">
        <w:rPr>
          <w:rFonts w:ascii="Times New Roman" w:eastAsiaTheme="minorHAnsi" w:hAnsi="Times New Roman" w:cs="Times New Roman"/>
          <w:sz w:val="24"/>
          <w:szCs w:val="20"/>
        </w:rPr>
        <w:t xml:space="preserve">reitingu, lai varētu no starptautiskajiem finanšu tirgiem piesaistīt lētākus finanšu resursus. Kapitāls uz pieprasījumu darbojas kā pēdējā garantija, ja SFI cieš zaudējumus, ko nav iespējams segt ar pašas SFI uzkrātajām rezervēm. </w:t>
      </w:r>
    </w:p>
    <w:p w14:paraId="46D6EC7B" w14:textId="372C51B9" w:rsidR="00BD0EA7" w:rsidRDefault="48DDF9F1" w:rsidP="469479B5">
      <w:pPr>
        <w:spacing w:after="0" w:line="240" w:lineRule="auto"/>
        <w:ind w:firstLine="709"/>
        <w:jc w:val="both"/>
        <w:rPr>
          <w:rFonts w:ascii="Times New Roman" w:hAnsi="Times New Roman" w:cs="Times New Roman"/>
          <w:sz w:val="24"/>
          <w:szCs w:val="24"/>
        </w:rPr>
      </w:pPr>
      <w:bookmarkStart w:id="96" w:name="_Hlk172814780"/>
      <w:r w:rsidRPr="469479B5">
        <w:rPr>
          <w:rFonts w:ascii="Times New Roman" w:hAnsi="Times New Roman" w:cs="Times New Roman"/>
          <w:sz w:val="24"/>
          <w:szCs w:val="24"/>
        </w:rPr>
        <w:t>202</w:t>
      </w:r>
      <w:r w:rsidR="00BA0D41">
        <w:rPr>
          <w:rFonts w:ascii="Times New Roman" w:hAnsi="Times New Roman" w:cs="Times New Roman"/>
          <w:sz w:val="24"/>
          <w:szCs w:val="24"/>
        </w:rPr>
        <w:t>4</w:t>
      </w:r>
      <w:r w:rsidRPr="469479B5">
        <w:rPr>
          <w:rFonts w:ascii="Times New Roman" w:hAnsi="Times New Roman" w:cs="Times New Roman"/>
          <w:sz w:val="24"/>
          <w:szCs w:val="24"/>
        </w:rPr>
        <w:t>.</w:t>
      </w:r>
      <w:r w:rsidR="600CE5C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beigās nav identificēts, ka varētu būt mainījusies Latvijas ieguldījumu vērtība augstāk minētajās SFI. Visu SFI, kurās Latvija ir kapitāldaļu turētāja, 202</w:t>
      </w:r>
      <w:r w:rsidR="00BA0D41">
        <w:rPr>
          <w:rFonts w:ascii="Times New Roman" w:hAnsi="Times New Roman" w:cs="Times New Roman"/>
          <w:sz w:val="24"/>
          <w:szCs w:val="24"/>
        </w:rPr>
        <w:t>4</w:t>
      </w:r>
      <w:r w:rsidRPr="469479B5">
        <w:rPr>
          <w:rFonts w:ascii="Times New Roman" w:hAnsi="Times New Roman" w:cs="Times New Roman"/>
          <w:sz w:val="24"/>
          <w:szCs w:val="24"/>
        </w:rPr>
        <w:t>.</w:t>
      </w:r>
      <w:r w:rsidR="4C2287F5"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gada pārskati apliecina attiecīgo SFI finanšu stabilitāti. Visas minētās SFI darbojas ar peļņu. </w:t>
      </w:r>
    </w:p>
    <w:bookmarkEnd w:id="96"/>
    <w:p w14:paraId="74204E7D" w14:textId="58C0DA52" w:rsidR="00597AED" w:rsidRDefault="00DB2A78" w:rsidP="006E3148">
      <w:pPr>
        <w:spacing w:after="100" w:afterAutospacing="1" w:line="240" w:lineRule="auto"/>
        <w:ind w:firstLine="709"/>
        <w:jc w:val="both"/>
        <w:rPr>
          <w:rFonts w:ascii="Times New Roman" w:eastAsiaTheme="minorHAnsi" w:hAnsi="Times New Roman" w:cs="Times New Roman"/>
          <w:b/>
          <w:bCs/>
          <w:sz w:val="24"/>
          <w:szCs w:val="20"/>
        </w:rPr>
      </w:pPr>
      <w:r w:rsidRPr="00EA3B36">
        <w:rPr>
          <w:rFonts w:ascii="Times New Roman" w:eastAsiaTheme="minorHAnsi" w:hAnsi="Times New Roman" w:cs="Times New Roman"/>
          <w:sz w:val="24"/>
          <w:szCs w:val="20"/>
        </w:rPr>
        <w:t xml:space="preserve">Ņemot vērā </w:t>
      </w:r>
      <w:r w:rsidRPr="008A2B5F">
        <w:rPr>
          <w:rFonts w:ascii="Times New Roman" w:eastAsiaTheme="minorHAnsi" w:hAnsi="Times New Roman" w:cs="Times New Roman"/>
          <w:sz w:val="24"/>
          <w:szCs w:val="20"/>
        </w:rPr>
        <w:t xml:space="preserve">zemo riska iestāšanās varbūtību, </w:t>
      </w:r>
      <w:r w:rsidRPr="008A2B5F">
        <w:rPr>
          <w:rFonts w:ascii="Times New Roman" w:eastAsiaTheme="minorHAnsi" w:hAnsi="Times New Roman" w:cs="Times New Roman"/>
          <w:b/>
          <w:bCs/>
          <w:sz w:val="24"/>
          <w:szCs w:val="20"/>
        </w:rPr>
        <w:t xml:space="preserve">fiskālo risku nodrošinājuma rezerve šim riskam netiek veidota. </w:t>
      </w:r>
    </w:p>
    <w:p w14:paraId="16ABA98A" w14:textId="5A4BB112" w:rsidR="0030420E" w:rsidRPr="00980D91" w:rsidRDefault="0030420E" w:rsidP="00497710">
      <w:pPr>
        <w:pStyle w:val="Heading2"/>
        <w:numPr>
          <w:ilvl w:val="1"/>
          <w:numId w:val="4"/>
        </w:numPr>
        <w:tabs>
          <w:tab w:val="left" w:pos="709"/>
        </w:tabs>
        <w:spacing w:before="120" w:after="120" w:line="240" w:lineRule="auto"/>
        <w:ind w:left="567" w:hanging="555"/>
        <w:rPr>
          <w:rFonts w:cs="Times New Roman"/>
          <w:color w:val="auto"/>
          <w:szCs w:val="24"/>
        </w:rPr>
      </w:pPr>
      <w:bookmarkStart w:id="97" w:name="_Toc405371086"/>
      <w:bookmarkStart w:id="98" w:name="_Toc536779067"/>
      <w:bookmarkStart w:id="99" w:name="_Toc205554422"/>
      <w:bookmarkEnd w:id="94"/>
      <w:r w:rsidRPr="00980D91">
        <w:rPr>
          <w:rFonts w:cs="Times New Roman"/>
          <w:color w:val="auto"/>
          <w:szCs w:val="24"/>
        </w:rPr>
        <w:t xml:space="preserve">Valsts </w:t>
      </w:r>
      <w:r w:rsidR="00BD417F" w:rsidRPr="00980D91">
        <w:rPr>
          <w:rFonts w:cs="Times New Roman"/>
          <w:color w:val="auto"/>
          <w:szCs w:val="24"/>
        </w:rPr>
        <w:t xml:space="preserve">un pašvaldību </w:t>
      </w:r>
      <w:r w:rsidRPr="00980D91">
        <w:rPr>
          <w:rFonts w:cs="Times New Roman"/>
          <w:color w:val="auto"/>
          <w:szCs w:val="24"/>
        </w:rPr>
        <w:t>kapitālsabiedrības</w:t>
      </w:r>
      <w:bookmarkEnd w:id="97"/>
      <w:bookmarkEnd w:id="98"/>
      <w:bookmarkEnd w:id="99"/>
    </w:p>
    <w:p w14:paraId="6B09D5EC" w14:textId="67CF9268" w:rsidR="001D3D94" w:rsidRPr="00EA3B36" w:rsidRDefault="001D3D94" w:rsidP="00497710">
      <w:pPr>
        <w:spacing w:after="0" w:line="240" w:lineRule="auto"/>
        <w:ind w:firstLine="709"/>
        <w:jc w:val="both"/>
        <w:rPr>
          <w:rFonts w:ascii="Times New Roman" w:eastAsiaTheme="minorHAnsi" w:hAnsi="Times New Roman" w:cs="Times New Roman"/>
          <w:sz w:val="24"/>
          <w:szCs w:val="20"/>
        </w:rPr>
      </w:pPr>
      <w:r w:rsidRPr="008A2B5F">
        <w:rPr>
          <w:rFonts w:ascii="Times New Roman" w:eastAsiaTheme="minorHAnsi" w:hAnsi="Times New Roman" w:cs="Times New Roman"/>
          <w:sz w:val="24"/>
          <w:szCs w:val="20"/>
        </w:rPr>
        <w:t>Šī specifiskā fiskālā riska</w:t>
      </w:r>
      <w:r w:rsidRPr="00EA3B36">
        <w:rPr>
          <w:rFonts w:ascii="Times New Roman" w:eastAsiaTheme="minorHAnsi" w:hAnsi="Times New Roman" w:cs="Times New Roman"/>
          <w:sz w:val="24"/>
          <w:szCs w:val="20"/>
        </w:rPr>
        <w:t xml:space="preserve"> avots attiecas uz kapitālsabiedrībām, kuras ir iekļautas vispārējās valdības sektorā (apakšsektors S130130 “Valsts struktūru kontrolēti un finansēti komersanti” un S130330 “Pašvaldību struktūru kontrolētas un finansētas komercsabiedrības”) ieņēmumu un izdevumu rezultātu un parādu atbilstoši EKS</w:t>
      </w:r>
      <w:r w:rsidR="0099117B" w:rsidRPr="00EA3B36">
        <w:rPr>
          <w:rFonts w:ascii="Times New Roman" w:eastAsiaTheme="minorHAnsi" w:hAnsi="Times New Roman" w:cs="Times New Roman"/>
          <w:sz w:val="24"/>
          <w:szCs w:val="20"/>
        </w:rPr>
        <w:t xml:space="preserve"> </w:t>
      </w:r>
      <w:r w:rsidRPr="00EA3B36">
        <w:rPr>
          <w:rFonts w:ascii="Times New Roman" w:eastAsiaTheme="minorHAnsi" w:hAnsi="Times New Roman" w:cs="Times New Roman"/>
          <w:sz w:val="24"/>
          <w:szCs w:val="20"/>
        </w:rPr>
        <w:t>uzskaites metodoloģijai (</w:t>
      </w:r>
      <w:r w:rsidR="0099117B" w:rsidRPr="00EA3B36">
        <w:rPr>
          <w:rFonts w:ascii="Times New Roman" w:eastAsiaTheme="minorHAnsi" w:hAnsi="Times New Roman" w:cs="Times New Roman"/>
          <w:sz w:val="24"/>
          <w:szCs w:val="20"/>
        </w:rPr>
        <w:t xml:space="preserve">šīs deklarācijas apakšsadaļas ietvaros </w:t>
      </w:r>
      <w:r w:rsidRPr="00EA3B36">
        <w:rPr>
          <w:rFonts w:ascii="Times New Roman" w:eastAsiaTheme="minorHAnsi" w:hAnsi="Times New Roman" w:cs="Times New Roman"/>
          <w:sz w:val="24"/>
          <w:szCs w:val="20"/>
        </w:rPr>
        <w:t xml:space="preserve">turpmāk – saimnieciskās darbības rezultāts) attiecīgajā pārskata periodā. </w:t>
      </w:r>
      <w:r w:rsidR="0049534B" w:rsidRPr="00EA3B36">
        <w:rPr>
          <w:rFonts w:ascii="Times New Roman" w:eastAsiaTheme="minorHAnsi" w:hAnsi="Times New Roman" w:cs="Times New Roman"/>
          <w:sz w:val="24"/>
        </w:rPr>
        <w:t>V</w:t>
      </w:r>
      <w:r w:rsidRPr="00EA3B36">
        <w:rPr>
          <w:rFonts w:ascii="Times New Roman" w:eastAsiaTheme="minorHAnsi" w:hAnsi="Times New Roman" w:cs="Times New Roman"/>
          <w:sz w:val="24"/>
        </w:rPr>
        <w:t>alsts un pašvaldību kapitālsabiedrības</w:t>
      </w:r>
      <w:r w:rsidRPr="00EA3B36">
        <w:rPr>
          <w:rFonts w:ascii="Times New Roman" w:eastAsiaTheme="minorHAnsi" w:hAnsi="Times New Roman"/>
          <w:sz w:val="24"/>
          <w:szCs w:val="24"/>
          <w:lang w:eastAsia="lv-LV"/>
        </w:rPr>
        <w:t xml:space="preserve"> tiek iekļautas </w:t>
      </w:r>
      <w:r w:rsidRPr="00EA3B36">
        <w:rPr>
          <w:rFonts w:ascii="Times New Roman" w:eastAsiaTheme="minorHAnsi" w:hAnsi="Times New Roman" w:cs="Times New Roman"/>
          <w:sz w:val="24"/>
          <w:szCs w:val="24"/>
          <w:lang w:eastAsia="lv-LV"/>
        </w:rPr>
        <w:t>vispārējās valdības sektorā, ja atbilstoši EKS metodoloģiskajiem kritērijiem tiek konstatēts, ka:</w:t>
      </w:r>
    </w:p>
    <w:p w14:paraId="7360BA97" w14:textId="77777777" w:rsidR="001D3D94" w:rsidRPr="00EA3B36" w:rsidRDefault="001D3D94" w:rsidP="001D3D94">
      <w:pPr>
        <w:numPr>
          <w:ilvl w:val="0"/>
          <w:numId w:val="18"/>
        </w:numPr>
        <w:spacing w:after="0" w:line="240" w:lineRule="auto"/>
        <w:ind w:left="1134" w:firstLine="0"/>
        <w:jc w:val="both"/>
        <w:rPr>
          <w:rFonts w:ascii="Times New Roman" w:eastAsia="Calibri" w:hAnsi="Times New Roman" w:cs="Times New Roman"/>
          <w:sz w:val="24"/>
          <w:szCs w:val="24"/>
          <w:lang w:eastAsia="lv-LV"/>
        </w:rPr>
      </w:pPr>
      <w:r w:rsidRPr="00EA3B36">
        <w:rPr>
          <w:rFonts w:ascii="Times New Roman" w:eastAsia="Calibri" w:hAnsi="Times New Roman" w:cs="Times New Roman"/>
          <w:sz w:val="24"/>
          <w:szCs w:val="24"/>
          <w:lang w:eastAsia="lv-LV"/>
        </w:rPr>
        <w:t>valsts vai pašvaldības kontrolē komercsabiedrību;</w:t>
      </w:r>
    </w:p>
    <w:p w14:paraId="60E3166F" w14:textId="1920A631" w:rsidR="001D3D94" w:rsidRPr="00EA3B36" w:rsidRDefault="001D3D94" w:rsidP="001D3D94">
      <w:pPr>
        <w:numPr>
          <w:ilvl w:val="0"/>
          <w:numId w:val="18"/>
        </w:numPr>
        <w:spacing w:after="0" w:line="240" w:lineRule="auto"/>
        <w:ind w:left="1418" w:hanging="284"/>
        <w:jc w:val="both"/>
        <w:rPr>
          <w:rFonts w:ascii="Times New Roman" w:eastAsia="Calibri" w:hAnsi="Times New Roman" w:cs="Times New Roman"/>
          <w:sz w:val="24"/>
          <w:szCs w:val="24"/>
          <w:lang w:eastAsia="lv-LV"/>
        </w:rPr>
      </w:pPr>
      <w:r w:rsidRPr="00EA3B36">
        <w:rPr>
          <w:rFonts w:ascii="Times New Roman" w:eastAsia="Calibri" w:hAnsi="Times New Roman" w:cs="Times New Roman"/>
          <w:sz w:val="24"/>
          <w:szCs w:val="24"/>
          <w:lang w:eastAsia="lv-LV"/>
        </w:rPr>
        <w:t>komercsabiedrība ir ārpus</w:t>
      </w:r>
      <w:r w:rsidR="00D35A3A" w:rsidRPr="00EA3B36">
        <w:rPr>
          <w:rFonts w:ascii="Times New Roman" w:eastAsiaTheme="minorHAnsi" w:hAnsi="Times New Roman" w:cs="Times New Roman"/>
          <w:sz w:val="24"/>
          <w:szCs w:val="20"/>
        </w:rPr>
        <w:t>–</w:t>
      </w:r>
      <w:r w:rsidRPr="00EA3B36">
        <w:rPr>
          <w:rFonts w:ascii="Times New Roman" w:eastAsia="Calibri" w:hAnsi="Times New Roman" w:cs="Times New Roman"/>
          <w:sz w:val="24"/>
          <w:szCs w:val="24"/>
          <w:lang w:eastAsia="lv-LV"/>
        </w:rPr>
        <w:t xml:space="preserve">tirgus ražotājs. </w:t>
      </w:r>
    </w:p>
    <w:p w14:paraId="718F7FEB" w14:textId="0550D988" w:rsidR="00600D7F" w:rsidRDefault="00600D7F" w:rsidP="001D3D94">
      <w:pPr>
        <w:spacing w:after="0" w:line="240" w:lineRule="auto"/>
        <w:ind w:firstLine="720"/>
        <w:jc w:val="both"/>
        <w:rPr>
          <w:rFonts w:ascii="Times New Roman" w:hAnsi="Times New Roman"/>
          <w:sz w:val="24"/>
        </w:rPr>
      </w:pPr>
      <w:r w:rsidRPr="00DC1531">
        <w:rPr>
          <w:rFonts w:ascii="Times New Roman" w:hAnsi="Times New Roman"/>
          <w:sz w:val="24"/>
          <w:szCs w:val="24"/>
        </w:rPr>
        <w:t xml:space="preserve">Situācijā, kad komercsabiedrība nodrošina preces un pakalpojumus tirgus apstākļos (cenas ir </w:t>
      </w:r>
      <w:r w:rsidRPr="00DC1531">
        <w:rPr>
          <w:rFonts w:ascii="Times New Roman" w:hAnsi="Times New Roman" w:cs="Times New Roman"/>
          <w:sz w:val="24"/>
          <w:szCs w:val="24"/>
        </w:rPr>
        <w:t xml:space="preserve">ekonomiski nozīmīgas) un ir arī vienīgais piegādātājs valdībai (deleģējuma līguma gadījumā) tiek analizēta komercsabiedrības finansiālā darbība. Tiek veikta pārbaude par kvantitatīvā 50% kritērija izpildi (turpmāk </w:t>
      </w:r>
      <w:r w:rsidR="001416C1">
        <w:rPr>
          <w:rFonts w:ascii="Times New Roman" w:hAnsi="Times New Roman" w:cs="Times New Roman"/>
          <w:sz w:val="24"/>
          <w:szCs w:val="24"/>
        </w:rPr>
        <w:t>– kvantitatīvais</w:t>
      </w:r>
      <w:r w:rsidRPr="00DC1531">
        <w:rPr>
          <w:rFonts w:ascii="Times New Roman" w:hAnsi="Times New Roman" w:cs="Times New Roman"/>
          <w:sz w:val="24"/>
          <w:szCs w:val="24"/>
        </w:rPr>
        <w:t xml:space="preserve"> 50% tests), izmantojot pārdošanas ieņēmumu attiecību pret ražošanas izmaksām</w:t>
      </w:r>
      <w:r w:rsidRPr="00DC1531">
        <w:rPr>
          <w:rStyle w:val="FootnoteReference"/>
          <w:rFonts w:ascii="Times New Roman" w:hAnsi="Times New Roman" w:cs="Times New Roman"/>
          <w:sz w:val="24"/>
          <w:szCs w:val="24"/>
        </w:rPr>
        <w:footnoteReference w:id="35"/>
      </w:r>
      <w:r w:rsidRPr="00DC1531">
        <w:rPr>
          <w:rFonts w:ascii="Times New Roman" w:hAnsi="Times New Roman" w:cs="Times New Roman"/>
          <w:sz w:val="24"/>
          <w:szCs w:val="24"/>
        </w:rPr>
        <w:t>. Ja vismaz pēdējos trīs gadus kvantitatīvā testa vērtība ir zem 50%, tad komercsabiedrība tiek pieklasificēta vispārējās valdības sektoram.</w:t>
      </w:r>
    </w:p>
    <w:p w14:paraId="02E0899A" w14:textId="75163F83" w:rsidR="001D3D94" w:rsidRPr="00EA3B36" w:rsidRDefault="001D3D94" w:rsidP="001D3D94">
      <w:pPr>
        <w:spacing w:after="0" w:line="240" w:lineRule="auto"/>
        <w:ind w:firstLine="720"/>
        <w:jc w:val="both"/>
        <w:rPr>
          <w:rFonts w:ascii="Times New Roman" w:hAnsi="Times New Roman"/>
          <w:sz w:val="24"/>
        </w:rPr>
      </w:pPr>
      <w:r w:rsidRPr="00EA3B36">
        <w:rPr>
          <w:rFonts w:ascii="Times New Roman" w:hAnsi="Times New Roman"/>
          <w:sz w:val="24"/>
        </w:rPr>
        <w:t>Fiskālais risks iestājas gadījumā, kad saimnieciskās darbības rezultāts</w:t>
      </w:r>
      <w:r w:rsidRPr="00EA3B36" w:rsidDel="00A66465">
        <w:rPr>
          <w:rFonts w:ascii="Times New Roman" w:hAnsi="Times New Roman"/>
          <w:sz w:val="24"/>
        </w:rPr>
        <w:t xml:space="preserve"> </w:t>
      </w:r>
      <w:r w:rsidRPr="00EA3B36">
        <w:rPr>
          <w:rFonts w:ascii="Times New Roman" w:hAnsi="Times New Roman"/>
          <w:sz w:val="24"/>
        </w:rPr>
        <w:t>pārskata periodā negatīvi novirzās no vispārējās valdības budžeta prognozēs plānotā apmēra, tādējādi pasliktinot vispārējās valdības budžeta bilanci un/vai parādu. Risks iestājas arī gadījumā, ja iepriekš vispārējās valdības sektorā neklasificēta kapitālsabiedrība tiek klasificēta vispārējās valdības sektorā un tās saimnieciskās darbības rezultāts (ņemot vērā konsolidācijas efektus sektora ietvaros) ir negatīvs.</w:t>
      </w:r>
    </w:p>
    <w:p w14:paraId="7B0B9449" w14:textId="1587CD8F" w:rsidR="001D3D94" w:rsidRPr="00EA3B36" w:rsidRDefault="001D3D94" w:rsidP="001D3D94">
      <w:pPr>
        <w:spacing w:after="0" w:line="240" w:lineRule="auto"/>
        <w:ind w:firstLine="720"/>
        <w:jc w:val="both"/>
      </w:pPr>
      <w:r w:rsidRPr="00EA3B36">
        <w:rPr>
          <w:rFonts w:ascii="Times New Roman" w:hAnsi="Times New Roman"/>
          <w:sz w:val="24"/>
        </w:rPr>
        <w:t>Sagatavojot vispārējās valdības budžeta prognozes, tiek izmantoti aptaujās iegūtie rezultāti un tiek aptaujāti pilnīgi visi centrālai valdībai pieklasificēti komersanti</w:t>
      </w:r>
      <w:r w:rsidR="001015EF" w:rsidRPr="00EA3B36">
        <w:rPr>
          <w:rFonts w:ascii="Times New Roman" w:hAnsi="Times New Roman"/>
          <w:sz w:val="24"/>
        </w:rPr>
        <w:t xml:space="preserve">, bet </w:t>
      </w:r>
      <w:r w:rsidRPr="00EA3B36">
        <w:rPr>
          <w:rFonts w:ascii="Times New Roman" w:hAnsi="Times New Roman"/>
          <w:sz w:val="24"/>
        </w:rPr>
        <w:t>selektīvi tiek izvēlētas pašvaldībām pieklasificētās komercsabiedrības ar lielāko ietekmi uz vispārējās valdības budžeta bilanci.</w:t>
      </w:r>
      <w:r w:rsidR="00A70D57" w:rsidRPr="00A70D57">
        <w:rPr>
          <w:rFonts w:ascii="Times New Roman" w:eastAsia="Calibri" w:hAnsi="Times New Roman" w:cs="Times New Roman"/>
          <w:color w:val="000000" w:themeColor="text1"/>
          <w:sz w:val="24"/>
          <w:szCs w:val="24"/>
        </w:rPr>
        <w:t xml:space="preserve"> </w:t>
      </w:r>
      <w:r w:rsidR="00E86AB3" w:rsidRPr="469479B5">
        <w:rPr>
          <w:rFonts w:ascii="Times New Roman" w:eastAsia="Calibri" w:hAnsi="Times New Roman" w:cs="Times New Roman"/>
          <w:color w:val="000000" w:themeColor="text1"/>
          <w:sz w:val="24"/>
          <w:szCs w:val="24"/>
        </w:rPr>
        <w:t>Lai uzlabotu fiskālā riska vadību, FM veic analīzi par faktiskās saimnieciskās darbības novirzēm no to prognozētājām vērtībām individuālo komersantu līmenī.</w:t>
      </w:r>
    </w:p>
    <w:p w14:paraId="217090D9" w14:textId="5CA0A478" w:rsidR="00A169BE" w:rsidRPr="00F81AF8" w:rsidRDefault="06089B8A" w:rsidP="469479B5">
      <w:pPr>
        <w:shd w:val="clear" w:color="auto" w:fill="FFFFFF" w:themeFill="background1"/>
        <w:spacing w:after="0" w:line="240" w:lineRule="auto"/>
        <w:ind w:left="57" w:right="57" w:firstLine="720"/>
        <w:jc w:val="both"/>
        <w:rPr>
          <w:rFonts w:ascii="Calibri" w:eastAsia="Times New Roman" w:hAnsi="Calibri" w:cs="Calibri"/>
          <w:color w:val="000000"/>
          <w:lang w:eastAsia="lv-LV"/>
        </w:rPr>
      </w:pPr>
      <w:bookmarkStart w:id="100" w:name="_Hlk204930266"/>
      <w:r w:rsidRPr="469479B5">
        <w:rPr>
          <w:rFonts w:ascii="Times New Roman" w:hAnsi="Times New Roman" w:cs="Times New Roman"/>
          <w:sz w:val="24"/>
          <w:szCs w:val="24"/>
        </w:rPr>
        <w:t xml:space="preserve">Lai novērstu </w:t>
      </w:r>
      <w:r w:rsidRPr="469479B5">
        <w:rPr>
          <w:rFonts w:ascii="Times New Roman" w:eastAsia="Times New Roman" w:hAnsi="Times New Roman" w:cs="Times New Roman"/>
          <w:color w:val="000000" w:themeColor="text1"/>
          <w:sz w:val="24"/>
          <w:szCs w:val="24"/>
          <w:lang w:eastAsia="lv-LV"/>
        </w:rPr>
        <w:t>vispārējās valdības sektorā iekļauto valsts un pašvaldību kapitālsabiedrību nekontrolētu ietekmi uz vispārējās valdības budžeta bilanci,</w:t>
      </w:r>
      <w:r w:rsidR="00041244">
        <w:rPr>
          <w:rFonts w:ascii="Times New Roman" w:eastAsia="Times New Roman" w:hAnsi="Times New Roman" w:cs="Times New Roman"/>
          <w:color w:val="000000" w:themeColor="text1"/>
          <w:sz w:val="24"/>
          <w:szCs w:val="24"/>
          <w:lang w:eastAsia="lv-LV"/>
        </w:rPr>
        <w:t xml:space="preserve"> sākot ar</w:t>
      </w:r>
      <w:r w:rsidRPr="469479B5">
        <w:rPr>
          <w:rFonts w:ascii="Times New Roman" w:eastAsia="Times New Roman" w:hAnsi="Times New Roman" w:cs="Times New Roman"/>
          <w:color w:val="000000" w:themeColor="text1"/>
          <w:sz w:val="24"/>
          <w:szCs w:val="24"/>
          <w:lang w:eastAsia="lv-LV"/>
        </w:rPr>
        <w:t xml:space="preserve"> likum</w:t>
      </w:r>
      <w:r w:rsidR="00041244">
        <w:rPr>
          <w:rFonts w:ascii="Times New Roman" w:eastAsia="Times New Roman" w:hAnsi="Times New Roman" w:cs="Times New Roman"/>
          <w:color w:val="000000" w:themeColor="text1"/>
          <w:sz w:val="24"/>
          <w:szCs w:val="24"/>
          <w:lang w:eastAsia="lv-LV"/>
        </w:rPr>
        <w:t>u</w:t>
      </w:r>
      <w:r w:rsidRPr="469479B5">
        <w:rPr>
          <w:rFonts w:ascii="Times New Roman" w:eastAsia="Times New Roman" w:hAnsi="Times New Roman" w:cs="Times New Roman"/>
          <w:color w:val="000000" w:themeColor="text1"/>
          <w:sz w:val="24"/>
          <w:szCs w:val="24"/>
          <w:lang w:eastAsia="lv-LV"/>
        </w:rPr>
        <w:t xml:space="preserve"> “Par vidēja termiņa budžeta ietvaru 2020., 2021. un 2022.</w:t>
      </w:r>
      <w:r w:rsidR="771BBBE7" w:rsidRPr="469479B5">
        <w:rPr>
          <w:rFonts w:ascii="Times New Roman" w:hAnsi="Times New Roman" w:cs="Times New Roman"/>
          <w:b/>
          <w:bCs/>
          <w:sz w:val="24"/>
          <w:szCs w:val="24"/>
        </w:rPr>
        <w:t xml:space="preserve"> </w:t>
      </w:r>
      <w:r w:rsidRPr="469479B5">
        <w:rPr>
          <w:rFonts w:ascii="Times New Roman" w:eastAsia="Times New Roman" w:hAnsi="Times New Roman" w:cs="Times New Roman"/>
          <w:color w:val="000000" w:themeColor="text1"/>
          <w:sz w:val="24"/>
          <w:szCs w:val="24"/>
          <w:lang w:eastAsia="lv-LV"/>
        </w:rPr>
        <w:t>gadam”</w:t>
      </w:r>
      <w:r w:rsidR="002E6B2D">
        <w:rPr>
          <w:rFonts w:ascii="Times New Roman" w:eastAsia="Times New Roman" w:hAnsi="Times New Roman" w:cs="Times New Roman"/>
          <w:color w:val="000000" w:themeColor="text1"/>
          <w:sz w:val="24"/>
          <w:szCs w:val="24"/>
          <w:lang w:eastAsia="lv-LV"/>
        </w:rPr>
        <w:t xml:space="preserve"> un</w:t>
      </w:r>
      <w:r w:rsidRPr="469479B5">
        <w:rPr>
          <w:rFonts w:ascii="Times New Roman" w:eastAsia="Times New Roman" w:hAnsi="Times New Roman" w:cs="Times New Roman"/>
          <w:color w:val="000000" w:themeColor="text1"/>
          <w:sz w:val="24"/>
          <w:szCs w:val="24"/>
          <w:lang w:eastAsia="lv-LV"/>
        </w:rPr>
        <w:t xml:space="preserve"> </w:t>
      </w:r>
      <w:r w:rsidR="0041216B" w:rsidRPr="0041216B">
        <w:rPr>
          <w:rFonts w:ascii="Times New Roman" w:eastAsia="Times New Roman" w:hAnsi="Times New Roman" w:cs="Times New Roman"/>
          <w:color w:val="000000" w:themeColor="text1"/>
          <w:sz w:val="24"/>
          <w:szCs w:val="24"/>
          <w:lang w:eastAsia="lv-LV"/>
        </w:rPr>
        <w:t>likum</w:t>
      </w:r>
      <w:r w:rsidR="0041216B">
        <w:rPr>
          <w:rFonts w:ascii="Times New Roman" w:eastAsia="Times New Roman" w:hAnsi="Times New Roman" w:cs="Times New Roman"/>
          <w:color w:val="000000" w:themeColor="text1"/>
          <w:sz w:val="24"/>
          <w:szCs w:val="24"/>
          <w:lang w:eastAsia="lv-LV"/>
        </w:rPr>
        <w:t>ā</w:t>
      </w:r>
      <w:r w:rsidR="0041216B" w:rsidRPr="0041216B">
        <w:rPr>
          <w:rFonts w:ascii="Times New Roman" w:eastAsia="Times New Roman" w:hAnsi="Times New Roman" w:cs="Times New Roman"/>
          <w:color w:val="000000" w:themeColor="text1"/>
          <w:sz w:val="24"/>
          <w:szCs w:val="24"/>
          <w:lang w:eastAsia="lv-LV"/>
        </w:rPr>
        <w:t xml:space="preserve"> par valsts budžetu kārtējam gadam un vidēja termiņa budžeta ietvaru</w:t>
      </w:r>
      <w:r w:rsidR="0041216B">
        <w:rPr>
          <w:rFonts w:ascii="Times New Roman" w:eastAsia="Times New Roman" w:hAnsi="Times New Roman" w:cs="Times New Roman"/>
          <w:color w:val="000000" w:themeColor="text1"/>
          <w:sz w:val="24"/>
          <w:szCs w:val="24"/>
          <w:lang w:eastAsia="lv-LV"/>
        </w:rPr>
        <w:t xml:space="preserve"> tiek</w:t>
      </w:r>
      <w:r w:rsidRPr="469479B5">
        <w:rPr>
          <w:rFonts w:ascii="Times New Roman" w:eastAsia="Times New Roman" w:hAnsi="Times New Roman" w:cs="Times New Roman"/>
          <w:color w:val="000000" w:themeColor="text1"/>
          <w:sz w:val="24"/>
          <w:szCs w:val="24"/>
          <w:lang w:eastAsia="lv-LV"/>
        </w:rPr>
        <w:t xml:space="preserve"> iekļauts regulējums, kas paredz, ka:</w:t>
      </w:r>
    </w:p>
    <w:p w14:paraId="14070F32" w14:textId="5B26FED7" w:rsidR="001D3D94" w:rsidRPr="008A2B5F" w:rsidRDefault="001D3D94" w:rsidP="001D3D94">
      <w:pPr>
        <w:numPr>
          <w:ilvl w:val="0"/>
          <w:numId w:val="36"/>
        </w:numPr>
        <w:shd w:val="clear" w:color="auto" w:fill="FFFFFF"/>
        <w:spacing w:after="0" w:line="240" w:lineRule="auto"/>
        <w:ind w:right="57"/>
        <w:jc w:val="both"/>
        <w:rPr>
          <w:rFonts w:ascii="Times New Roman" w:eastAsia="Times New Roman" w:hAnsi="Times New Roman" w:cs="Times New Roman"/>
          <w:color w:val="000000"/>
          <w:sz w:val="27"/>
          <w:szCs w:val="27"/>
          <w:lang w:eastAsia="lv-LV"/>
        </w:rPr>
      </w:pPr>
      <w:r w:rsidRPr="008A2B5F">
        <w:rPr>
          <w:rFonts w:ascii="Times New Roman" w:eastAsia="Times New Roman" w:hAnsi="Times New Roman" w:cs="Times New Roman"/>
          <w:color w:val="000000"/>
          <w:sz w:val="24"/>
          <w:szCs w:val="24"/>
          <w:lang w:eastAsia="lv-LV"/>
        </w:rPr>
        <w:t>vispārējās valdības sektorā iekļautās valsts kapitālsabiedrības negatīvā ietekme uz vispārējās valdības</w:t>
      </w:r>
      <w:r w:rsidR="00BA7CFE" w:rsidRPr="008A2B5F">
        <w:rPr>
          <w:rFonts w:ascii="Times New Roman" w:eastAsia="Times New Roman" w:hAnsi="Times New Roman" w:cs="Times New Roman"/>
          <w:color w:val="000000"/>
          <w:sz w:val="24"/>
          <w:szCs w:val="24"/>
          <w:lang w:eastAsia="lv-LV"/>
        </w:rPr>
        <w:t xml:space="preserve"> budžeta bilanci </w:t>
      </w:r>
      <w:r w:rsidR="00DC4D6C" w:rsidRPr="008A2B5F">
        <w:rPr>
          <w:rFonts w:ascii="Times New Roman" w:eastAsia="Times New Roman" w:hAnsi="Times New Roman" w:cs="Times New Roman"/>
          <w:color w:val="000000"/>
          <w:sz w:val="24"/>
          <w:szCs w:val="24"/>
          <w:lang w:eastAsia="lv-LV"/>
        </w:rPr>
        <w:t>noteiktajos gados</w:t>
      </w:r>
      <w:r w:rsidRPr="008A2B5F">
        <w:rPr>
          <w:rFonts w:ascii="Times New Roman" w:eastAsia="Times New Roman" w:hAnsi="Times New Roman" w:cs="Times New Roman"/>
          <w:color w:val="000000"/>
          <w:sz w:val="24"/>
          <w:szCs w:val="24"/>
          <w:lang w:eastAsia="lv-LV"/>
        </w:rPr>
        <w:t xml:space="preserve"> drīkst pārsniegt 5 milj</w:t>
      </w:r>
      <w:r w:rsidR="00B70497" w:rsidRPr="008A2B5F">
        <w:rPr>
          <w:rFonts w:ascii="Times New Roman" w:eastAsia="Times New Roman" w:hAnsi="Times New Roman" w:cs="Times New Roman"/>
          <w:color w:val="000000"/>
          <w:sz w:val="24"/>
          <w:szCs w:val="24"/>
          <w:lang w:eastAsia="lv-LV"/>
        </w:rPr>
        <w:t>.</w:t>
      </w:r>
      <w:r w:rsidRPr="008A2B5F">
        <w:rPr>
          <w:rFonts w:ascii="Times New Roman" w:eastAsia="Times New Roman" w:hAnsi="Times New Roman" w:cs="Times New Roman"/>
          <w:color w:val="000000"/>
          <w:sz w:val="24"/>
          <w:szCs w:val="24"/>
          <w:lang w:eastAsia="lv-LV"/>
        </w:rPr>
        <w:t> </w:t>
      </w:r>
      <w:r w:rsidRPr="008A2B5F">
        <w:rPr>
          <w:rFonts w:ascii="Times New Roman" w:eastAsia="Times New Roman" w:hAnsi="Times New Roman" w:cs="Times New Roman"/>
          <w:i/>
          <w:iCs/>
          <w:color w:val="000000"/>
          <w:sz w:val="24"/>
          <w:szCs w:val="24"/>
          <w:lang w:eastAsia="lv-LV"/>
        </w:rPr>
        <w:t>euro</w:t>
      </w:r>
      <w:r w:rsidRPr="008A2B5F">
        <w:rPr>
          <w:rFonts w:ascii="Times New Roman" w:eastAsia="Times New Roman" w:hAnsi="Times New Roman" w:cs="Times New Roman"/>
          <w:color w:val="000000"/>
          <w:sz w:val="24"/>
          <w:szCs w:val="24"/>
          <w:lang w:eastAsia="lv-LV"/>
        </w:rPr>
        <w:t xml:space="preserve"> tikai tad, ja ir saņemta </w:t>
      </w:r>
      <w:r w:rsidR="00F96C1A" w:rsidRPr="008A2B5F">
        <w:rPr>
          <w:rFonts w:ascii="Times New Roman" w:eastAsia="Times New Roman" w:hAnsi="Times New Roman" w:cs="Times New Roman"/>
          <w:color w:val="000000"/>
          <w:sz w:val="24"/>
          <w:szCs w:val="24"/>
          <w:lang w:eastAsia="lv-LV"/>
        </w:rPr>
        <w:t>MK</w:t>
      </w:r>
      <w:r w:rsidRPr="008A2B5F">
        <w:rPr>
          <w:rFonts w:ascii="Times New Roman" w:eastAsia="Times New Roman" w:hAnsi="Times New Roman" w:cs="Times New Roman"/>
          <w:color w:val="000000"/>
          <w:sz w:val="24"/>
          <w:szCs w:val="24"/>
          <w:lang w:eastAsia="lv-LV"/>
        </w:rPr>
        <w:t xml:space="preserve"> piekrišana;</w:t>
      </w:r>
    </w:p>
    <w:p w14:paraId="3BAD4935" w14:textId="3D2221FF" w:rsidR="006E6090" w:rsidRDefault="001D3D94" w:rsidP="006E6090">
      <w:pPr>
        <w:numPr>
          <w:ilvl w:val="0"/>
          <w:numId w:val="37"/>
        </w:numPr>
        <w:shd w:val="clear" w:color="auto" w:fill="FFFFFF"/>
        <w:spacing w:after="0" w:line="240" w:lineRule="auto"/>
        <w:ind w:right="57"/>
        <w:jc w:val="both"/>
        <w:rPr>
          <w:rFonts w:ascii="Times New Roman" w:eastAsiaTheme="minorHAnsi" w:hAnsi="Times New Roman" w:cs="Times New Roman"/>
          <w:sz w:val="16"/>
          <w:szCs w:val="16"/>
        </w:rPr>
      </w:pPr>
      <w:r w:rsidRPr="008A2B5F">
        <w:rPr>
          <w:rFonts w:ascii="Times New Roman" w:eastAsia="Times New Roman" w:hAnsi="Times New Roman" w:cs="Times New Roman"/>
          <w:color w:val="000000"/>
          <w:sz w:val="24"/>
          <w:szCs w:val="24"/>
          <w:lang w:eastAsia="lv-LV"/>
        </w:rPr>
        <w:t>pašvaldībām ir jāpārvalda to kapitālsab</w:t>
      </w:r>
      <w:r w:rsidR="00BA7CFE" w:rsidRPr="008A2B5F">
        <w:rPr>
          <w:rFonts w:ascii="Times New Roman" w:eastAsia="Times New Roman" w:hAnsi="Times New Roman" w:cs="Times New Roman"/>
          <w:color w:val="000000"/>
          <w:sz w:val="24"/>
          <w:szCs w:val="24"/>
          <w:lang w:eastAsia="lv-LV"/>
        </w:rPr>
        <w:t xml:space="preserve">iedrības tā, lai </w:t>
      </w:r>
      <w:r w:rsidR="00DC4D6C" w:rsidRPr="008A2B5F">
        <w:rPr>
          <w:rFonts w:ascii="Times New Roman" w:eastAsia="Times New Roman" w:hAnsi="Times New Roman" w:cs="Times New Roman"/>
          <w:color w:val="000000"/>
          <w:sz w:val="24"/>
          <w:szCs w:val="24"/>
          <w:lang w:eastAsia="lv-LV"/>
        </w:rPr>
        <w:t>noteiktajos gados</w:t>
      </w:r>
      <w:r w:rsidRPr="008A2B5F">
        <w:rPr>
          <w:rFonts w:ascii="Times New Roman" w:eastAsia="Times New Roman" w:hAnsi="Times New Roman" w:cs="Times New Roman"/>
          <w:color w:val="000000"/>
          <w:sz w:val="24"/>
          <w:szCs w:val="24"/>
          <w:lang w:eastAsia="lv-LV"/>
        </w:rPr>
        <w:t xml:space="preserve"> konkrētas pašvaldības katras atsevišķās kapitālsabiedrības negatīvā ietekme uz vispārējās valdības budžeta bilanci nepārsniegtu 5 milj</w:t>
      </w:r>
      <w:r w:rsidR="00B70497" w:rsidRPr="008A2B5F">
        <w:rPr>
          <w:rFonts w:ascii="Times New Roman" w:eastAsia="Times New Roman" w:hAnsi="Times New Roman" w:cs="Times New Roman"/>
          <w:color w:val="000000"/>
          <w:sz w:val="24"/>
          <w:szCs w:val="24"/>
          <w:lang w:eastAsia="lv-LV"/>
        </w:rPr>
        <w:t>.</w:t>
      </w:r>
      <w:r w:rsidRPr="008A2B5F">
        <w:rPr>
          <w:rFonts w:ascii="Times New Roman" w:eastAsia="Times New Roman" w:hAnsi="Times New Roman" w:cs="Times New Roman"/>
          <w:color w:val="000000"/>
          <w:sz w:val="24"/>
          <w:szCs w:val="24"/>
          <w:lang w:eastAsia="lv-LV"/>
        </w:rPr>
        <w:t> </w:t>
      </w:r>
      <w:r w:rsidRPr="008A2B5F">
        <w:rPr>
          <w:rFonts w:ascii="Times New Roman" w:eastAsia="Times New Roman" w:hAnsi="Times New Roman" w:cs="Times New Roman"/>
          <w:i/>
          <w:iCs/>
          <w:color w:val="000000"/>
          <w:sz w:val="24"/>
          <w:szCs w:val="24"/>
          <w:lang w:eastAsia="lv-LV"/>
        </w:rPr>
        <w:t>euro.</w:t>
      </w:r>
      <w:r w:rsidR="00B74150" w:rsidRPr="008A2B5F">
        <w:rPr>
          <w:rFonts w:ascii="Times New Roman" w:eastAsia="Times New Roman" w:hAnsi="Times New Roman" w:cs="Times New Roman"/>
          <w:color w:val="000000"/>
          <w:sz w:val="24"/>
          <w:szCs w:val="24"/>
          <w:lang w:eastAsia="lv-LV"/>
        </w:rPr>
        <w:t xml:space="preserve"> </w:t>
      </w:r>
      <w:r w:rsidRPr="008A2B5F">
        <w:rPr>
          <w:rFonts w:ascii="Times New Roman" w:eastAsia="Times New Roman" w:hAnsi="Times New Roman" w:cs="Times New Roman"/>
          <w:color w:val="000000"/>
          <w:sz w:val="24"/>
          <w:szCs w:val="24"/>
          <w:lang w:eastAsia="lv-LV"/>
        </w:rPr>
        <w:t>Negatīvā ietekme var pārsniegt 5 milj</w:t>
      </w:r>
      <w:r w:rsidR="00BA7CFE" w:rsidRPr="008A2B5F">
        <w:rPr>
          <w:rFonts w:ascii="Times New Roman" w:eastAsia="Times New Roman" w:hAnsi="Times New Roman" w:cs="Times New Roman"/>
          <w:color w:val="000000"/>
          <w:sz w:val="24"/>
          <w:szCs w:val="24"/>
          <w:lang w:eastAsia="lv-LV"/>
        </w:rPr>
        <w:t>.</w:t>
      </w:r>
      <w:r w:rsidRPr="008A2B5F">
        <w:rPr>
          <w:rFonts w:ascii="Times New Roman" w:eastAsia="Times New Roman" w:hAnsi="Times New Roman" w:cs="Times New Roman"/>
          <w:color w:val="000000"/>
          <w:sz w:val="24"/>
          <w:szCs w:val="24"/>
          <w:lang w:eastAsia="lv-LV"/>
        </w:rPr>
        <w:t> </w:t>
      </w:r>
      <w:r w:rsidRPr="008A2B5F">
        <w:rPr>
          <w:rFonts w:ascii="Times New Roman" w:eastAsia="Times New Roman" w:hAnsi="Times New Roman" w:cs="Times New Roman"/>
          <w:i/>
          <w:iCs/>
          <w:color w:val="000000"/>
          <w:sz w:val="24"/>
          <w:szCs w:val="24"/>
          <w:lang w:eastAsia="lv-LV"/>
        </w:rPr>
        <w:t>euro</w:t>
      </w:r>
      <w:r w:rsidRPr="008A2B5F">
        <w:rPr>
          <w:rFonts w:ascii="Times New Roman" w:eastAsia="Times New Roman" w:hAnsi="Times New Roman" w:cs="Times New Roman"/>
          <w:color w:val="000000"/>
          <w:sz w:val="24"/>
          <w:szCs w:val="24"/>
          <w:lang w:eastAsia="lv-LV"/>
        </w:rPr>
        <w:t xml:space="preserve">, ja pašvaldība nodrošina, ka tā kopā ar savām vispārējās valdības sektorā iekļautajām kapitālsabiedrībām un citām institūcijām nodrošina neitrālu vai pozitīvu ietekmi vai arī ir saņemta </w:t>
      </w:r>
      <w:r w:rsidR="00F96C1A" w:rsidRPr="008A2B5F">
        <w:rPr>
          <w:rFonts w:ascii="Times New Roman" w:eastAsia="Times New Roman" w:hAnsi="Times New Roman" w:cs="Times New Roman"/>
          <w:color w:val="000000"/>
          <w:sz w:val="24"/>
          <w:szCs w:val="24"/>
          <w:lang w:eastAsia="lv-LV"/>
        </w:rPr>
        <w:t>MK</w:t>
      </w:r>
      <w:r w:rsidRPr="008A2B5F">
        <w:rPr>
          <w:rFonts w:ascii="Times New Roman" w:eastAsia="Times New Roman" w:hAnsi="Times New Roman" w:cs="Times New Roman"/>
          <w:color w:val="000000"/>
          <w:sz w:val="24"/>
          <w:szCs w:val="24"/>
          <w:lang w:eastAsia="lv-LV"/>
        </w:rPr>
        <w:t xml:space="preserve"> piekrišana negatīvās ietekmes pārsniegšanai.</w:t>
      </w:r>
    </w:p>
    <w:p w14:paraId="11B1AB46" w14:textId="77777777" w:rsidR="006E6090" w:rsidRPr="00F25E25" w:rsidRDefault="006E6090" w:rsidP="006E6090">
      <w:pPr>
        <w:spacing w:after="0" w:line="240" w:lineRule="auto"/>
        <w:ind w:firstLine="720"/>
        <w:jc w:val="both"/>
        <w:rPr>
          <w:rFonts w:ascii="Times New Roman" w:hAnsi="Times New Roman" w:cs="Times New Roman"/>
          <w:sz w:val="24"/>
          <w:szCs w:val="24"/>
        </w:rPr>
      </w:pPr>
      <w:r w:rsidRPr="00F25E25">
        <w:rPr>
          <w:rFonts w:ascii="Times New Roman" w:hAnsi="Times New Roman" w:cs="Times New Roman"/>
          <w:sz w:val="24"/>
          <w:szCs w:val="24"/>
        </w:rPr>
        <w:t>Pēdējo divu gadu laikā atbilstoši iepriekš minētajam regulējumam, MK tika izskatīti šādi ziņojumi:</w:t>
      </w:r>
    </w:p>
    <w:p w14:paraId="6804475D" w14:textId="5C7B93C7" w:rsidR="006E6090" w:rsidRPr="00F25E25" w:rsidRDefault="006E6090" w:rsidP="006E6090">
      <w:pPr>
        <w:pStyle w:val="ListParagraph"/>
        <w:numPr>
          <w:ilvl w:val="0"/>
          <w:numId w:val="69"/>
        </w:numPr>
        <w:rPr>
          <w:rFonts w:ascii="Times New Roman" w:hAnsi="Times New Roman"/>
          <w:sz w:val="24"/>
          <w:szCs w:val="24"/>
        </w:rPr>
      </w:pPr>
      <w:r w:rsidRPr="00F25E25">
        <w:rPr>
          <w:rFonts w:ascii="Times New Roman" w:hAnsi="Times New Roman"/>
          <w:sz w:val="24"/>
          <w:szCs w:val="24"/>
        </w:rPr>
        <w:t xml:space="preserve">2023. gada 15. augustā MK sēdē tika apstiprināts informatīvais ziņojums “Par Rīgas valstpilsētas pašvaldības kontrolētās kapitālsabiedrības SIA “Rīgas satiksme” radīto negatīvo fiskālo ietekmi uz vispārējās valdības budžeta bilanci 2024. un 2025. gadā”. Informatīvajā ziņojumā konstatēts, ka SIA “Rīgas satiksme” negatīvā ietekme uz vispārējās valdības budžeta bilanci 2024. gadā un 2025. gadā vairāk nekā četras reizes pārsniedz ar likumu noteikto 5 milj. </w:t>
      </w:r>
      <w:r w:rsidRPr="00F25E25">
        <w:rPr>
          <w:rFonts w:ascii="Times New Roman" w:hAnsi="Times New Roman"/>
          <w:i/>
          <w:iCs/>
          <w:sz w:val="24"/>
          <w:szCs w:val="24"/>
        </w:rPr>
        <w:t>euro</w:t>
      </w:r>
      <w:r w:rsidRPr="00F25E25">
        <w:rPr>
          <w:rFonts w:ascii="Times New Roman" w:hAnsi="Times New Roman"/>
          <w:sz w:val="24"/>
          <w:szCs w:val="24"/>
        </w:rPr>
        <w:t xml:space="preserve"> robežu</w:t>
      </w:r>
      <w:r w:rsidR="00E11B09">
        <w:rPr>
          <w:rFonts w:ascii="Times New Roman" w:hAnsi="Times New Roman"/>
          <w:sz w:val="24"/>
          <w:szCs w:val="24"/>
        </w:rPr>
        <w:t xml:space="preserve"> (</w:t>
      </w:r>
      <w:r w:rsidR="00E11B09" w:rsidRPr="00E11B09">
        <w:rPr>
          <w:rFonts w:ascii="Times New Roman" w:hAnsi="Times New Roman"/>
          <w:sz w:val="24"/>
          <w:szCs w:val="24"/>
        </w:rPr>
        <w:t xml:space="preserve">-21,7 milj. </w:t>
      </w:r>
      <w:r w:rsidR="00E11B09" w:rsidRPr="00E11B09">
        <w:rPr>
          <w:rFonts w:ascii="Times New Roman" w:hAnsi="Times New Roman"/>
          <w:i/>
          <w:iCs/>
          <w:sz w:val="24"/>
          <w:szCs w:val="24"/>
        </w:rPr>
        <w:t>euro</w:t>
      </w:r>
      <w:r w:rsidR="00E11B09" w:rsidRPr="00E11B09">
        <w:rPr>
          <w:rFonts w:ascii="Times New Roman" w:hAnsi="Times New Roman"/>
          <w:sz w:val="24"/>
          <w:szCs w:val="24"/>
        </w:rPr>
        <w:t xml:space="preserve"> 2024. gadā un -22,8 milj. </w:t>
      </w:r>
      <w:r w:rsidR="00E11B09" w:rsidRPr="00E11B09">
        <w:rPr>
          <w:rFonts w:ascii="Times New Roman" w:hAnsi="Times New Roman"/>
          <w:i/>
          <w:iCs/>
          <w:sz w:val="24"/>
          <w:szCs w:val="24"/>
        </w:rPr>
        <w:t>euro</w:t>
      </w:r>
      <w:r w:rsidR="001175A6">
        <w:rPr>
          <w:rFonts w:ascii="Times New Roman" w:hAnsi="Times New Roman"/>
          <w:i/>
          <w:iCs/>
          <w:sz w:val="24"/>
          <w:szCs w:val="24"/>
        </w:rPr>
        <w:t xml:space="preserve"> </w:t>
      </w:r>
      <w:r w:rsidR="001175A6">
        <w:rPr>
          <w:rFonts w:ascii="Times New Roman" w:hAnsi="Times New Roman"/>
          <w:sz w:val="24"/>
          <w:szCs w:val="24"/>
        </w:rPr>
        <w:t>2025. gadā</w:t>
      </w:r>
      <w:r w:rsidR="00E11B09" w:rsidRPr="00E11B09">
        <w:rPr>
          <w:rFonts w:ascii="Times New Roman" w:hAnsi="Times New Roman"/>
          <w:sz w:val="24"/>
          <w:szCs w:val="24"/>
        </w:rPr>
        <w:t>)</w:t>
      </w:r>
      <w:r w:rsidRPr="00E11B09">
        <w:rPr>
          <w:rFonts w:ascii="Times New Roman" w:hAnsi="Times New Roman"/>
          <w:sz w:val="24"/>
          <w:szCs w:val="24"/>
        </w:rPr>
        <w:t>.</w:t>
      </w:r>
      <w:r w:rsidRPr="00F25E25">
        <w:rPr>
          <w:rFonts w:ascii="Times New Roman" w:hAnsi="Times New Roman"/>
          <w:sz w:val="24"/>
          <w:szCs w:val="24"/>
        </w:rPr>
        <w:t xml:space="preserve"> MK, balstoties uz FM ierosinājumu, apstiprināja, ka Rīgas valstpilsētas pašvaldībai jāpārskata investīciju plāns vai ieņēmumu apjoms ar mērķi mazināt SIA “Rīgas satiksme” negatīvo ietekmi uz vispārējās valdības budžeta bilanci</w:t>
      </w:r>
      <w:r w:rsidRPr="00F25E25">
        <w:rPr>
          <w:rStyle w:val="FootnoteReference"/>
          <w:rFonts w:ascii="Times New Roman" w:hAnsi="Times New Roman"/>
          <w:sz w:val="24"/>
          <w:szCs w:val="24"/>
        </w:rPr>
        <w:footnoteReference w:id="36"/>
      </w:r>
      <w:r w:rsidRPr="00F25E25">
        <w:rPr>
          <w:rFonts w:ascii="Times New Roman" w:hAnsi="Times New Roman"/>
          <w:sz w:val="24"/>
          <w:szCs w:val="24"/>
        </w:rPr>
        <w:t xml:space="preserve">. Atbilstoši kapitālsabiedrība pārskatīja investīciju plānu, mazinot negatīvo ietekmi uz vispārējās valdības budžeta bilanci, nepārsniedzot ar likumu noteikto 5 milj. </w:t>
      </w:r>
      <w:r w:rsidRPr="00F25E25">
        <w:rPr>
          <w:rFonts w:ascii="Times New Roman" w:hAnsi="Times New Roman"/>
          <w:i/>
          <w:iCs/>
          <w:sz w:val="24"/>
          <w:szCs w:val="24"/>
        </w:rPr>
        <w:t>euro</w:t>
      </w:r>
      <w:r w:rsidRPr="00F25E25">
        <w:rPr>
          <w:rFonts w:ascii="Times New Roman" w:hAnsi="Times New Roman"/>
          <w:sz w:val="24"/>
          <w:szCs w:val="24"/>
        </w:rPr>
        <w:t xml:space="preserve"> robežu.</w:t>
      </w:r>
    </w:p>
    <w:p w14:paraId="073297B3" w14:textId="77777777" w:rsidR="006E6090" w:rsidRPr="00F25E25" w:rsidRDefault="006E6090" w:rsidP="006E6090">
      <w:pPr>
        <w:pStyle w:val="ListParagraph"/>
        <w:numPr>
          <w:ilvl w:val="0"/>
          <w:numId w:val="69"/>
        </w:numPr>
        <w:rPr>
          <w:rFonts w:ascii="Times New Roman" w:hAnsi="Times New Roman"/>
          <w:sz w:val="24"/>
          <w:szCs w:val="24"/>
        </w:rPr>
      </w:pPr>
      <w:r w:rsidRPr="00F25E25">
        <w:rPr>
          <w:rFonts w:ascii="Times New Roman" w:hAnsi="Times New Roman"/>
          <w:sz w:val="24"/>
          <w:szCs w:val="24"/>
        </w:rPr>
        <w:t>2024. gada 10. septembrī MK sēdē tika apstiprināts SM sagatavotais informatīvais ziņojums “Par akciju sabiedrības “Pasažieru vilciens” fiskālo ietekmi uz vispārējās valdības budžeta bilanci 2025. – 2028. gadā”</w:t>
      </w:r>
      <w:r w:rsidRPr="00F25E25">
        <w:rPr>
          <w:rStyle w:val="FootnoteReference"/>
          <w:rFonts w:ascii="Times New Roman" w:hAnsi="Times New Roman"/>
          <w:sz w:val="24"/>
          <w:szCs w:val="24"/>
        </w:rPr>
        <w:footnoteReference w:id="37"/>
      </w:r>
      <w:r w:rsidRPr="00F25E25">
        <w:rPr>
          <w:rFonts w:ascii="Times New Roman" w:hAnsi="Times New Roman"/>
          <w:sz w:val="24"/>
          <w:szCs w:val="24"/>
        </w:rPr>
        <w:t xml:space="preserve">, kā arī 2024. gada 8. oktobra MK sēdē tika apstiprināts informatīvais ziņojums </w:t>
      </w:r>
      <w:r w:rsidRPr="006946E6">
        <w:rPr>
          <w:rFonts w:ascii="Times New Roman" w:hAnsi="Times New Roman"/>
          <w:sz w:val="24"/>
          <w:szCs w:val="24"/>
        </w:rPr>
        <w:t>“P</w:t>
      </w:r>
      <w:r w:rsidRPr="00F25E25">
        <w:rPr>
          <w:rFonts w:ascii="Times New Roman" w:hAnsi="Times New Roman"/>
          <w:sz w:val="24"/>
          <w:szCs w:val="24"/>
        </w:rPr>
        <w:t>ar valsts akciju sabiedrības “Latvijas dzelzceļš” fiskālo ietekmi uz vispārējās valdības budžeta bilanci 2025. un 2028. gadā”</w:t>
      </w:r>
      <w:r w:rsidRPr="00F25E25">
        <w:rPr>
          <w:rStyle w:val="FootnoteReference"/>
          <w:rFonts w:ascii="Times New Roman" w:hAnsi="Times New Roman"/>
          <w:sz w:val="24"/>
          <w:szCs w:val="24"/>
        </w:rPr>
        <w:footnoteReference w:id="38"/>
      </w:r>
      <w:r w:rsidRPr="00F25E25">
        <w:rPr>
          <w:rFonts w:ascii="Times New Roman" w:hAnsi="Times New Roman"/>
          <w:sz w:val="24"/>
          <w:szCs w:val="24"/>
        </w:rPr>
        <w:t>. Atbilstoši FM, izstrādājot likumprojektu “Par valsts budžetu 2025. gadam un budžeta ietvaru 2025., 2026. un 2027. gadam”, ņēma vērā MK protokollēmumos noteikto AS “Pasažieru vilciens” un LDz precizēto ietekmi uz vispārējās valdības budžeta bilanci.</w:t>
      </w:r>
    </w:p>
    <w:p w14:paraId="4E8C17B1" w14:textId="77777777" w:rsidR="006E6090" w:rsidRPr="006E6090" w:rsidRDefault="006E6090" w:rsidP="00B5248C">
      <w:pPr>
        <w:shd w:val="clear" w:color="auto" w:fill="FFFFFF"/>
        <w:spacing w:after="0" w:line="240" w:lineRule="auto"/>
        <w:ind w:right="57"/>
        <w:jc w:val="both"/>
        <w:rPr>
          <w:rFonts w:ascii="Times New Roman" w:eastAsiaTheme="minorHAnsi" w:hAnsi="Times New Roman" w:cs="Times New Roman"/>
          <w:sz w:val="16"/>
          <w:szCs w:val="16"/>
        </w:rPr>
      </w:pPr>
    </w:p>
    <w:bookmarkEnd w:id="100"/>
    <w:p w14:paraId="4609E47D" w14:textId="1920B48B" w:rsidR="001D3D94" w:rsidRPr="008A2B5F" w:rsidRDefault="001D3D94" w:rsidP="002A762C">
      <w:pPr>
        <w:spacing w:after="0" w:line="240" w:lineRule="auto"/>
        <w:ind w:firstLine="720"/>
        <w:jc w:val="both"/>
        <w:rPr>
          <w:rFonts w:ascii="Times New Roman" w:eastAsiaTheme="minorHAnsi" w:hAnsi="Times New Roman" w:cs="Times New Roman"/>
          <w:sz w:val="24"/>
        </w:rPr>
      </w:pPr>
      <w:r w:rsidRPr="008A2B5F">
        <w:rPr>
          <w:rFonts w:ascii="Times New Roman" w:eastAsiaTheme="minorHAnsi" w:hAnsi="Times New Roman" w:cs="Times New Roman"/>
          <w:sz w:val="24"/>
        </w:rPr>
        <w:t xml:space="preserve">Savukārt attiecībā uz kapitālsabiedrībām, kuras </w:t>
      </w:r>
      <w:r w:rsidR="00A760C1" w:rsidRPr="008A2B5F">
        <w:rPr>
          <w:rFonts w:ascii="Times New Roman" w:eastAsiaTheme="minorHAnsi" w:hAnsi="Times New Roman" w:cs="Times New Roman"/>
          <w:sz w:val="24"/>
        </w:rPr>
        <w:t>CSP</w:t>
      </w:r>
      <w:r w:rsidRPr="008A2B5F">
        <w:rPr>
          <w:rFonts w:ascii="Times New Roman" w:eastAsiaTheme="minorHAnsi" w:hAnsi="Times New Roman" w:cs="Times New Roman"/>
          <w:sz w:val="24"/>
        </w:rPr>
        <w:t xml:space="preserve"> pieklasificē vispārējās valdības sektorā notifikācijas sagatavošanas procesā, ir nošķirami divi gadījumi. Pirmajā gadījumā FM, pamatojoties uz tās rīcībā esošo informāciju par konkrētās kapitālsabiedrības darbību</w:t>
      </w:r>
      <w:r w:rsidR="008C3BF6">
        <w:rPr>
          <w:rFonts w:ascii="Times New Roman" w:eastAsiaTheme="minorHAnsi" w:hAnsi="Times New Roman" w:cs="Times New Roman"/>
          <w:sz w:val="24"/>
        </w:rPr>
        <w:t>,</w:t>
      </w:r>
      <w:r w:rsidR="008C3BF6" w:rsidRPr="008A2B5F">
        <w:rPr>
          <w:rFonts w:ascii="Times New Roman" w:eastAsiaTheme="minorHAnsi" w:hAnsi="Times New Roman" w:cs="Times New Roman"/>
          <w:sz w:val="24"/>
        </w:rPr>
        <w:t xml:space="preserve"> </w:t>
      </w:r>
      <w:r w:rsidR="008C3BF6" w:rsidRPr="009851ED">
        <w:rPr>
          <w:rFonts w:ascii="Times New Roman" w:eastAsiaTheme="minorHAnsi" w:hAnsi="Times New Roman" w:cs="Times New Roman"/>
          <w:sz w:val="24"/>
        </w:rPr>
        <w:t>kura nav pieklasificēta, bet pastāv augsta varbūtība, ka tiks pieklasificēta,</w:t>
      </w:r>
      <w:r w:rsidRPr="008A2B5F">
        <w:rPr>
          <w:rFonts w:ascii="Times New Roman" w:eastAsiaTheme="minorHAnsi" w:hAnsi="Times New Roman" w:cs="Times New Roman"/>
          <w:sz w:val="24"/>
        </w:rPr>
        <w:t xml:space="preserve"> un </w:t>
      </w:r>
      <w:r w:rsidR="008C3BF6">
        <w:rPr>
          <w:rFonts w:ascii="Times New Roman" w:eastAsiaTheme="minorHAnsi" w:hAnsi="Times New Roman" w:cs="Times New Roman"/>
          <w:sz w:val="24"/>
        </w:rPr>
        <w:t>ņemot vērā</w:t>
      </w:r>
      <w:r w:rsidR="008C3BF6" w:rsidRPr="008A2B5F">
        <w:rPr>
          <w:rFonts w:ascii="Times New Roman" w:eastAsiaTheme="minorHAnsi" w:hAnsi="Times New Roman" w:cs="Times New Roman"/>
          <w:sz w:val="24"/>
        </w:rPr>
        <w:t xml:space="preserve"> </w:t>
      </w:r>
      <w:r w:rsidRPr="008A2B5F">
        <w:rPr>
          <w:rFonts w:ascii="Times New Roman" w:eastAsiaTheme="minorHAnsi" w:hAnsi="Times New Roman" w:cs="Times New Roman"/>
          <w:sz w:val="24"/>
        </w:rPr>
        <w:t xml:space="preserve">novērtējumu par sabiedrības ietekmi uz vispārējās valdības sektora fiskālajiem rādītājiem, var </w:t>
      </w:r>
      <w:r w:rsidR="003235C5" w:rsidRPr="008A2B5F">
        <w:rPr>
          <w:rFonts w:ascii="Times New Roman" w:eastAsiaTheme="minorHAnsi" w:hAnsi="Times New Roman" w:cs="Times New Roman"/>
          <w:sz w:val="24"/>
        </w:rPr>
        <w:t>budžeta ietvara</w:t>
      </w:r>
      <w:r w:rsidRPr="008A2B5F">
        <w:rPr>
          <w:rFonts w:ascii="Times New Roman" w:eastAsiaTheme="minorHAnsi" w:hAnsi="Times New Roman" w:cs="Times New Roman"/>
          <w:sz w:val="24"/>
        </w:rPr>
        <w:t xml:space="preserve"> sagatavošanas procesā ietvert kapitālsabiedrības ietekmi fiskālajās prognozēs. Otrajā gadījumā, kad nav bijis iespējams paredzēt kādas kapitālsabiedrības klasificēšanu vispārējās valdības sektorā, tikai tās sabiedrības, kuru saimnieciskās darbības rezultāts (ņemot vērā konsolidācijas efektus sektora ietvaros) ir negatīvs, rada negatīvu fiskālo ietekmi. </w:t>
      </w:r>
    </w:p>
    <w:p w14:paraId="048F752B" w14:textId="469F1EBB" w:rsidR="001D3D94" w:rsidRDefault="001D3D94" w:rsidP="006413BB">
      <w:pPr>
        <w:spacing w:after="0" w:line="240" w:lineRule="auto"/>
        <w:ind w:firstLine="720"/>
        <w:jc w:val="both"/>
        <w:rPr>
          <w:rFonts w:ascii="Times New Roman" w:eastAsiaTheme="minorHAnsi" w:hAnsi="Times New Roman" w:cs="Times New Roman"/>
          <w:sz w:val="24"/>
        </w:rPr>
      </w:pPr>
      <w:r w:rsidRPr="008A2B5F">
        <w:rPr>
          <w:rFonts w:ascii="Times New Roman" w:eastAsiaTheme="minorHAnsi" w:hAnsi="Times New Roman" w:cs="Times New Roman"/>
          <w:sz w:val="24"/>
        </w:rPr>
        <w:t xml:space="preserve">Iepriekšminētā riska mazināšanai tiek īstenots aktīvs dialogs ar kompetentajām statistikas iestādēm (t.i. </w:t>
      </w:r>
      <w:r w:rsidR="00B46098" w:rsidRPr="008A2B5F">
        <w:rPr>
          <w:rFonts w:ascii="Times New Roman" w:eastAsiaTheme="minorHAnsi" w:hAnsi="Times New Roman" w:cs="Times New Roman"/>
          <w:sz w:val="24"/>
        </w:rPr>
        <w:t>CSP</w:t>
      </w:r>
      <w:r w:rsidRPr="008A2B5F">
        <w:rPr>
          <w:rFonts w:ascii="Times New Roman" w:eastAsiaTheme="minorHAnsi" w:hAnsi="Times New Roman" w:cs="Times New Roman"/>
          <w:sz w:val="24"/>
        </w:rPr>
        <w:t xml:space="preserve"> un ES statistikas biroju </w:t>
      </w:r>
      <w:r w:rsidRPr="008A2B5F">
        <w:rPr>
          <w:rFonts w:ascii="Times New Roman" w:eastAsiaTheme="minorHAnsi" w:hAnsi="Times New Roman" w:cs="Times New Roman"/>
          <w:i/>
          <w:sz w:val="24"/>
        </w:rPr>
        <w:t>Eurostat</w:t>
      </w:r>
      <w:r w:rsidRPr="008A2B5F">
        <w:rPr>
          <w:rFonts w:ascii="Times New Roman" w:eastAsiaTheme="minorHAnsi" w:hAnsi="Times New Roman" w:cs="Times New Roman"/>
          <w:sz w:val="24"/>
        </w:rPr>
        <w:t xml:space="preserve">), lai iespējamie pieklasificēšanās gadījumi tiktu savlaicīgi apzināti, lai gan ne vienmēr objektīvu iemeslu dēļ tas ir iespējams. </w:t>
      </w:r>
    </w:p>
    <w:p w14:paraId="1A09340E" w14:textId="499C963A" w:rsidR="009468F8" w:rsidRDefault="67472FDF" w:rsidP="00BB1154">
      <w:pPr>
        <w:spacing w:after="100" w:afterAutospacing="1"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 xml:space="preserve">Vēsturiskie dati norāda, ka vidējā faktiskā kapitālsabiedrību saimnieciskās darbības ietekme, salīdzinot ar plānoto, laika posmā no </w:t>
      </w:r>
      <w:r w:rsidR="003402A7" w:rsidRPr="469479B5">
        <w:rPr>
          <w:rFonts w:ascii="Times New Roman" w:hAnsi="Times New Roman" w:cs="Times New Roman"/>
          <w:sz w:val="24"/>
          <w:szCs w:val="24"/>
        </w:rPr>
        <w:t>201</w:t>
      </w:r>
      <w:r w:rsidR="003402A7">
        <w:rPr>
          <w:rFonts w:ascii="Times New Roman" w:hAnsi="Times New Roman" w:cs="Times New Roman"/>
          <w:sz w:val="24"/>
          <w:szCs w:val="24"/>
        </w:rPr>
        <w:t>4</w:t>
      </w:r>
      <w:r w:rsidRPr="469479B5">
        <w:rPr>
          <w:rFonts w:ascii="Times New Roman" w:hAnsi="Times New Roman" w:cs="Times New Roman"/>
          <w:sz w:val="24"/>
          <w:szCs w:val="24"/>
        </w:rPr>
        <w:t>.</w:t>
      </w:r>
      <w:r w:rsidR="5C2F8FB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gada līdz </w:t>
      </w:r>
      <w:r w:rsidR="003402A7" w:rsidRPr="469479B5">
        <w:rPr>
          <w:rFonts w:ascii="Times New Roman" w:hAnsi="Times New Roman" w:cs="Times New Roman"/>
          <w:sz w:val="24"/>
          <w:szCs w:val="24"/>
        </w:rPr>
        <w:t>202</w:t>
      </w:r>
      <w:r w:rsidR="003402A7">
        <w:rPr>
          <w:rFonts w:ascii="Times New Roman" w:hAnsi="Times New Roman" w:cs="Times New Roman"/>
          <w:sz w:val="24"/>
          <w:szCs w:val="24"/>
        </w:rPr>
        <w:t>4</w:t>
      </w:r>
      <w:r w:rsidRPr="469479B5">
        <w:rPr>
          <w:rFonts w:ascii="Times New Roman" w:hAnsi="Times New Roman" w:cs="Times New Roman"/>
          <w:sz w:val="24"/>
          <w:szCs w:val="24"/>
        </w:rPr>
        <w:t>.</w:t>
      </w:r>
      <w:r w:rsidR="505A107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gadam ir bijusi svārstīga</w:t>
      </w:r>
      <w:r w:rsidR="003402A7">
        <w:rPr>
          <w:rFonts w:ascii="Times New Roman" w:hAnsi="Times New Roman" w:cs="Times New Roman"/>
          <w:sz w:val="24"/>
          <w:szCs w:val="24"/>
        </w:rPr>
        <w:t>.</w:t>
      </w:r>
      <w:r w:rsidRPr="469479B5">
        <w:rPr>
          <w:rFonts w:ascii="Times New Roman" w:hAnsi="Times New Roman" w:cs="Times New Roman"/>
          <w:sz w:val="24"/>
          <w:szCs w:val="24"/>
        </w:rPr>
        <w:t xml:space="preserve"> </w:t>
      </w:r>
      <w:r w:rsidR="003402A7">
        <w:rPr>
          <w:rFonts w:ascii="Times New Roman" w:hAnsi="Times New Roman" w:cs="Times New Roman"/>
          <w:sz w:val="24"/>
          <w:szCs w:val="24"/>
        </w:rPr>
        <w:t>V</w:t>
      </w:r>
      <w:r w:rsidRPr="469479B5">
        <w:rPr>
          <w:rFonts w:ascii="Times New Roman" w:hAnsi="Times New Roman" w:cs="Times New Roman"/>
          <w:sz w:val="24"/>
          <w:szCs w:val="24"/>
        </w:rPr>
        <w:t>ienlaicīgi identificējams, ka līdz 2018.</w:t>
      </w:r>
      <w:r w:rsidR="5EBF1151"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gadam negatīvās novirzes no plāna gan pēc skaita, gan apmēra ir bijušas novērotas biežāk, nekā pozitīvās novirzes, </w:t>
      </w:r>
      <w:r w:rsidR="003402A7">
        <w:rPr>
          <w:rFonts w:ascii="Times New Roman" w:hAnsi="Times New Roman" w:cs="Times New Roman"/>
          <w:sz w:val="24"/>
          <w:szCs w:val="24"/>
        </w:rPr>
        <w:t xml:space="preserve">savukārt laika posmā no 2019. gada līdz 2023. gadam </w:t>
      </w:r>
      <w:r w:rsidRPr="469479B5">
        <w:rPr>
          <w:rFonts w:ascii="Times New Roman" w:hAnsi="Times New Roman" w:cs="Times New Roman"/>
          <w:sz w:val="24"/>
          <w:szCs w:val="24"/>
        </w:rPr>
        <w:t>vērojamas pozitīvas novirzes</w:t>
      </w:r>
      <w:r w:rsidR="003402A7">
        <w:rPr>
          <w:rFonts w:ascii="Times New Roman" w:hAnsi="Times New Roman" w:cs="Times New Roman"/>
          <w:sz w:val="24"/>
          <w:szCs w:val="24"/>
        </w:rPr>
        <w:t xml:space="preserve">, bet </w:t>
      </w:r>
      <w:bookmarkStart w:id="101" w:name="_Hlk205188841"/>
      <w:r w:rsidR="003402A7">
        <w:rPr>
          <w:rFonts w:ascii="Times New Roman" w:hAnsi="Times New Roman" w:cs="Times New Roman"/>
          <w:sz w:val="24"/>
          <w:szCs w:val="24"/>
        </w:rPr>
        <w:t xml:space="preserve">2024. gadā komercsabiedrību faktiskā </w:t>
      </w:r>
      <w:r w:rsidR="00A8464F">
        <w:rPr>
          <w:rFonts w:ascii="Times New Roman" w:hAnsi="Times New Roman" w:cs="Times New Roman"/>
          <w:sz w:val="24"/>
          <w:szCs w:val="24"/>
        </w:rPr>
        <w:t xml:space="preserve">bilances </w:t>
      </w:r>
      <w:r w:rsidR="003402A7">
        <w:rPr>
          <w:rFonts w:ascii="Times New Roman" w:hAnsi="Times New Roman" w:cs="Times New Roman"/>
          <w:sz w:val="24"/>
          <w:szCs w:val="24"/>
        </w:rPr>
        <w:t>novirze no plāna bija negatīva</w:t>
      </w:r>
      <w:r w:rsidRPr="469479B5">
        <w:rPr>
          <w:rFonts w:ascii="Times New Roman" w:hAnsi="Times New Roman" w:cs="Times New Roman"/>
          <w:sz w:val="24"/>
          <w:szCs w:val="24"/>
        </w:rPr>
        <w:t xml:space="preserve"> </w:t>
      </w:r>
      <w:bookmarkEnd w:id="101"/>
      <w:r w:rsidRPr="469479B5">
        <w:rPr>
          <w:rFonts w:ascii="Times New Roman" w:hAnsi="Times New Roman" w:cs="Times New Roman"/>
          <w:sz w:val="24"/>
          <w:szCs w:val="24"/>
        </w:rPr>
        <w:t>(skat. tabulu Nr.2.1</w:t>
      </w:r>
      <w:r w:rsidR="00061917">
        <w:rPr>
          <w:rFonts w:ascii="Times New Roman" w:hAnsi="Times New Roman" w:cs="Times New Roman"/>
          <w:sz w:val="24"/>
          <w:szCs w:val="24"/>
        </w:rPr>
        <w:t>1</w:t>
      </w:r>
      <w:r w:rsidRPr="469479B5">
        <w:rPr>
          <w:rFonts w:ascii="Times New Roman" w:hAnsi="Times New Roman" w:cs="Times New Roman"/>
          <w:sz w:val="24"/>
          <w:szCs w:val="24"/>
        </w:rPr>
        <w:t>.</w:t>
      </w:r>
      <w:r w:rsidR="008158D8">
        <w:rPr>
          <w:rFonts w:ascii="Times New Roman" w:hAnsi="Times New Roman" w:cs="Times New Roman"/>
          <w:sz w:val="24"/>
          <w:szCs w:val="24"/>
        </w:rPr>
        <w:t>1</w:t>
      </w:r>
      <w:r w:rsidRPr="469479B5">
        <w:rPr>
          <w:rFonts w:ascii="Times New Roman" w:hAnsi="Times New Roman" w:cs="Times New Roman"/>
          <w:sz w:val="24"/>
          <w:szCs w:val="24"/>
        </w:rPr>
        <w:t>). Tomēr jāņem vērā, ka tādi gadījumi, kad vispārējās valdības sektorā tiek klasificēti būtiski ekonomiskie subjekti (piemēram, SIA “Rīgas Satiksme” 2019./2020.</w:t>
      </w:r>
      <w:r w:rsidR="2965287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w:t>
      </w:r>
      <w:r w:rsidR="5751BEB7" w:rsidRPr="469479B5">
        <w:rPr>
          <w:rFonts w:ascii="Times New Roman" w:hAnsi="Times New Roman" w:cs="Times New Roman"/>
          <w:sz w:val="24"/>
          <w:szCs w:val="24"/>
        </w:rPr>
        <w:t>, LDz 2024.</w:t>
      </w:r>
      <w:r w:rsidR="00AC2335">
        <w:rPr>
          <w:rFonts w:ascii="Times New Roman" w:hAnsi="Times New Roman" w:cs="Times New Roman"/>
          <w:sz w:val="24"/>
          <w:szCs w:val="24"/>
        </w:rPr>
        <w:t xml:space="preserve"> </w:t>
      </w:r>
      <w:r w:rsidR="5751BEB7" w:rsidRPr="469479B5">
        <w:rPr>
          <w:rFonts w:ascii="Times New Roman" w:hAnsi="Times New Roman" w:cs="Times New Roman"/>
          <w:sz w:val="24"/>
          <w:szCs w:val="24"/>
        </w:rPr>
        <w:t>gadā</w:t>
      </w:r>
      <w:r w:rsidRPr="469479B5">
        <w:rPr>
          <w:rFonts w:ascii="Times New Roman" w:hAnsi="Times New Roman" w:cs="Times New Roman"/>
          <w:sz w:val="24"/>
          <w:szCs w:val="24"/>
        </w:rPr>
        <w:t>), ievērojami palielina novirzes no plānotās vispārējās valdības sektorā klasificēto komercsabiedrību bilances. Tas gan nedod pārliecību, ka šie gadījumi ir sistemātiski un nākotnē ir sagaidāma jaunu komercsabiedrību klasificēšana vispārējās valdības sektorā</w:t>
      </w:r>
      <w:r w:rsidR="58B3A884" w:rsidRPr="469479B5">
        <w:rPr>
          <w:rFonts w:ascii="Times New Roman" w:hAnsi="Times New Roman" w:cs="Times New Roman"/>
          <w:sz w:val="24"/>
          <w:szCs w:val="24"/>
        </w:rPr>
        <w:t>.</w:t>
      </w:r>
      <w:r w:rsidR="27710447"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Vienlaicīgi jāņem vērā, ka, lai gan šādu komercsabiedrību pieklasificēšana pasliktina iepriekšējo gadu izpildi, izstrādājot likumu par valsts budžetu kārtējam gadam un vidēja termiņa budžeta ietvaru, FM ņem vērā attiecīgās komercsabiedrības ietekmi uz budžeta bilanci. Vienlaicīgi likumā par valsts budžetu kārtējam gadam un vidēja termiņa budžeta ietvaru ietvertais pieklasificēto kapitālsabiedrību regulējums, kas ierobežo </w:t>
      </w:r>
      <w:r w:rsidRPr="00AC445B">
        <w:rPr>
          <w:rFonts w:ascii="Times New Roman" w:hAnsi="Times New Roman" w:cs="Times New Roman"/>
          <w:sz w:val="24"/>
          <w:szCs w:val="24"/>
        </w:rPr>
        <w:t>to</w:t>
      </w:r>
      <w:r w:rsidRPr="469479B5">
        <w:rPr>
          <w:rFonts w:ascii="Times New Roman" w:hAnsi="Times New Roman" w:cs="Times New Roman"/>
          <w:sz w:val="24"/>
          <w:szCs w:val="24"/>
        </w:rPr>
        <w:t xml:space="preserve"> neplānotas darbības ietekmi uz budžeta izpildes datiem, ir būtisks elements, kas uzrāda pozitīvu pienesumu dotā riska mazināšanai. </w:t>
      </w:r>
      <w:bookmarkStart w:id="102" w:name="_Hlk201733861"/>
    </w:p>
    <w:p w14:paraId="3B481655" w14:textId="77777777" w:rsidR="00C0189F" w:rsidRPr="00BB1154" w:rsidRDefault="00C0189F" w:rsidP="00BB1154">
      <w:pPr>
        <w:spacing w:after="100" w:afterAutospacing="1" w:line="240" w:lineRule="auto"/>
        <w:ind w:firstLine="720"/>
        <w:jc w:val="both"/>
        <w:rPr>
          <w:rFonts w:ascii="Times New Roman" w:hAnsi="Times New Roman" w:cs="Times New Roman"/>
          <w:sz w:val="24"/>
          <w:szCs w:val="24"/>
        </w:rPr>
      </w:pPr>
    </w:p>
    <w:p w14:paraId="52E810D6" w14:textId="715D0EAF" w:rsidR="001C02DC" w:rsidRPr="000003C9" w:rsidRDefault="001C02DC" w:rsidP="001C02DC">
      <w:pPr>
        <w:autoSpaceDE w:val="0"/>
        <w:autoSpaceDN w:val="0"/>
        <w:adjustRightInd w:val="0"/>
        <w:spacing w:line="240" w:lineRule="auto"/>
        <w:jc w:val="right"/>
        <w:rPr>
          <w:rFonts w:ascii="Times New Roman" w:hAnsi="Times New Roman" w:cs="Times New Roman"/>
          <w:color w:val="000000"/>
          <w:sz w:val="24"/>
          <w:szCs w:val="24"/>
        </w:rPr>
      </w:pPr>
      <w:r w:rsidRPr="000003C9">
        <w:rPr>
          <w:rFonts w:ascii="Times New Roman" w:eastAsiaTheme="minorHAnsi" w:hAnsi="Times New Roman" w:cs="Times New Roman"/>
          <w:b/>
          <w:color w:val="000000"/>
          <w:sz w:val="24"/>
          <w:szCs w:val="20"/>
        </w:rPr>
        <w:t>Tabula Nr.</w:t>
      </w:r>
      <w:r w:rsidR="000C19C5" w:rsidRPr="000003C9">
        <w:rPr>
          <w:rFonts w:ascii="Times New Roman" w:eastAsiaTheme="minorHAnsi" w:hAnsi="Times New Roman" w:cs="Times New Roman"/>
          <w:b/>
          <w:color w:val="000000"/>
          <w:sz w:val="24"/>
          <w:szCs w:val="20"/>
        </w:rPr>
        <w:t>2.1</w:t>
      </w:r>
      <w:r w:rsidR="00061917">
        <w:rPr>
          <w:rFonts w:ascii="Times New Roman" w:eastAsiaTheme="minorHAnsi" w:hAnsi="Times New Roman" w:cs="Times New Roman"/>
          <w:b/>
          <w:color w:val="000000"/>
          <w:sz w:val="24"/>
          <w:szCs w:val="20"/>
        </w:rPr>
        <w:t>1</w:t>
      </w:r>
      <w:r w:rsidR="000C19C5" w:rsidRPr="000003C9">
        <w:rPr>
          <w:rFonts w:ascii="Times New Roman" w:eastAsiaTheme="minorHAnsi" w:hAnsi="Times New Roman" w:cs="Times New Roman"/>
          <w:b/>
          <w:color w:val="000000"/>
          <w:sz w:val="24"/>
          <w:szCs w:val="20"/>
        </w:rPr>
        <w:t>.</w:t>
      </w:r>
      <w:r w:rsidR="008158D8">
        <w:rPr>
          <w:rFonts w:ascii="Times New Roman" w:eastAsiaTheme="minorHAnsi" w:hAnsi="Times New Roman" w:cs="Times New Roman"/>
          <w:b/>
          <w:color w:val="000000"/>
          <w:sz w:val="24"/>
          <w:szCs w:val="20"/>
        </w:rPr>
        <w:t>1</w:t>
      </w:r>
      <w:r w:rsidRPr="000003C9">
        <w:rPr>
          <w:rFonts w:ascii="Times New Roman" w:eastAsiaTheme="minorHAnsi" w:hAnsi="Times New Roman" w:cs="Times New Roman"/>
          <w:b/>
          <w:color w:val="000000"/>
          <w:sz w:val="24"/>
          <w:szCs w:val="20"/>
        </w:rPr>
        <w:t xml:space="preserve"> Vispārējās valdības sektorā klasificēto komercsabiedrību plānotā un faktiskā ietekme uz budžeta bilanci</w:t>
      </w:r>
      <w:r w:rsidR="00FD33F0" w:rsidRPr="000003C9">
        <w:rPr>
          <w:rFonts w:ascii="Times New Roman" w:eastAsiaTheme="minorHAnsi" w:hAnsi="Times New Roman" w:cs="Times New Roman"/>
          <w:b/>
          <w:color w:val="000000"/>
          <w:sz w:val="24"/>
          <w:szCs w:val="20"/>
        </w:rPr>
        <w:t>,</w:t>
      </w:r>
      <w:r w:rsidRPr="000003C9">
        <w:rPr>
          <w:rFonts w:ascii="Times New Roman" w:eastAsiaTheme="minorHAnsi" w:hAnsi="Times New Roman" w:cs="Times New Roman"/>
          <w:b/>
          <w:color w:val="000000"/>
          <w:sz w:val="24"/>
          <w:szCs w:val="20"/>
        </w:rPr>
        <w:t xml:space="preserve"> milj. </w:t>
      </w:r>
      <w:r w:rsidRPr="000003C9">
        <w:rPr>
          <w:rFonts w:ascii="Times New Roman" w:eastAsiaTheme="minorHAnsi" w:hAnsi="Times New Roman" w:cs="Times New Roman"/>
          <w:b/>
          <w:i/>
          <w:color w:val="000000"/>
          <w:sz w:val="24"/>
          <w:szCs w:val="20"/>
        </w:rPr>
        <w:t>euro</w:t>
      </w:r>
      <w:r w:rsidRPr="000003C9">
        <w:rPr>
          <w:rFonts w:ascii="Times New Roman" w:eastAsiaTheme="minorHAnsi" w:hAnsi="Times New Roman" w:cs="Times New Roman"/>
          <w:b/>
          <w:color w:val="000000"/>
          <w:sz w:val="24"/>
          <w:szCs w:val="20"/>
        </w:rPr>
        <w:t xml:space="preserve">* </w:t>
      </w:r>
    </w:p>
    <w:tbl>
      <w:tblPr>
        <w:tblStyle w:val="GridTable6Colorful-Accent11"/>
        <w:tblW w:w="9798" w:type="dxa"/>
        <w:jc w:val="center"/>
        <w:tblLayout w:type="fixed"/>
        <w:tblLook w:val="04A0" w:firstRow="1" w:lastRow="0" w:firstColumn="1" w:lastColumn="0" w:noHBand="0" w:noVBand="1"/>
      </w:tblPr>
      <w:tblGrid>
        <w:gridCol w:w="2042"/>
        <w:gridCol w:w="699"/>
        <w:gridCol w:w="699"/>
        <w:gridCol w:w="700"/>
        <w:gridCol w:w="700"/>
        <w:gridCol w:w="700"/>
        <w:gridCol w:w="700"/>
        <w:gridCol w:w="700"/>
        <w:gridCol w:w="700"/>
        <w:gridCol w:w="700"/>
        <w:gridCol w:w="758"/>
        <w:gridCol w:w="700"/>
      </w:tblGrid>
      <w:tr w:rsidR="001B05A6" w:rsidRPr="00B57D0A" w14:paraId="2322D528" w14:textId="2514BD26" w:rsidTr="001B05A6">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BDAC0FA" w14:textId="3FE1A60C" w:rsidR="00555142" w:rsidRPr="00B57D0A" w:rsidRDefault="00555142" w:rsidP="469479B5">
            <w:pPr>
              <w:jc w:val="center"/>
              <w:rPr>
                <w:rFonts w:eastAsia="Times New Roman" w:cs="Times New Roman"/>
                <w:color w:val="auto"/>
                <w:sz w:val="20"/>
                <w:szCs w:val="20"/>
                <w:lang w:eastAsia="lv-LV"/>
              </w:rPr>
            </w:pPr>
          </w:p>
        </w:tc>
        <w:tc>
          <w:tcPr>
            <w:tcW w:w="680" w:type="dxa"/>
            <w:vAlign w:val="center"/>
          </w:tcPr>
          <w:p w14:paraId="33124BE4" w14:textId="28A2EFA2"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2014</w:t>
            </w:r>
          </w:p>
        </w:tc>
        <w:tc>
          <w:tcPr>
            <w:tcW w:w="680" w:type="dxa"/>
            <w:vAlign w:val="center"/>
          </w:tcPr>
          <w:p w14:paraId="7128D62A" w14:textId="0DCFD99E"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2015</w:t>
            </w:r>
          </w:p>
        </w:tc>
        <w:tc>
          <w:tcPr>
            <w:tcW w:w="680" w:type="dxa"/>
            <w:vAlign w:val="center"/>
          </w:tcPr>
          <w:p w14:paraId="561DE7D1" w14:textId="79DC4BFA"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2016</w:t>
            </w:r>
          </w:p>
        </w:tc>
        <w:tc>
          <w:tcPr>
            <w:tcW w:w="680" w:type="dxa"/>
            <w:vAlign w:val="center"/>
          </w:tcPr>
          <w:p w14:paraId="4D185382" w14:textId="3CFD2269"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2017</w:t>
            </w:r>
          </w:p>
        </w:tc>
        <w:tc>
          <w:tcPr>
            <w:tcW w:w="680" w:type="dxa"/>
            <w:vAlign w:val="center"/>
          </w:tcPr>
          <w:p w14:paraId="3948715B" w14:textId="77777777"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2018</w:t>
            </w:r>
          </w:p>
        </w:tc>
        <w:tc>
          <w:tcPr>
            <w:tcW w:w="680" w:type="dxa"/>
            <w:vAlign w:val="center"/>
          </w:tcPr>
          <w:p w14:paraId="2B317359" w14:textId="5201A569"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2019</w:t>
            </w:r>
          </w:p>
        </w:tc>
        <w:tc>
          <w:tcPr>
            <w:tcW w:w="680" w:type="dxa"/>
            <w:vAlign w:val="center"/>
          </w:tcPr>
          <w:p w14:paraId="7A52FE81" w14:textId="43194780"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2020</w:t>
            </w:r>
          </w:p>
        </w:tc>
        <w:tc>
          <w:tcPr>
            <w:tcW w:w="680" w:type="dxa"/>
            <w:vAlign w:val="center"/>
          </w:tcPr>
          <w:p w14:paraId="6EE7175D" w14:textId="5060CAE7"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2021</w:t>
            </w:r>
          </w:p>
        </w:tc>
        <w:tc>
          <w:tcPr>
            <w:tcW w:w="680" w:type="dxa"/>
            <w:vAlign w:val="center"/>
          </w:tcPr>
          <w:p w14:paraId="5E4C3667" w14:textId="0F903DF8"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2022</w:t>
            </w:r>
          </w:p>
        </w:tc>
        <w:tc>
          <w:tcPr>
            <w:tcW w:w="737" w:type="dxa"/>
            <w:vAlign w:val="center"/>
          </w:tcPr>
          <w:p w14:paraId="2D817054" w14:textId="0B997C93" w:rsidR="00555142" w:rsidRPr="00B57D0A"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2023</w:t>
            </w:r>
          </w:p>
        </w:tc>
        <w:tc>
          <w:tcPr>
            <w:tcW w:w="680" w:type="dxa"/>
            <w:vAlign w:val="center"/>
          </w:tcPr>
          <w:p w14:paraId="27A93372" w14:textId="3EB0010B" w:rsidR="00555142" w:rsidRPr="00E86AB3"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lang w:eastAsia="lv-LV"/>
              </w:rPr>
              <w:t>2024</w:t>
            </w:r>
          </w:p>
        </w:tc>
      </w:tr>
      <w:tr w:rsidR="001B05A6" w:rsidRPr="00B57D0A" w14:paraId="5DD70B23" w14:textId="212771AF" w:rsidTr="001B05A6">
        <w:trPr>
          <w:cnfStyle w:val="000000100000" w:firstRow="0" w:lastRow="0" w:firstColumn="0" w:lastColumn="0" w:oddVBand="0" w:evenVBand="0" w:oddHBand="1"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0A581F60" w14:textId="77777777" w:rsidR="00555142" w:rsidRPr="00B57D0A" w:rsidRDefault="00555142" w:rsidP="469479B5">
            <w:pPr>
              <w:rPr>
                <w:rFonts w:eastAsia="Times New Roman" w:cs="Times New Roman"/>
                <w:color w:val="auto"/>
                <w:sz w:val="20"/>
                <w:szCs w:val="20"/>
                <w:lang w:eastAsia="lv-LV"/>
              </w:rPr>
            </w:pPr>
            <w:r w:rsidRPr="00B57D0A">
              <w:rPr>
                <w:rFonts w:eastAsia="Times New Roman" w:cs="Times New Roman"/>
                <w:color w:val="auto"/>
                <w:sz w:val="20"/>
                <w:szCs w:val="20"/>
                <w:lang w:eastAsia="lv-LV"/>
              </w:rPr>
              <w:t>Vispārējās valdības sektorā klasificēto komercsabiedrību bilance (budžeta plāns)</w:t>
            </w:r>
          </w:p>
        </w:tc>
        <w:tc>
          <w:tcPr>
            <w:tcW w:w="680" w:type="dxa"/>
            <w:vAlign w:val="center"/>
          </w:tcPr>
          <w:p w14:paraId="05554B62" w14:textId="3CC53F92"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-36,0</w:t>
            </w:r>
          </w:p>
        </w:tc>
        <w:tc>
          <w:tcPr>
            <w:tcW w:w="680" w:type="dxa"/>
            <w:vAlign w:val="center"/>
          </w:tcPr>
          <w:p w14:paraId="75FAB4ED" w14:textId="762494A9"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-44,6</w:t>
            </w:r>
          </w:p>
        </w:tc>
        <w:tc>
          <w:tcPr>
            <w:tcW w:w="680" w:type="dxa"/>
            <w:vAlign w:val="center"/>
          </w:tcPr>
          <w:p w14:paraId="128BEFA7" w14:textId="74680250"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20,3</w:t>
            </w:r>
          </w:p>
        </w:tc>
        <w:tc>
          <w:tcPr>
            <w:tcW w:w="680" w:type="dxa"/>
            <w:vAlign w:val="center"/>
          </w:tcPr>
          <w:p w14:paraId="12ACF934" w14:textId="54531650"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33,7</w:t>
            </w:r>
          </w:p>
        </w:tc>
        <w:tc>
          <w:tcPr>
            <w:tcW w:w="680" w:type="dxa"/>
            <w:vAlign w:val="center"/>
          </w:tcPr>
          <w:p w14:paraId="10E0FD56" w14:textId="77777777"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18,9</w:t>
            </w:r>
          </w:p>
        </w:tc>
        <w:tc>
          <w:tcPr>
            <w:tcW w:w="680" w:type="dxa"/>
            <w:vAlign w:val="center"/>
          </w:tcPr>
          <w:p w14:paraId="22637D9F" w14:textId="77777777"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14,3</w:t>
            </w:r>
          </w:p>
        </w:tc>
        <w:tc>
          <w:tcPr>
            <w:tcW w:w="680" w:type="dxa"/>
            <w:vAlign w:val="center"/>
          </w:tcPr>
          <w:p w14:paraId="141338D3" w14:textId="49254F31"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-57,1</w:t>
            </w:r>
          </w:p>
        </w:tc>
        <w:tc>
          <w:tcPr>
            <w:tcW w:w="680" w:type="dxa"/>
            <w:vAlign w:val="center"/>
          </w:tcPr>
          <w:p w14:paraId="47A30E8B" w14:textId="3E7D1DEF"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-46,1</w:t>
            </w:r>
          </w:p>
        </w:tc>
        <w:tc>
          <w:tcPr>
            <w:tcW w:w="680" w:type="dxa"/>
            <w:vAlign w:val="center"/>
          </w:tcPr>
          <w:p w14:paraId="4151A4D8" w14:textId="78855974"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-72,1</w:t>
            </w:r>
          </w:p>
        </w:tc>
        <w:tc>
          <w:tcPr>
            <w:tcW w:w="737" w:type="dxa"/>
            <w:vAlign w:val="center"/>
          </w:tcPr>
          <w:p w14:paraId="13773E2D" w14:textId="2781E02D" w:rsidR="00555142" w:rsidRPr="00B57D0A" w:rsidRDefault="005551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-164,0</w:t>
            </w:r>
          </w:p>
        </w:tc>
        <w:tc>
          <w:tcPr>
            <w:tcW w:w="680" w:type="dxa"/>
            <w:vAlign w:val="center"/>
          </w:tcPr>
          <w:p w14:paraId="0141152E" w14:textId="738E9603" w:rsidR="00555142" w:rsidRPr="00E86AB3" w:rsidRDefault="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-6,7</w:t>
            </w:r>
          </w:p>
        </w:tc>
      </w:tr>
      <w:tr w:rsidR="001B05A6" w:rsidRPr="00B57D0A" w14:paraId="7D537900" w14:textId="38D62794" w:rsidTr="001B05A6">
        <w:trPr>
          <w:trHeight w:val="315"/>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1DD31768" w14:textId="65B80763" w:rsidR="00AA0A34" w:rsidRPr="00B57D0A" w:rsidRDefault="00AA0A34" w:rsidP="00AA0A34">
            <w:pPr>
              <w:rPr>
                <w:rFonts w:eastAsia="Times New Roman" w:cs="Times New Roman"/>
                <w:color w:val="auto"/>
                <w:sz w:val="20"/>
                <w:szCs w:val="20"/>
                <w:lang w:eastAsia="lv-LV"/>
              </w:rPr>
            </w:pPr>
            <w:r w:rsidRPr="00B57D0A">
              <w:rPr>
                <w:rFonts w:eastAsia="Times New Roman" w:cs="Times New Roman"/>
                <w:color w:val="auto"/>
                <w:sz w:val="20"/>
                <w:szCs w:val="20"/>
                <w:lang w:eastAsia="lv-LV"/>
              </w:rPr>
              <w:t>Vispārējās valdības sektorā klasificēto komercsabiedrību bilance (izpilde)</w:t>
            </w:r>
            <w:r w:rsidRPr="00B57D0A">
              <w:rPr>
                <w:rFonts w:eastAsia="Times New Roman" w:cs="Times New Roman"/>
                <w:color w:val="auto"/>
                <w:sz w:val="20"/>
                <w:szCs w:val="20"/>
              </w:rPr>
              <w:t>**</w:t>
            </w:r>
          </w:p>
        </w:tc>
        <w:tc>
          <w:tcPr>
            <w:tcW w:w="680" w:type="dxa"/>
            <w:vAlign w:val="center"/>
          </w:tcPr>
          <w:p w14:paraId="22D4E1E3" w14:textId="57077000"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-50,5</w:t>
            </w:r>
          </w:p>
        </w:tc>
        <w:tc>
          <w:tcPr>
            <w:tcW w:w="680" w:type="dxa"/>
            <w:vAlign w:val="center"/>
          </w:tcPr>
          <w:p w14:paraId="32BB52ED" w14:textId="536089C3"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-24,1</w:t>
            </w:r>
          </w:p>
        </w:tc>
        <w:tc>
          <w:tcPr>
            <w:tcW w:w="680" w:type="dxa"/>
            <w:vAlign w:val="center"/>
          </w:tcPr>
          <w:p w14:paraId="4557EC36" w14:textId="3991EEE8"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19,2</w:t>
            </w:r>
          </w:p>
        </w:tc>
        <w:tc>
          <w:tcPr>
            <w:tcW w:w="680" w:type="dxa"/>
            <w:vAlign w:val="center"/>
          </w:tcPr>
          <w:p w14:paraId="7ECC85A6" w14:textId="1D75A56C"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rPr>
              <w:t>-40,9</w:t>
            </w:r>
          </w:p>
        </w:tc>
        <w:tc>
          <w:tcPr>
            <w:tcW w:w="680" w:type="dxa"/>
            <w:vAlign w:val="center"/>
          </w:tcPr>
          <w:p w14:paraId="073034CF" w14:textId="77777777"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color w:val="auto"/>
                <w:sz w:val="20"/>
                <w:szCs w:val="20"/>
              </w:rPr>
              <w:t>-65,4</w:t>
            </w:r>
          </w:p>
        </w:tc>
        <w:tc>
          <w:tcPr>
            <w:tcW w:w="680" w:type="dxa"/>
            <w:vAlign w:val="center"/>
          </w:tcPr>
          <w:p w14:paraId="5F669448" w14:textId="3F52D605"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27,8</w:t>
            </w:r>
          </w:p>
        </w:tc>
        <w:tc>
          <w:tcPr>
            <w:tcW w:w="680" w:type="dxa"/>
            <w:vAlign w:val="center"/>
          </w:tcPr>
          <w:p w14:paraId="4A14222B" w14:textId="24EE59FB"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57,8</w:t>
            </w:r>
          </w:p>
        </w:tc>
        <w:tc>
          <w:tcPr>
            <w:tcW w:w="680" w:type="dxa"/>
            <w:vAlign w:val="center"/>
          </w:tcPr>
          <w:p w14:paraId="073B57CA" w14:textId="006C9CBF"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-13,4</w:t>
            </w:r>
          </w:p>
        </w:tc>
        <w:tc>
          <w:tcPr>
            <w:tcW w:w="680" w:type="dxa"/>
            <w:vAlign w:val="center"/>
          </w:tcPr>
          <w:p w14:paraId="1B65AB7D" w14:textId="61C5F352"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-34,2</w:t>
            </w:r>
          </w:p>
        </w:tc>
        <w:tc>
          <w:tcPr>
            <w:tcW w:w="737" w:type="dxa"/>
            <w:vAlign w:val="center"/>
          </w:tcPr>
          <w:p w14:paraId="666E1693" w14:textId="021489E1" w:rsidR="00AA0A34" w:rsidRPr="00B57D0A"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-119,9</w:t>
            </w:r>
          </w:p>
        </w:tc>
        <w:tc>
          <w:tcPr>
            <w:tcW w:w="680" w:type="dxa"/>
            <w:vAlign w:val="center"/>
          </w:tcPr>
          <w:p w14:paraId="0AB93681" w14:textId="19A9B180" w:rsidR="00AA0A34" w:rsidRPr="00E86AB3" w:rsidRDefault="00AA0A34" w:rsidP="00AA0A3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B57D0A">
              <w:rPr>
                <w:rFonts w:eastAsia="Times New Roman" w:cs="Times New Roman"/>
                <w:color w:val="auto"/>
                <w:sz w:val="20"/>
                <w:szCs w:val="20"/>
              </w:rPr>
              <w:t>-37,3</w:t>
            </w:r>
          </w:p>
        </w:tc>
      </w:tr>
      <w:tr w:rsidR="001B05A6" w:rsidRPr="00B57D0A" w14:paraId="3AC28108" w14:textId="7E6CBAB7" w:rsidTr="001B05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655F5F5" w14:textId="77777777" w:rsidR="00AA0A34" w:rsidRPr="00B57D0A" w:rsidRDefault="00AA0A34" w:rsidP="00AA0A34">
            <w:pPr>
              <w:rPr>
                <w:rFonts w:eastAsia="Times New Roman" w:cs="Times New Roman"/>
                <w:color w:val="auto"/>
                <w:sz w:val="20"/>
                <w:szCs w:val="20"/>
                <w:lang w:eastAsia="lv-LV"/>
              </w:rPr>
            </w:pPr>
            <w:r w:rsidRPr="00B57D0A">
              <w:rPr>
                <w:rFonts w:eastAsia="Times New Roman" w:cs="Times New Roman"/>
                <w:color w:val="auto"/>
                <w:sz w:val="20"/>
                <w:szCs w:val="20"/>
                <w:lang w:eastAsia="lv-LV"/>
              </w:rPr>
              <w:t>Faktiskās bilances novirze no plāna</w:t>
            </w:r>
          </w:p>
        </w:tc>
        <w:tc>
          <w:tcPr>
            <w:tcW w:w="680" w:type="dxa"/>
            <w:vAlign w:val="center"/>
          </w:tcPr>
          <w:p w14:paraId="4F46F42F" w14:textId="0FA8949A"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-14,5</w:t>
            </w:r>
          </w:p>
        </w:tc>
        <w:tc>
          <w:tcPr>
            <w:tcW w:w="680" w:type="dxa"/>
            <w:vAlign w:val="center"/>
          </w:tcPr>
          <w:p w14:paraId="77B81929" w14:textId="515980DB"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20,6</w:t>
            </w:r>
          </w:p>
        </w:tc>
        <w:tc>
          <w:tcPr>
            <w:tcW w:w="680" w:type="dxa"/>
            <w:vAlign w:val="center"/>
          </w:tcPr>
          <w:p w14:paraId="7DD26704" w14:textId="71B13223"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-1,0</w:t>
            </w:r>
          </w:p>
        </w:tc>
        <w:tc>
          <w:tcPr>
            <w:tcW w:w="680" w:type="dxa"/>
            <w:vAlign w:val="center"/>
          </w:tcPr>
          <w:p w14:paraId="12F99A95" w14:textId="590DB480"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b/>
                <w:bCs/>
                <w:color w:val="auto"/>
                <w:sz w:val="20"/>
                <w:szCs w:val="20"/>
              </w:rPr>
              <w:t>-74,6</w:t>
            </w:r>
          </w:p>
        </w:tc>
        <w:tc>
          <w:tcPr>
            <w:tcW w:w="680" w:type="dxa"/>
            <w:vAlign w:val="center"/>
          </w:tcPr>
          <w:p w14:paraId="0CABFEC7" w14:textId="77777777"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B57D0A">
              <w:rPr>
                <w:rFonts w:eastAsia="Times New Roman" w:cs="Times New Roman"/>
                <w:b/>
                <w:bCs/>
                <w:color w:val="auto"/>
                <w:sz w:val="20"/>
                <w:szCs w:val="20"/>
              </w:rPr>
              <w:t>-84,4</w:t>
            </w:r>
          </w:p>
        </w:tc>
        <w:tc>
          <w:tcPr>
            <w:tcW w:w="680" w:type="dxa"/>
            <w:vAlign w:val="center"/>
          </w:tcPr>
          <w:p w14:paraId="3D59D80F" w14:textId="7BB83203"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13,5</w:t>
            </w:r>
          </w:p>
        </w:tc>
        <w:tc>
          <w:tcPr>
            <w:tcW w:w="680" w:type="dxa"/>
            <w:vAlign w:val="center"/>
          </w:tcPr>
          <w:p w14:paraId="33ACCBB8" w14:textId="68FA29B1"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115,0</w:t>
            </w:r>
          </w:p>
        </w:tc>
        <w:tc>
          <w:tcPr>
            <w:tcW w:w="680" w:type="dxa"/>
            <w:vAlign w:val="center"/>
          </w:tcPr>
          <w:p w14:paraId="426339F6" w14:textId="601E6AE8"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32,6</w:t>
            </w:r>
          </w:p>
        </w:tc>
        <w:tc>
          <w:tcPr>
            <w:tcW w:w="680" w:type="dxa"/>
            <w:vAlign w:val="center"/>
          </w:tcPr>
          <w:p w14:paraId="466A95DD" w14:textId="09F81D94"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38,0</w:t>
            </w:r>
          </w:p>
        </w:tc>
        <w:tc>
          <w:tcPr>
            <w:tcW w:w="737" w:type="dxa"/>
            <w:vAlign w:val="center"/>
          </w:tcPr>
          <w:p w14:paraId="42C0A915" w14:textId="0E935B55" w:rsidR="00AA0A34" w:rsidRPr="00B57D0A"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44,1</w:t>
            </w:r>
          </w:p>
        </w:tc>
        <w:tc>
          <w:tcPr>
            <w:tcW w:w="680" w:type="dxa"/>
            <w:vAlign w:val="center"/>
          </w:tcPr>
          <w:p w14:paraId="2C44061A" w14:textId="1E0B290F" w:rsidR="00AA0A34" w:rsidRPr="00E86AB3" w:rsidRDefault="00AA0A34" w:rsidP="00AA0A3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B57D0A">
              <w:rPr>
                <w:rFonts w:eastAsia="Times New Roman" w:cs="Times New Roman"/>
                <w:b/>
                <w:bCs/>
                <w:color w:val="auto"/>
                <w:sz w:val="20"/>
                <w:szCs w:val="20"/>
              </w:rPr>
              <w:t>-30,6</w:t>
            </w:r>
          </w:p>
        </w:tc>
      </w:tr>
    </w:tbl>
    <w:p w14:paraId="7C627FB3" w14:textId="4CFB1E35" w:rsidR="001C02DC" w:rsidRPr="003A5E5A" w:rsidRDefault="001C02DC" w:rsidP="002D428D">
      <w:pPr>
        <w:spacing w:after="0" w:line="240" w:lineRule="auto"/>
        <w:ind w:left="-142"/>
        <w:jc w:val="both"/>
        <w:rPr>
          <w:rFonts w:ascii="Times New Roman" w:hAnsi="Times New Roman" w:cs="Times New Roman"/>
          <w:i/>
          <w:iCs/>
          <w:sz w:val="20"/>
          <w:szCs w:val="20"/>
        </w:rPr>
      </w:pPr>
      <w:r w:rsidRPr="003A5E5A">
        <w:rPr>
          <w:rFonts w:ascii="Times New Roman" w:hAnsi="Times New Roman" w:cs="Times New Roman"/>
          <w:i/>
          <w:iCs/>
          <w:sz w:val="20"/>
          <w:szCs w:val="20"/>
        </w:rPr>
        <w:t>*</w:t>
      </w:r>
      <w:r w:rsidR="00052D08" w:rsidRPr="003A5E5A">
        <w:rPr>
          <w:rFonts w:ascii="Times New Roman" w:hAnsi="Times New Roman" w:cs="Times New Roman"/>
          <w:i/>
          <w:iCs/>
          <w:sz w:val="20"/>
          <w:szCs w:val="20"/>
        </w:rPr>
        <w:t xml:space="preserve"> </w:t>
      </w:r>
      <w:r w:rsidRPr="003A5E5A">
        <w:rPr>
          <w:rFonts w:ascii="Times New Roman" w:hAnsi="Times New Roman" w:cs="Times New Roman"/>
          <w:i/>
          <w:iCs/>
          <w:sz w:val="20"/>
          <w:szCs w:val="20"/>
        </w:rPr>
        <w:t>Neskaitot akciju sabiedrības EP</w:t>
      </w:r>
      <w:r w:rsidR="001C4E38" w:rsidRPr="003A5E5A">
        <w:rPr>
          <w:rFonts w:ascii="Times New Roman" w:hAnsi="Times New Roman" w:cs="Times New Roman"/>
          <w:i/>
          <w:iCs/>
          <w:sz w:val="20"/>
          <w:szCs w:val="20"/>
        </w:rPr>
        <w:t>T</w:t>
      </w:r>
      <w:r w:rsidRPr="003A5E5A">
        <w:rPr>
          <w:rFonts w:ascii="Times New Roman" w:hAnsi="Times New Roman" w:cs="Times New Roman"/>
          <w:i/>
          <w:iCs/>
          <w:sz w:val="20"/>
          <w:szCs w:val="20"/>
        </w:rPr>
        <w:t xml:space="preserve"> ietekmi.</w:t>
      </w:r>
    </w:p>
    <w:p w14:paraId="69C9E60B" w14:textId="156A3A33" w:rsidR="001C02DC" w:rsidRPr="003A5E5A" w:rsidRDefault="00052D08" w:rsidP="469479B5">
      <w:pPr>
        <w:spacing w:after="0" w:line="240" w:lineRule="auto"/>
        <w:ind w:left="-142"/>
        <w:jc w:val="both"/>
        <w:rPr>
          <w:rFonts w:ascii="Times New Roman" w:hAnsi="Times New Roman" w:cs="Times New Roman"/>
          <w:i/>
          <w:iCs/>
          <w:sz w:val="20"/>
          <w:szCs w:val="20"/>
        </w:rPr>
      </w:pPr>
      <w:r w:rsidRPr="003A5E5A">
        <w:rPr>
          <w:rFonts w:ascii="Times New Roman" w:hAnsi="Times New Roman" w:cs="Times New Roman"/>
          <w:i/>
          <w:iCs/>
          <w:sz w:val="20"/>
          <w:szCs w:val="20"/>
        </w:rPr>
        <w:t>**</w:t>
      </w:r>
      <w:r w:rsidR="55AF9935" w:rsidRPr="00052D08">
        <w:rPr>
          <w:rFonts w:ascii="Times New Roman" w:hAnsi="Times New Roman" w:cs="Times New Roman"/>
          <w:i/>
          <w:iCs/>
          <w:sz w:val="20"/>
          <w:szCs w:val="20"/>
        </w:rPr>
        <w:t xml:space="preserve">saskaņā ar Eurostat </w:t>
      </w:r>
      <w:r w:rsidR="006C1B5E" w:rsidRPr="00052D08">
        <w:rPr>
          <w:rFonts w:ascii="Times New Roman" w:hAnsi="Times New Roman" w:cs="Times New Roman"/>
          <w:i/>
          <w:iCs/>
          <w:sz w:val="20"/>
          <w:szCs w:val="20"/>
        </w:rPr>
        <w:t>202</w:t>
      </w:r>
      <w:r w:rsidR="006C1B5E">
        <w:rPr>
          <w:rFonts w:ascii="Times New Roman" w:hAnsi="Times New Roman" w:cs="Times New Roman"/>
          <w:i/>
          <w:iCs/>
          <w:sz w:val="20"/>
          <w:szCs w:val="20"/>
        </w:rPr>
        <w:t>5</w:t>
      </w:r>
      <w:r w:rsidR="55AF9935" w:rsidRPr="00052D08">
        <w:rPr>
          <w:rFonts w:ascii="Times New Roman" w:hAnsi="Times New Roman" w:cs="Times New Roman"/>
          <w:i/>
          <w:iCs/>
          <w:sz w:val="20"/>
          <w:szCs w:val="20"/>
        </w:rPr>
        <w:t>.</w:t>
      </w:r>
      <w:r w:rsidR="2655420E" w:rsidRPr="003A5E5A">
        <w:rPr>
          <w:rFonts w:ascii="Times New Roman" w:hAnsi="Times New Roman" w:cs="Times New Roman"/>
          <w:b/>
          <w:bCs/>
          <w:i/>
          <w:iCs/>
          <w:sz w:val="24"/>
          <w:szCs w:val="24"/>
        </w:rPr>
        <w:t xml:space="preserve"> </w:t>
      </w:r>
      <w:r w:rsidR="55AF9935" w:rsidRPr="00052D08">
        <w:rPr>
          <w:rFonts w:ascii="Times New Roman" w:hAnsi="Times New Roman" w:cs="Times New Roman"/>
          <w:i/>
          <w:iCs/>
          <w:sz w:val="20"/>
          <w:szCs w:val="20"/>
        </w:rPr>
        <w:t>gada aprīļa vispārējās valdības budžeta notifikācijas datiem</w:t>
      </w:r>
      <w:r w:rsidR="55AF9935" w:rsidRPr="003A5E5A">
        <w:rPr>
          <w:rFonts w:ascii="Times New Roman" w:hAnsi="Times New Roman" w:cs="Times New Roman"/>
          <w:i/>
          <w:iCs/>
          <w:sz w:val="24"/>
          <w:szCs w:val="24"/>
        </w:rPr>
        <w:t xml:space="preserve"> </w:t>
      </w:r>
    </w:p>
    <w:bookmarkEnd w:id="102"/>
    <w:p w14:paraId="6FE22D12" w14:textId="77777777" w:rsidR="001C02DC" w:rsidRPr="006E3148" w:rsidRDefault="001C02DC" w:rsidP="00BA7CFE">
      <w:pPr>
        <w:spacing w:after="0" w:line="240" w:lineRule="auto"/>
        <w:ind w:firstLine="720"/>
        <w:jc w:val="both"/>
        <w:rPr>
          <w:rFonts w:ascii="Times New Roman" w:eastAsiaTheme="minorHAnsi" w:hAnsi="Times New Roman" w:cs="Times New Roman"/>
          <w:sz w:val="16"/>
          <w:szCs w:val="14"/>
        </w:rPr>
      </w:pPr>
    </w:p>
    <w:p w14:paraId="55C80D95" w14:textId="77777777" w:rsidR="00E828E9" w:rsidRDefault="52DB131E" w:rsidP="00765C9B">
      <w:pPr>
        <w:spacing w:after="0" w:line="240" w:lineRule="auto"/>
        <w:ind w:firstLine="720"/>
        <w:jc w:val="both"/>
        <w:rPr>
          <w:rFonts w:ascii="Times New Roman" w:hAnsi="Times New Roman" w:cs="Times New Roman"/>
          <w:color w:val="000000" w:themeColor="text1"/>
          <w:sz w:val="24"/>
          <w:szCs w:val="24"/>
        </w:rPr>
      </w:pPr>
      <w:bookmarkStart w:id="103" w:name="_Hlk201733975"/>
      <w:r w:rsidRPr="469479B5">
        <w:rPr>
          <w:rFonts w:ascii="Times New Roman" w:hAnsi="Times New Roman" w:cs="Times New Roman"/>
          <w:color w:val="000000" w:themeColor="text1"/>
          <w:sz w:val="24"/>
          <w:szCs w:val="24"/>
        </w:rPr>
        <w:t>2022.</w:t>
      </w:r>
      <w:r w:rsidR="56F720E1"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gada un 2023.</w:t>
      </w:r>
      <w:r w:rsidR="26FC78D0"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 xml:space="preserve">gada vispārējās valdības klasificēto komercsabiedrību ietekme uz vispārējās valdības budžeta bilanci bija mazāk negatīva kā plānots, galvenokārt </w:t>
      </w:r>
      <w:r w:rsidRPr="469479B5">
        <w:rPr>
          <w:rFonts w:ascii="Times New Roman" w:hAnsi="Times New Roman" w:cs="Times New Roman"/>
          <w:sz w:val="24"/>
          <w:szCs w:val="24"/>
        </w:rPr>
        <w:t xml:space="preserve">ņemot vērā nobīdes </w:t>
      </w:r>
      <w:r w:rsidRPr="469479B5">
        <w:rPr>
          <w:rFonts w:ascii="Times New Roman" w:hAnsi="Times New Roman" w:cs="Times New Roman"/>
          <w:color w:val="000000" w:themeColor="text1"/>
          <w:sz w:val="24"/>
          <w:szCs w:val="24"/>
        </w:rPr>
        <w:t xml:space="preserve">AS “Pasažieru vilciens” </w:t>
      </w:r>
      <w:r w:rsidRPr="469479B5">
        <w:rPr>
          <w:rFonts w:ascii="Times New Roman" w:hAnsi="Times New Roman" w:cs="Times New Roman"/>
          <w:sz w:val="24"/>
          <w:szCs w:val="24"/>
        </w:rPr>
        <w:t>elektrovilcienu piegādes termiņos</w:t>
      </w:r>
      <w:r w:rsidRPr="469479B5">
        <w:rPr>
          <w:rFonts w:ascii="Times New Roman" w:hAnsi="Times New Roman" w:cs="Times New Roman"/>
          <w:color w:val="000000" w:themeColor="text1"/>
          <w:sz w:val="24"/>
          <w:szCs w:val="24"/>
        </w:rPr>
        <w:t xml:space="preserve">. </w:t>
      </w:r>
    </w:p>
    <w:p w14:paraId="5A0E777F" w14:textId="25AD01EA" w:rsidR="005A5E0E" w:rsidRDefault="005A5E0E" w:rsidP="005A5E0E">
      <w:pPr>
        <w:spacing w:after="0" w:line="240" w:lineRule="auto"/>
        <w:ind w:firstLine="720"/>
        <w:jc w:val="both"/>
        <w:rPr>
          <w:rFonts w:ascii="Times New Roman" w:hAnsi="Times New Roman" w:cs="Times New Roman"/>
          <w:sz w:val="24"/>
          <w:szCs w:val="24"/>
        </w:rPr>
      </w:pPr>
      <w:r w:rsidRPr="00F92F6A">
        <w:rPr>
          <w:rFonts w:ascii="Times New Roman" w:eastAsia="Times New Roman" w:hAnsi="Times New Roman" w:cs="Times New Roman"/>
          <w:sz w:val="24"/>
          <w:szCs w:val="24"/>
        </w:rPr>
        <w:t>CSP 2024. gada aprīļa vispārējās valdības budžeta deficīta un parāda notifikācijā iestrādāja LDz kā pieklasificētā komersanta ietekmi uz valsts fiskālajiem rādītājiem. Ņemot vērā minēto, FM savās prognozēs, sākot ar Stabilitātes programmu 2024.</w:t>
      </w:r>
      <w:r w:rsidR="001141AD" w:rsidRPr="001141AD">
        <w:rPr>
          <w:rFonts w:ascii="Times New Roman" w:hAnsi="Times New Roman" w:cs="Times New Roman"/>
          <w:color w:val="000000" w:themeColor="text1"/>
        </w:rPr>
        <w:t xml:space="preserve"> </w:t>
      </w:r>
      <w:r w:rsidR="001141AD" w:rsidRPr="469479B5">
        <w:rPr>
          <w:rFonts w:ascii="Times New Roman" w:hAnsi="Times New Roman" w:cs="Times New Roman"/>
          <w:color w:val="000000" w:themeColor="text1"/>
        </w:rPr>
        <w:t>–</w:t>
      </w:r>
      <w:r w:rsidR="001141AD">
        <w:rPr>
          <w:rFonts w:ascii="Times New Roman" w:hAnsi="Times New Roman" w:cs="Times New Roman"/>
          <w:color w:val="000000" w:themeColor="text1"/>
        </w:rPr>
        <w:t xml:space="preserve"> </w:t>
      </w:r>
      <w:r w:rsidRPr="00F92F6A">
        <w:rPr>
          <w:rFonts w:ascii="Times New Roman" w:eastAsia="Times New Roman" w:hAnsi="Times New Roman" w:cs="Times New Roman"/>
          <w:sz w:val="24"/>
          <w:szCs w:val="24"/>
        </w:rPr>
        <w:t xml:space="preserve">2028. gadam, iekļauj LDz kā vispārējās valdības sektora uzņēmuma saimnieciskās un finanšu darbības prognozēto rezultātu. </w:t>
      </w:r>
      <w:bookmarkEnd w:id="103"/>
    </w:p>
    <w:p w14:paraId="341004C2" w14:textId="340BAA38" w:rsidR="00437CE9" w:rsidRPr="0064250D" w:rsidRDefault="005A5E0E" w:rsidP="0064250D">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Pēdējos gados valsts sniedza atbalstu publiskā sektora kapitālsabiedrībām, tai skaitā LDz. </w:t>
      </w:r>
      <w:r>
        <w:rPr>
          <w:rFonts w:ascii="Times New Roman" w:hAnsi="Times New Roman" w:cs="Times New Roman"/>
          <w:sz w:val="24"/>
          <w:szCs w:val="24"/>
        </w:rPr>
        <w:t xml:space="preserve">Valsts sniegtais atbalsts LDz 2020. gadā bija 59,6 milj. </w:t>
      </w:r>
      <w:r w:rsidRPr="00A05EA4">
        <w:rPr>
          <w:rFonts w:ascii="Times New Roman" w:hAnsi="Times New Roman" w:cs="Times New Roman"/>
          <w:i/>
          <w:iCs/>
          <w:sz w:val="24"/>
          <w:szCs w:val="24"/>
        </w:rPr>
        <w:t>euro</w:t>
      </w:r>
      <w:r>
        <w:rPr>
          <w:rFonts w:ascii="Times New Roman" w:hAnsi="Times New Roman" w:cs="Times New Roman"/>
          <w:sz w:val="24"/>
          <w:szCs w:val="24"/>
        </w:rPr>
        <w:t xml:space="preserve">, 2021. gada 14,2 milj. </w:t>
      </w:r>
      <w:r w:rsidRPr="00A05EA4">
        <w:rPr>
          <w:rFonts w:ascii="Times New Roman" w:hAnsi="Times New Roman" w:cs="Times New Roman"/>
          <w:i/>
          <w:iCs/>
          <w:sz w:val="24"/>
          <w:szCs w:val="24"/>
        </w:rPr>
        <w:t>euro</w:t>
      </w:r>
      <w:r>
        <w:rPr>
          <w:rFonts w:ascii="Times New Roman" w:hAnsi="Times New Roman" w:cs="Times New Roman"/>
          <w:sz w:val="24"/>
          <w:szCs w:val="24"/>
        </w:rPr>
        <w:t xml:space="preserve">, 2022. gada 48,1 milj. </w:t>
      </w:r>
      <w:r w:rsidRPr="00A05EA4">
        <w:rPr>
          <w:rFonts w:ascii="Times New Roman" w:hAnsi="Times New Roman" w:cs="Times New Roman"/>
          <w:i/>
          <w:iCs/>
          <w:sz w:val="24"/>
          <w:szCs w:val="24"/>
        </w:rPr>
        <w:t>euro</w:t>
      </w:r>
      <w:r>
        <w:rPr>
          <w:rFonts w:ascii="Times New Roman" w:hAnsi="Times New Roman" w:cs="Times New Roman"/>
          <w:sz w:val="24"/>
          <w:szCs w:val="24"/>
        </w:rPr>
        <w:t xml:space="preserve"> apmērā, kā arī l</w:t>
      </w:r>
      <w:r w:rsidRPr="00136332">
        <w:rPr>
          <w:rFonts w:ascii="Times New Roman" w:hAnsi="Times New Roman" w:cs="Times New Roman"/>
          <w:sz w:val="24"/>
          <w:szCs w:val="24"/>
        </w:rPr>
        <w:t>ai nodrošinātu valsts publiskās dzelzceļa infrastruktūras darbības nepārtrauktību</w:t>
      </w:r>
      <w:r>
        <w:rPr>
          <w:rFonts w:ascii="Times New Roman" w:hAnsi="Times New Roman" w:cs="Times New Roman"/>
          <w:sz w:val="24"/>
          <w:szCs w:val="24"/>
        </w:rPr>
        <w:t xml:space="preserve"> 2023. gadā tika piešķirti 10 milj.</w:t>
      </w:r>
      <w:r w:rsidRPr="00A05EA4">
        <w:rPr>
          <w:rFonts w:ascii="Times New Roman" w:hAnsi="Times New Roman" w:cs="Times New Roman"/>
          <w:i/>
          <w:iCs/>
          <w:sz w:val="24"/>
          <w:szCs w:val="24"/>
        </w:rPr>
        <w:t xml:space="preserve"> euro</w:t>
      </w:r>
      <w:r w:rsidR="00507951">
        <w:rPr>
          <w:rFonts w:ascii="Times New Roman" w:hAnsi="Times New Roman" w:cs="Times New Roman"/>
          <w:i/>
          <w:iCs/>
          <w:sz w:val="24"/>
          <w:szCs w:val="24"/>
        </w:rPr>
        <w:t xml:space="preserve"> </w:t>
      </w:r>
      <w:r w:rsidR="00507951">
        <w:rPr>
          <w:rFonts w:ascii="Times New Roman" w:hAnsi="Times New Roman" w:cs="Times New Roman"/>
          <w:sz w:val="24"/>
          <w:szCs w:val="24"/>
        </w:rPr>
        <w:t xml:space="preserve">no </w:t>
      </w:r>
      <w:r w:rsidR="006F338E">
        <w:rPr>
          <w:rFonts w:ascii="Times New Roman" w:hAnsi="Times New Roman" w:cs="Times New Roman"/>
          <w:sz w:val="24"/>
          <w:szCs w:val="24"/>
        </w:rPr>
        <w:t>“</w:t>
      </w:r>
      <w:r w:rsidR="00E3709C" w:rsidRPr="00E3709C">
        <w:rPr>
          <w:rFonts w:ascii="Times New Roman" w:hAnsi="Times New Roman" w:cs="Times New Roman"/>
          <w:sz w:val="24"/>
          <w:szCs w:val="24"/>
        </w:rPr>
        <w:t>Līdzekļi neparedzētiem gadījumiem</w:t>
      </w:r>
      <w:r w:rsidR="006F338E">
        <w:rPr>
          <w:rFonts w:ascii="Times New Roman" w:hAnsi="Times New Roman" w:cs="Times New Roman"/>
          <w:sz w:val="24"/>
          <w:szCs w:val="24"/>
        </w:rPr>
        <w:t>”</w:t>
      </w:r>
      <w:r>
        <w:rPr>
          <w:rFonts w:ascii="Times New Roman" w:hAnsi="Times New Roman" w:cs="Times New Roman"/>
          <w:sz w:val="24"/>
          <w:szCs w:val="24"/>
        </w:rPr>
        <w:t>.</w:t>
      </w:r>
      <w:r w:rsidR="00C24C79" w:rsidRPr="00C24C79">
        <w:rPr>
          <w:rFonts w:ascii="Times New Roman" w:hAnsi="Times New Roman" w:cs="Times New Roman"/>
          <w:sz w:val="24"/>
          <w:szCs w:val="24"/>
        </w:rPr>
        <w:t xml:space="preserve"> </w:t>
      </w:r>
      <w:r w:rsidR="00C24C79" w:rsidRPr="00F92F6A">
        <w:rPr>
          <w:rFonts w:ascii="Times New Roman" w:hAnsi="Times New Roman" w:cs="Times New Roman"/>
          <w:sz w:val="24"/>
          <w:szCs w:val="24"/>
        </w:rPr>
        <w:t>L</w:t>
      </w:r>
      <w:r w:rsidR="00C24C79" w:rsidRPr="00F92F6A">
        <w:rPr>
          <w:rFonts w:ascii="Times New Roman" w:eastAsia="Times New Roman" w:hAnsi="Times New Roman" w:cs="Times New Roman"/>
          <w:sz w:val="24"/>
          <w:szCs w:val="24"/>
        </w:rPr>
        <w:t xml:space="preserve">ikumā “Par valsts budžetu 2025. gadam un budžeta ietvaru 2025., 2026. un 2027. gadam” 73. pants nosaka, ka </w:t>
      </w:r>
      <w:r w:rsidR="00C24C79" w:rsidRPr="00F92F6A">
        <w:rPr>
          <w:rFonts w:ascii="Times New Roman" w:hAnsi="Times New Roman" w:cs="Times New Roman"/>
          <w:sz w:val="24"/>
          <w:szCs w:val="24"/>
        </w:rPr>
        <w:t>finansējums 2025.</w:t>
      </w:r>
      <w:r w:rsidR="00C84397">
        <w:rPr>
          <w:rFonts w:ascii="Times New Roman" w:hAnsi="Times New Roman" w:cs="Times New Roman"/>
          <w:sz w:val="24"/>
          <w:szCs w:val="24"/>
        </w:rPr>
        <w:t xml:space="preserve"> </w:t>
      </w:r>
      <w:r w:rsidR="00C24C79" w:rsidRPr="00F92F6A">
        <w:rPr>
          <w:rFonts w:ascii="Times New Roman" w:hAnsi="Times New Roman" w:cs="Times New Roman"/>
          <w:sz w:val="24"/>
          <w:szCs w:val="24"/>
        </w:rPr>
        <w:t xml:space="preserve">gadā ne vairāk kā 26 012 914 </w:t>
      </w:r>
      <w:r w:rsidR="00C24C79" w:rsidRPr="00F92F6A">
        <w:rPr>
          <w:rFonts w:ascii="Times New Roman" w:hAnsi="Times New Roman" w:cs="Times New Roman"/>
          <w:i/>
          <w:iCs/>
          <w:sz w:val="24"/>
          <w:szCs w:val="24"/>
        </w:rPr>
        <w:t>euro</w:t>
      </w:r>
      <w:r w:rsidR="00C24C79" w:rsidRPr="00F92F6A">
        <w:rPr>
          <w:rFonts w:ascii="Times New Roman" w:hAnsi="Times New Roman" w:cs="Times New Roman"/>
          <w:sz w:val="24"/>
          <w:szCs w:val="24"/>
        </w:rPr>
        <w:t xml:space="preserve"> apmērā valsts publiskās lietošanas dzelzceļa infrastruktūras pārvaldītāja (LDz) finanšu līdzsvara par 2024.</w:t>
      </w:r>
      <w:r w:rsidR="0082714B">
        <w:rPr>
          <w:rFonts w:ascii="Times New Roman" w:hAnsi="Times New Roman" w:cs="Times New Roman"/>
          <w:sz w:val="24"/>
          <w:szCs w:val="24"/>
        </w:rPr>
        <w:t xml:space="preserve"> </w:t>
      </w:r>
      <w:r w:rsidR="00C24C79" w:rsidRPr="00F92F6A">
        <w:rPr>
          <w:rFonts w:ascii="Times New Roman" w:hAnsi="Times New Roman" w:cs="Times New Roman"/>
          <w:sz w:val="24"/>
          <w:szCs w:val="24"/>
        </w:rPr>
        <w:t xml:space="preserve">gadu nodrošināšanai tiek plānots budžeta resora </w:t>
      </w:r>
      <w:r w:rsidR="006F338E">
        <w:rPr>
          <w:rFonts w:ascii="Times New Roman" w:hAnsi="Times New Roman" w:cs="Times New Roman"/>
          <w:sz w:val="24"/>
          <w:szCs w:val="24"/>
        </w:rPr>
        <w:t>“</w:t>
      </w:r>
      <w:r w:rsidR="00C24C79" w:rsidRPr="00F92F6A">
        <w:rPr>
          <w:rFonts w:ascii="Times New Roman" w:hAnsi="Times New Roman" w:cs="Times New Roman"/>
          <w:sz w:val="24"/>
          <w:szCs w:val="24"/>
        </w:rPr>
        <w:t>74. Gadskārtējā valsts budžeta izpildes procesā pārdalāmais finansējums</w:t>
      </w:r>
      <w:r w:rsidR="006F338E">
        <w:rPr>
          <w:rFonts w:ascii="Times New Roman" w:hAnsi="Times New Roman" w:cs="Times New Roman"/>
          <w:sz w:val="24"/>
          <w:szCs w:val="24"/>
        </w:rPr>
        <w:t>”</w:t>
      </w:r>
      <w:r w:rsidR="00C24C79" w:rsidRPr="00F92F6A">
        <w:rPr>
          <w:rFonts w:ascii="Times New Roman" w:hAnsi="Times New Roman" w:cs="Times New Roman"/>
          <w:sz w:val="24"/>
          <w:szCs w:val="24"/>
        </w:rPr>
        <w:t xml:space="preserve"> programmā 23.00.00 “Valsts atbalsta programmas un citi valsts nozīmes pasākumi”</w:t>
      </w:r>
      <w:r w:rsidR="00C24C79" w:rsidRPr="00F92F6A">
        <w:rPr>
          <w:sz w:val="24"/>
          <w:szCs w:val="24"/>
        </w:rPr>
        <w:t xml:space="preserve"> </w:t>
      </w:r>
      <w:r w:rsidR="00C24C79">
        <w:rPr>
          <w:rFonts w:ascii="Times New Roman" w:hAnsi="Times New Roman" w:cs="Times New Roman"/>
          <w:sz w:val="24"/>
          <w:szCs w:val="24"/>
        </w:rPr>
        <w:t>ko</w:t>
      </w:r>
      <w:r w:rsidR="00C24C79">
        <w:rPr>
          <w:sz w:val="24"/>
          <w:szCs w:val="24"/>
        </w:rPr>
        <w:t xml:space="preserve"> </w:t>
      </w:r>
      <w:r w:rsidR="00C24C79" w:rsidRPr="00F92F6A">
        <w:rPr>
          <w:rFonts w:ascii="Times New Roman" w:hAnsi="Times New Roman" w:cs="Times New Roman"/>
          <w:sz w:val="24"/>
          <w:szCs w:val="24"/>
        </w:rPr>
        <w:t xml:space="preserve">finanšu ministrs </w:t>
      </w:r>
      <w:r w:rsidR="00C24C79">
        <w:rPr>
          <w:rFonts w:ascii="Times New Roman" w:hAnsi="Times New Roman" w:cs="Times New Roman"/>
          <w:sz w:val="24"/>
          <w:szCs w:val="24"/>
        </w:rPr>
        <w:t xml:space="preserve">var </w:t>
      </w:r>
      <w:r w:rsidR="00C24C79" w:rsidRPr="00F92F6A">
        <w:rPr>
          <w:rFonts w:ascii="Times New Roman" w:hAnsi="Times New Roman" w:cs="Times New Roman"/>
          <w:sz w:val="24"/>
          <w:szCs w:val="24"/>
        </w:rPr>
        <w:t>pārdal</w:t>
      </w:r>
      <w:r w:rsidR="00C24C79">
        <w:rPr>
          <w:rFonts w:ascii="Times New Roman" w:hAnsi="Times New Roman" w:cs="Times New Roman"/>
          <w:sz w:val="24"/>
          <w:szCs w:val="24"/>
        </w:rPr>
        <w:t xml:space="preserve">īt </w:t>
      </w:r>
      <w:r w:rsidR="009324B2">
        <w:rPr>
          <w:rFonts w:ascii="Times New Roman" w:hAnsi="Times New Roman" w:cs="Times New Roman"/>
          <w:sz w:val="24"/>
          <w:szCs w:val="24"/>
        </w:rPr>
        <w:t>SM</w:t>
      </w:r>
      <w:r w:rsidR="00C24C79" w:rsidRPr="00F92F6A">
        <w:rPr>
          <w:rFonts w:ascii="Times New Roman" w:hAnsi="Times New Roman" w:cs="Times New Roman"/>
          <w:sz w:val="24"/>
          <w:szCs w:val="24"/>
        </w:rPr>
        <w:t xml:space="preserve">, ja ir pieņemts attiecīgs </w:t>
      </w:r>
      <w:r w:rsidR="00C24C79">
        <w:rPr>
          <w:rFonts w:ascii="Times New Roman" w:hAnsi="Times New Roman" w:cs="Times New Roman"/>
          <w:sz w:val="24"/>
          <w:szCs w:val="24"/>
        </w:rPr>
        <w:t>MK</w:t>
      </w:r>
      <w:r w:rsidR="00C24C79" w:rsidRPr="00F92F6A">
        <w:rPr>
          <w:rFonts w:ascii="Times New Roman" w:hAnsi="Times New Roman" w:cs="Times New Roman"/>
          <w:sz w:val="24"/>
          <w:szCs w:val="24"/>
        </w:rPr>
        <w:t xml:space="preserve"> lēmums</w:t>
      </w:r>
      <w:r w:rsidR="00C24C79">
        <w:rPr>
          <w:rFonts w:ascii="Times New Roman" w:hAnsi="Times New Roman" w:cs="Times New Roman"/>
          <w:sz w:val="24"/>
          <w:szCs w:val="24"/>
        </w:rPr>
        <w:t>.</w:t>
      </w:r>
      <w:r w:rsidR="006E6090" w:rsidRPr="006E6090">
        <w:rPr>
          <w:rFonts w:ascii="Times New Roman" w:hAnsi="Times New Roman" w:cs="Times New Roman"/>
          <w:sz w:val="24"/>
          <w:szCs w:val="24"/>
        </w:rPr>
        <w:t xml:space="preserve"> </w:t>
      </w:r>
    </w:p>
    <w:p w14:paraId="518C10DA" w14:textId="77777777" w:rsidR="008A2B5F" w:rsidRDefault="008A2B5F" w:rsidP="0058124B">
      <w:pPr>
        <w:spacing w:after="0" w:line="240" w:lineRule="auto"/>
        <w:ind w:firstLine="706"/>
        <w:jc w:val="both"/>
        <w:rPr>
          <w:rFonts w:ascii="Times New Roman" w:eastAsia="Calibri" w:hAnsi="Times New Roman" w:cs="Times New Roman"/>
          <w:color w:val="000000" w:themeColor="text1"/>
          <w:sz w:val="24"/>
          <w:szCs w:val="24"/>
        </w:rPr>
      </w:pPr>
    </w:p>
    <w:tbl>
      <w:tblPr>
        <w:tblStyle w:val="TableGrid"/>
        <w:tblW w:w="0" w:type="auto"/>
        <w:tblLayout w:type="fixed"/>
        <w:tblLook w:val="04A0" w:firstRow="1" w:lastRow="0" w:firstColumn="1" w:lastColumn="0" w:noHBand="0" w:noVBand="1"/>
      </w:tblPr>
      <w:tblGrid>
        <w:gridCol w:w="9628"/>
      </w:tblGrid>
      <w:tr w:rsidR="00175C1E" w:rsidRPr="00175C1E" w14:paraId="00BD5D1C" w14:textId="77777777" w:rsidTr="00B5248C">
        <w:tc>
          <w:tcPr>
            <w:tcW w:w="9628" w:type="dxa"/>
            <w:tcBorders>
              <w:bottom w:val="single" w:sz="4" w:space="0" w:color="auto"/>
            </w:tcBorders>
            <w:shd w:val="clear" w:color="auto" w:fill="DEEAF6" w:themeFill="accent1" w:themeFillTint="33"/>
          </w:tcPr>
          <w:p w14:paraId="2C403372" w14:textId="08F40BBC" w:rsidR="008A2B5F" w:rsidRPr="00175C1E" w:rsidRDefault="1B390B9F" w:rsidP="469479B5">
            <w:pPr>
              <w:spacing w:before="120"/>
              <w:jc w:val="center"/>
              <w:rPr>
                <w:rFonts w:eastAsia="Times New Roman" w:cs="Times New Roman"/>
              </w:rPr>
            </w:pPr>
            <w:bookmarkStart w:id="104" w:name="_Hlk173157591"/>
            <w:r w:rsidRPr="00980D91">
              <w:rPr>
                <w:rFonts w:eastAsia="Times New Roman" w:cs="Times New Roman"/>
                <w:b/>
                <w:bCs/>
              </w:rPr>
              <w:t>Attīstības finanšu institūcija Altum</w:t>
            </w:r>
          </w:p>
          <w:p w14:paraId="36026638" w14:textId="77777777" w:rsidR="008A2B5F" w:rsidRPr="00175C1E" w:rsidRDefault="008A2B5F" w:rsidP="469479B5">
            <w:pPr>
              <w:pStyle w:val="ListParagraph"/>
              <w:ind w:left="4430"/>
              <w:jc w:val="center"/>
              <w:rPr>
                <w:rFonts w:ascii="Times New Roman" w:eastAsia="Times New Roman" w:hAnsi="Times New Roman"/>
                <w:sz w:val="14"/>
                <w:szCs w:val="14"/>
              </w:rPr>
            </w:pPr>
          </w:p>
          <w:p w14:paraId="151848F7" w14:textId="08CBA2E2" w:rsidR="008A2B5F" w:rsidRPr="00175C1E" w:rsidRDefault="1B390B9F" w:rsidP="469479B5">
            <w:pPr>
              <w:ind w:firstLine="720"/>
              <w:jc w:val="both"/>
              <w:rPr>
                <w:rFonts w:eastAsia="Times New Roman" w:cs="Times New Roman"/>
              </w:rPr>
            </w:pPr>
            <w:r w:rsidRPr="00175C1E">
              <w:rPr>
                <w:rFonts w:eastAsia="Times New Roman" w:cs="Times New Roman"/>
              </w:rPr>
              <w:t>Deklarācijas ietvaros, kā īpašu sabiedrību, kas klasificēta vispārējās valdības sektorā, ir jāizdala Altum, jo tajā tiek koncentrēti paaugstināti finanšu riski, lai vienuviet efektīvi izmantotu ierobežotos valsts resursus finanšu instrumentu valsts atbalsta un attīstības programmu īstenošanai.</w:t>
            </w:r>
          </w:p>
          <w:p w14:paraId="5FB3DE4E" w14:textId="3DF35713" w:rsidR="008A2B5F" w:rsidRPr="00175C1E" w:rsidRDefault="1B390B9F" w:rsidP="006E3148">
            <w:pPr>
              <w:spacing w:after="100" w:afterAutospacing="1"/>
              <w:ind w:firstLine="720"/>
              <w:jc w:val="both"/>
              <w:rPr>
                <w:rFonts w:eastAsia="Times New Roman" w:cs="Times New Roman"/>
              </w:rPr>
            </w:pPr>
            <w:r w:rsidRPr="00175C1E">
              <w:rPr>
                <w:rFonts w:eastAsia="Times New Roman" w:cs="Times New Roman"/>
              </w:rPr>
              <w:t>Altum</w:t>
            </w:r>
            <w:r w:rsidR="008A2B5F" w:rsidRPr="00175C1E">
              <w:rPr>
                <w:rStyle w:val="FootnoteReference"/>
                <w:rFonts w:eastAsia="Times New Roman" w:cs="Times New Roman"/>
              </w:rPr>
              <w:footnoteReference w:id="39"/>
            </w:r>
            <w:r w:rsidRPr="00175C1E">
              <w:rPr>
                <w:rFonts w:eastAsia="Times New Roman" w:cs="Times New Roman"/>
              </w:rPr>
              <w:t xml:space="preserve"> dibināta 2013.</w:t>
            </w:r>
            <w:r w:rsidR="106CB43B" w:rsidRPr="00175C1E">
              <w:rPr>
                <w:rFonts w:cs="Times New Roman"/>
                <w:b/>
                <w:bCs/>
                <w:szCs w:val="24"/>
              </w:rPr>
              <w:t xml:space="preserve"> </w:t>
            </w:r>
            <w:r w:rsidRPr="00175C1E">
              <w:rPr>
                <w:rFonts w:eastAsia="Times New Roman" w:cs="Times New Roman"/>
              </w:rPr>
              <w:t>gada 27.</w:t>
            </w:r>
            <w:r w:rsidR="734F685F" w:rsidRPr="00175C1E">
              <w:rPr>
                <w:rFonts w:cs="Times New Roman"/>
                <w:b/>
                <w:bCs/>
                <w:szCs w:val="24"/>
              </w:rPr>
              <w:t xml:space="preserve"> </w:t>
            </w:r>
            <w:r w:rsidRPr="00175C1E">
              <w:rPr>
                <w:rFonts w:eastAsia="Times New Roman" w:cs="Times New Roman"/>
              </w:rPr>
              <w:t>decembrī un kā valsts kapitālsabiedrība fokusējas uz uzņēmējdarbības atbalstu ar finanšu instrumentu palīdzību. Altum ir vienota valsts mēroga attīstības finanšu institūcija, kas ar finanšu instrumentiem (aizdevumiem, garantijām, ieguldījumiem riska kapitāla fondos u.c.) nodrošina finansējumu jomās, kuras valsts ir izvirzījusi kā svarīgas un atbalstāmas, un kurās pietiekamā apjomā nav pieejams kredītiestāžu finansējums</w:t>
            </w:r>
            <w:r w:rsidR="002C49BD">
              <w:rPr>
                <w:rFonts w:eastAsia="Times New Roman" w:cs="Times New Roman"/>
              </w:rPr>
              <w:t>, sekmējot tautsaimniecības attīstību</w:t>
            </w:r>
            <w:r w:rsidRPr="00175C1E">
              <w:rPr>
                <w:rFonts w:eastAsia="Times New Roman" w:cs="Times New Roman"/>
              </w:rPr>
              <w:t>. Programmu īstenošanai tiek izmantots Latvijas un ES fondu finansējums.</w:t>
            </w:r>
          </w:p>
          <w:p w14:paraId="2C16F7CD" w14:textId="7CDEC061" w:rsidR="008A2B5F" w:rsidRPr="00175C1E" w:rsidRDefault="1B390B9F" w:rsidP="469479B5">
            <w:pPr>
              <w:autoSpaceDE w:val="0"/>
              <w:autoSpaceDN w:val="0"/>
              <w:adjustRightInd w:val="0"/>
              <w:spacing w:after="160"/>
              <w:jc w:val="right"/>
              <w:rPr>
                <w:rFonts w:eastAsia="Times New Roman" w:cs="Times New Roman"/>
                <w:highlight w:val="yellow"/>
              </w:rPr>
            </w:pPr>
            <w:r w:rsidRPr="00175C1E">
              <w:rPr>
                <w:rFonts w:eastAsia="Times New Roman" w:cs="Times New Roman"/>
                <w:b/>
                <w:bCs/>
              </w:rPr>
              <w:t>Tabula Nr.2.1</w:t>
            </w:r>
            <w:r w:rsidR="00061917">
              <w:rPr>
                <w:rFonts w:eastAsia="Times New Roman" w:cs="Times New Roman"/>
                <w:b/>
                <w:bCs/>
              </w:rPr>
              <w:t>1</w:t>
            </w:r>
            <w:r w:rsidRPr="00175C1E">
              <w:rPr>
                <w:rFonts w:eastAsia="Times New Roman" w:cs="Times New Roman"/>
                <w:b/>
                <w:bCs/>
              </w:rPr>
              <w:t>.</w:t>
            </w:r>
            <w:r w:rsidR="008158D8">
              <w:rPr>
                <w:rFonts w:eastAsia="Times New Roman" w:cs="Times New Roman"/>
                <w:b/>
                <w:bCs/>
              </w:rPr>
              <w:t>2</w:t>
            </w:r>
            <w:r w:rsidRPr="00175C1E">
              <w:rPr>
                <w:rFonts w:eastAsia="Times New Roman" w:cs="Times New Roman"/>
                <w:b/>
                <w:bCs/>
              </w:rPr>
              <w:t xml:space="preserve"> Altum plānotā un faktiskā ietekme uz vispārējās valdības budžeta bilanci, milj. </w:t>
            </w:r>
            <w:r w:rsidRPr="00175C1E">
              <w:rPr>
                <w:rFonts w:eastAsia="Times New Roman" w:cs="Times New Roman"/>
                <w:b/>
                <w:bCs/>
                <w:i/>
                <w:iCs/>
              </w:rPr>
              <w:t>euro</w:t>
            </w:r>
          </w:p>
          <w:tbl>
            <w:tblPr>
              <w:tblStyle w:val="GridTable6Colorful-Accent11"/>
              <w:tblW w:w="9402" w:type="dxa"/>
              <w:jc w:val="center"/>
              <w:tblLayout w:type="fixed"/>
              <w:tblLook w:val="04A0" w:firstRow="1" w:lastRow="0" w:firstColumn="1" w:lastColumn="0" w:noHBand="0" w:noVBand="1"/>
            </w:tblPr>
            <w:tblGrid>
              <w:gridCol w:w="1698"/>
              <w:gridCol w:w="963"/>
              <w:gridCol w:w="963"/>
              <w:gridCol w:w="963"/>
              <w:gridCol w:w="963"/>
              <w:gridCol w:w="963"/>
              <w:gridCol w:w="963"/>
              <w:gridCol w:w="963"/>
              <w:gridCol w:w="963"/>
            </w:tblGrid>
            <w:tr w:rsidR="00C10595" w:rsidRPr="00DF62A5" w14:paraId="668EE534" w14:textId="44B04A8A" w:rsidTr="00C10595">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82D3D35" w14:textId="77777777" w:rsidR="00555142" w:rsidRPr="00DF62A5" w:rsidRDefault="00555142" w:rsidP="469479B5">
                  <w:pPr>
                    <w:jc w:val="center"/>
                    <w:rPr>
                      <w:rFonts w:eastAsia="Times New Roman" w:cs="Times New Roman"/>
                      <w:b w:val="0"/>
                      <w:bCs w:val="0"/>
                      <w:color w:val="auto"/>
                      <w:sz w:val="20"/>
                      <w:szCs w:val="20"/>
                    </w:rPr>
                  </w:pP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A91C38A" w14:textId="77777777" w:rsidR="00555142" w:rsidRPr="00DF62A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2017</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5076231" w14:textId="77777777" w:rsidR="00555142" w:rsidRPr="00DF62A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2018</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74EE292" w14:textId="77777777" w:rsidR="00555142" w:rsidRPr="00DF62A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2019</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856BCAD" w14:textId="77777777" w:rsidR="00555142" w:rsidRPr="00DF62A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2020</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291172F" w14:textId="77777777" w:rsidR="00555142" w:rsidRPr="00DF62A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2021</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33333D9" w14:textId="77777777" w:rsidR="00555142" w:rsidRPr="00DF62A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2022</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E58FA80" w14:textId="77777777" w:rsidR="00555142" w:rsidRPr="00DF62A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2023</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A286900" w14:textId="5B88306A" w:rsidR="00555142" w:rsidRPr="00DF62A5"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2024</w:t>
                  </w:r>
                </w:p>
              </w:tc>
            </w:tr>
            <w:tr w:rsidR="00C10595" w:rsidRPr="00DF62A5" w14:paraId="64FE6A17" w14:textId="3B50E8D0" w:rsidTr="00B5248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2FBDA87" w14:textId="77777777" w:rsidR="00997A26" w:rsidRPr="00DF62A5" w:rsidRDefault="00997A26" w:rsidP="00C24C79">
                  <w:pPr>
                    <w:jc w:val="center"/>
                    <w:rPr>
                      <w:rFonts w:eastAsia="Times New Roman" w:cs="Times New Roman"/>
                      <w:b w:val="0"/>
                      <w:bCs w:val="0"/>
                      <w:color w:val="auto"/>
                      <w:sz w:val="20"/>
                      <w:szCs w:val="20"/>
                      <w:lang w:eastAsia="lv-LV"/>
                    </w:rPr>
                  </w:pPr>
                  <w:r w:rsidRPr="00DF62A5">
                    <w:rPr>
                      <w:rFonts w:eastAsia="Times New Roman" w:cs="Times New Roman"/>
                      <w:color w:val="auto"/>
                      <w:sz w:val="20"/>
                      <w:szCs w:val="20"/>
                      <w:lang w:eastAsia="lv-LV"/>
                    </w:rPr>
                    <w:t>Altum ietekme (plāns)</w:t>
                  </w:r>
                </w:p>
              </w:tc>
              <w:tc>
                <w:tcPr>
                  <w:tcW w:w="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2FB3054" w14:textId="77777777" w:rsidR="00997A26" w:rsidRPr="00DF62A5" w:rsidRDefault="00997A26" w:rsidP="00997A2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6,223</w:t>
                  </w:r>
                </w:p>
              </w:tc>
              <w:tc>
                <w:tcPr>
                  <w:tcW w:w="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979E4B3" w14:textId="77777777" w:rsidR="00997A26" w:rsidRPr="00DF62A5" w:rsidRDefault="00997A26" w:rsidP="00997A2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4,073</w:t>
                  </w:r>
                </w:p>
              </w:tc>
              <w:tc>
                <w:tcPr>
                  <w:tcW w:w="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4478D3B" w14:textId="77777777" w:rsidR="00997A26" w:rsidRPr="00DF62A5" w:rsidRDefault="00997A26" w:rsidP="00997A2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3,798</w:t>
                  </w:r>
                </w:p>
              </w:tc>
              <w:tc>
                <w:tcPr>
                  <w:tcW w:w="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801E0FB" w14:textId="77777777" w:rsidR="00997A26" w:rsidRPr="00DF62A5" w:rsidRDefault="00997A26" w:rsidP="00997A2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4,890</w:t>
                  </w:r>
                </w:p>
              </w:tc>
              <w:tc>
                <w:tcPr>
                  <w:tcW w:w="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B20E123" w14:textId="77777777" w:rsidR="00997A26" w:rsidRPr="00DF62A5" w:rsidRDefault="00997A26" w:rsidP="00997A2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9,712</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769E164" w14:textId="77777777" w:rsidR="00997A26" w:rsidRPr="00DF62A5" w:rsidRDefault="00997A26" w:rsidP="00997A2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-1,447</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3F8A5D3" w14:textId="77777777" w:rsidR="00997A26" w:rsidRPr="00DF62A5" w:rsidRDefault="00997A26" w:rsidP="00997A2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7,094</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A0035CD" w14:textId="607EADA7" w:rsidR="00997A26" w:rsidRPr="00DF62A5" w:rsidRDefault="00997A26" w:rsidP="00997A2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8,989</w:t>
                  </w:r>
                </w:p>
              </w:tc>
            </w:tr>
            <w:tr w:rsidR="00C10595" w:rsidRPr="00DF62A5" w14:paraId="60C30B13" w14:textId="651CC2D3" w:rsidTr="00C10595">
              <w:trPr>
                <w:trHeight w:val="315"/>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F38D76A" w14:textId="77777777" w:rsidR="00997A26" w:rsidRPr="00DF62A5" w:rsidRDefault="00997A26" w:rsidP="00997A26">
                  <w:pPr>
                    <w:jc w:val="center"/>
                    <w:rPr>
                      <w:rFonts w:eastAsia="Times New Roman" w:cs="Times New Roman"/>
                      <w:color w:val="auto"/>
                      <w:sz w:val="20"/>
                      <w:szCs w:val="20"/>
                      <w:lang w:eastAsia="lv-LV"/>
                    </w:rPr>
                  </w:pPr>
                  <w:r w:rsidRPr="00DF62A5">
                    <w:rPr>
                      <w:rFonts w:eastAsia="Times New Roman" w:cs="Times New Roman"/>
                      <w:color w:val="auto"/>
                      <w:sz w:val="20"/>
                      <w:szCs w:val="20"/>
                      <w:lang w:eastAsia="lv-LV"/>
                    </w:rPr>
                    <w:t>Altum ietekme (izpilde)</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2ACB5EF" w14:textId="77777777" w:rsidR="00997A26" w:rsidRPr="00DF62A5" w:rsidRDefault="00997A26" w:rsidP="00997A2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3,775</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6CC3CB0" w14:textId="77777777" w:rsidR="00997A26" w:rsidRPr="00DF62A5" w:rsidRDefault="00997A26" w:rsidP="00997A2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-0,499</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440DB84" w14:textId="77777777" w:rsidR="00997A26" w:rsidRPr="00DF62A5" w:rsidRDefault="00997A26" w:rsidP="00997A2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9,388</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7323DE8" w14:textId="77777777" w:rsidR="00997A26" w:rsidRPr="00DF62A5" w:rsidRDefault="00997A26" w:rsidP="00997A2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-7,808</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D7DB6C9" w14:textId="77777777" w:rsidR="00997A26" w:rsidRPr="00DF62A5" w:rsidRDefault="00997A26" w:rsidP="00997A2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5,455</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ADA1E20" w14:textId="77777777" w:rsidR="00997A26" w:rsidRPr="00DF62A5" w:rsidRDefault="00997A26" w:rsidP="00997A2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4,076</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CC29B0C" w14:textId="77777777" w:rsidR="00997A26" w:rsidRPr="00DF62A5" w:rsidRDefault="00997A26" w:rsidP="00997A2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7,384</w:t>
                  </w:r>
                </w:p>
              </w:tc>
              <w:tc>
                <w:tcPr>
                  <w:tcW w:w="96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B6B1230" w14:textId="76D8B682" w:rsidR="00997A26" w:rsidRPr="00DF62A5" w:rsidRDefault="00997A26" w:rsidP="00997A2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DF62A5">
                    <w:rPr>
                      <w:rFonts w:eastAsia="Times New Roman" w:cs="Times New Roman"/>
                      <w:color w:val="auto"/>
                      <w:sz w:val="20"/>
                      <w:szCs w:val="20"/>
                      <w:lang w:eastAsia="lv-LV"/>
                    </w:rPr>
                    <w:t>8,509</w:t>
                  </w:r>
                </w:p>
              </w:tc>
            </w:tr>
          </w:tbl>
          <w:p w14:paraId="358CD170" w14:textId="77777777" w:rsidR="008A2B5F" w:rsidRPr="00175C1E" w:rsidRDefault="008A2B5F" w:rsidP="469479B5">
            <w:pPr>
              <w:ind w:firstLine="720"/>
              <w:jc w:val="center"/>
              <w:rPr>
                <w:rFonts w:eastAsia="Times New Roman" w:cs="Times New Roman"/>
              </w:rPr>
            </w:pPr>
          </w:p>
          <w:p w14:paraId="764B80FD" w14:textId="7C723A55" w:rsidR="008A2B5F" w:rsidRPr="00175C1E" w:rsidRDefault="1B390B9F" w:rsidP="469479B5">
            <w:pPr>
              <w:ind w:firstLine="720"/>
              <w:jc w:val="both"/>
              <w:rPr>
                <w:rFonts w:eastAsia="Times New Roman" w:cs="Times New Roman"/>
              </w:rPr>
            </w:pPr>
            <w:r w:rsidRPr="00175C1E">
              <w:rPr>
                <w:rFonts w:eastAsia="Times New Roman" w:cs="Times New Roman"/>
              </w:rPr>
              <w:t>Lai gan Altum ietekme un tās novirze no plānotā apmēra līdz šim ir bijusi simetriska (skat. Tabulu Nr.2.1</w:t>
            </w:r>
            <w:r w:rsidR="00415E5B">
              <w:rPr>
                <w:rFonts w:eastAsia="Times New Roman" w:cs="Times New Roman"/>
              </w:rPr>
              <w:t>1</w:t>
            </w:r>
            <w:r w:rsidRPr="00175C1E">
              <w:rPr>
                <w:rFonts w:eastAsia="Times New Roman" w:cs="Times New Roman"/>
              </w:rPr>
              <w:t>.</w:t>
            </w:r>
            <w:r w:rsidR="008158D8">
              <w:rPr>
                <w:rFonts w:eastAsia="Times New Roman" w:cs="Times New Roman"/>
              </w:rPr>
              <w:t>2</w:t>
            </w:r>
            <w:r w:rsidRPr="00175C1E">
              <w:rPr>
                <w:rFonts w:eastAsia="Times New Roman" w:cs="Times New Roman"/>
              </w:rPr>
              <w:t>), negatīvie riski potenciāli var iestāties no Altum administrēto atbalsta programmu puses.</w:t>
            </w:r>
          </w:p>
          <w:p w14:paraId="49A058CE" w14:textId="77777777" w:rsidR="008A2B5F" w:rsidRPr="00175C1E" w:rsidRDefault="1B390B9F" w:rsidP="469479B5">
            <w:pPr>
              <w:ind w:firstLine="720"/>
              <w:jc w:val="both"/>
              <w:rPr>
                <w:rFonts w:eastAsia="Times New Roman" w:cs="Times New Roman"/>
              </w:rPr>
            </w:pPr>
            <w:r w:rsidRPr="00175C1E">
              <w:rPr>
                <w:rFonts w:eastAsia="Times New Roman" w:cs="Times New Roman"/>
              </w:rPr>
              <w:t>Attiecībā uz Altum realizētajām atbalsta programmām, Altum pirms to ieviešanas aplēš sagaidāmos zaudējumus un izveido segumu zaudējumu kompensēšanai riska seguma rezerves vai portfeļa zaudējumu rezerves speciālā rezerves kapitāla veidā (šīs deklarācijas apakšsadaļas ietvaros turpmāk – Riska segums) vai iekļauj maksā, ko sedz finanšu instrumenta gala saņēmējs. Aplēses par sagaidāmiem zaudējumiem visas programmas dzīves cikla laikā tiek veiktas izmantojot dažādas pieejas (metodoloģijas) un ciktāl praktiski iespējams specifiskie parametri tiek noteikti ņemot vērā atbalsta programmas veidu un specifiku, t.sk. ņemot vērā programmas mērķus un nosacījumus. Aplēses tiek veiktas uz pieņēmumu pamata, kas ir balstīti uz vēsturiskiem datiem par iepriekš realizētām valsts atbalsta programmām, kas ir īstenotas programmai pielīdzināmās jomās, vai arī vēsturiskiem datiem, kas pieejami publiskās un/vai privātās datu bāzēs pielīdzināmos klientu un projektu segmentos.</w:t>
            </w:r>
          </w:p>
          <w:p w14:paraId="277BAA15" w14:textId="6CA98842" w:rsidR="008A2B5F" w:rsidRPr="00175C1E" w:rsidRDefault="1B390B9F" w:rsidP="469479B5">
            <w:pPr>
              <w:ind w:firstLine="720"/>
              <w:jc w:val="both"/>
              <w:rPr>
                <w:rFonts w:eastAsia="Times New Roman" w:cs="Times New Roman"/>
              </w:rPr>
            </w:pPr>
            <w:r w:rsidRPr="00175C1E">
              <w:rPr>
                <w:rFonts w:eastAsia="Times New Roman" w:cs="Times New Roman"/>
              </w:rPr>
              <w:t>Fiskālais risks var iestāties, ja atbalsta programmu faktiskā izpilde būtiski novirzītos no plānotā, kā arī, ja faktiskie atbalsta programmu zaudējumi pārsniegtu aplēstos sagaidāmos zaudējumus. Nav sagaidāms, ka būs nepieciešams Altum palielināt Riska segumu, jo, aplēšot sagaidāmos zaudējumus Altum, kā iepriekš ir minēts, izvēlas un pielieto pieejas, kas vislabāk atbilst konkrētajai programmai, kā arī ievēro piesardzības principu un kur iespējams, piemēro ciklu aptverošu pieeju, kas ietver arī iespējamas krīzes iestāšanos. Programmas īstenošanas laikā Altum var veikt atkārtotu sagaidāmo zaudējumu novērtējumu un, identificējot potenciālu riska līmeņa un sagaidāmo zaudējumu pieaugumu, veikt izmaiņas, kas samazina riska līmeni un zaudējumu apjomu vai arī apturēt programmas turpmāko realizāciju.</w:t>
            </w:r>
          </w:p>
          <w:p w14:paraId="02495D24" w14:textId="0DDCED68" w:rsidR="008A2B5F" w:rsidRPr="00175C1E" w:rsidRDefault="545D39FC" w:rsidP="469479B5">
            <w:pPr>
              <w:ind w:firstLine="720"/>
              <w:jc w:val="both"/>
              <w:rPr>
                <w:rFonts w:eastAsia="Times New Roman" w:cs="Times New Roman"/>
                <w:lang w:eastAsia="en-GB"/>
              </w:rPr>
            </w:pPr>
            <w:bookmarkStart w:id="105" w:name="_Hlk205389621"/>
            <w:r w:rsidRPr="00175C1E">
              <w:rPr>
                <w:rFonts w:eastAsia="Times New Roman" w:cs="Times New Roman"/>
              </w:rPr>
              <w:t xml:space="preserve">Atbilstoši FM novērtējumam MK apstiprināto atbalsta programmu īstenošana ir palielinājusi vispārējās valdības budžeta izdevumus par 31,6 milj. </w:t>
            </w:r>
            <w:r w:rsidRPr="00175C1E">
              <w:rPr>
                <w:rFonts w:eastAsia="Times New Roman" w:cs="Times New Roman"/>
                <w:i/>
                <w:iCs/>
              </w:rPr>
              <w:t>euro</w:t>
            </w:r>
            <w:r w:rsidRPr="00175C1E">
              <w:rPr>
                <w:rFonts w:eastAsia="Times New Roman" w:cs="Times New Roman"/>
              </w:rPr>
              <w:t xml:space="preserve"> 2020.</w:t>
            </w:r>
            <w:r w:rsidRPr="00175C1E">
              <w:rPr>
                <w:rFonts w:cs="Times New Roman"/>
                <w:b/>
                <w:bCs/>
                <w:szCs w:val="24"/>
              </w:rPr>
              <w:t xml:space="preserve"> </w:t>
            </w:r>
            <w:r w:rsidRPr="00175C1E">
              <w:rPr>
                <w:rFonts w:eastAsia="Times New Roman" w:cs="Times New Roman"/>
              </w:rPr>
              <w:t xml:space="preserve">gadā un par 8,0 milj. </w:t>
            </w:r>
            <w:r w:rsidRPr="00175C1E">
              <w:rPr>
                <w:rFonts w:eastAsia="Times New Roman" w:cs="Times New Roman"/>
                <w:i/>
                <w:iCs/>
              </w:rPr>
              <w:t>euro</w:t>
            </w:r>
            <w:r w:rsidRPr="00175C1E">
              <w:rPr>
                <w:rFonts w:eastAsia="Times New Roman" w:cs="Times New Roman"/>
              </w:rPr>
              <w:t xml:space="preserve"> 2021.</w:t>
            </w:r>
            <w:r w:rsidRPr="00175C1E">
              <w:rPr>
                <w:rFonts w:cs="Times New Roman"/>
                <w:b/>
                <w:bCs/>
                <w:szCs w:val="24"/>
              </w:rPr>
              <w:t xml:space="preserve"> </w:t>
            </w:r>
            <w:r w:rsidRPr="00175C1E">
              <w:rPr>
                <w:rFonts w:eastAsia="Times New Roman" w:cs="Times New Roman"/>
              </w:rPr>
              <w:t>gadā, bet 2022.</w:t>
            </w:r>
            <w:r w:rsidRPr="00175C1E">
              <w:rPr>
                <w:rFonts w:cs="Times New Roman"/>
                <w:b/>
                <w:bCs/>
                <w:szCs w:val="24"/>
              </w:rPr>
              <w:t xml:space="preserve"> </w:t>
            </w:r>
            <w:r w:rsidRPr="00175C1E">
              <w:rPr>
                <w:rFonts w:eastAsia="Times New Roman" w:cs="Times New Roman"/>
              </w:rPr>
              <w:t>gadam un 2023.</w:t>
            </w:r>
            <w:r w:rsidRPr="00175C1E">
              <w:rPr>
                <w:rFonts w:cs="Times New Roman"/>
                <w:b/>
                <w:bCs/>
                <w:szCs w:val="24"/>
              </w:rPr>
              <w:t xml:space="preserve"> </w:t>
            </w:r>
            <w:r w:rsidRPr="00175C1E">
              <w:rPr>
                <w:rFonts w:eastAsia="Times New Roman" w:cs="Times New Roman"/>
              </w:rPr>
              <w:t xml:space="preserve">gadam ietekme novērtēta attiecīgi 4,6 milj. </w:t>
            </w:r>
            <w:r w:rsidRPr="00175C1E">
              <w:rPr>
                <w:rFonts w:eastAsia="Times New Roman" w:cs="Times New Roman"/>
                <w:i/>
                <w:iCs/>
              </w:rPr>
              <w:t>euro</w:t>
            </w:r>
            <w:r w:rsidRPr="00175C1E">
              <w:rPr>
                <w:rFonts w:eastAsia="Times New Roman" w:cs="Times New Roman"/>
              </w:rPr>
              <w:t xml:space="preserve"> un 9,1 milj. </w:t>
            </w:r>
            <w:r w:rsidRPr="00175C1E">
              <w:rPr>
                <w:rFonts w:eastAsia="Times New Roman" w:cs="Times New Roman"/>
                <w:i/>
                <w:iCs/>
              </w:rPr>
              <w:t>euro</w:t>
            </w:r>
            <w:r w:rsidRPr="00175C1E">
              <w:rPr>
                <w:rFonts w:eastAsia="Times New Roman" w:cs="Times New Roman"/>
              </w:rPr>
              <w:t xml:space="preserve"> apmērā. Lai gan programmu prognozētā ietekme palielina vispārējās valdības izdevumus, fiskālā ietekme tiek iestrādāta vidēja termiņa budžeta ietvara fiskālajās prognozēs. </w:t>
            </w:r>
          </w:p>
          <w:bookmarkEnd w:id="105"/>
          <w:p w14:paraId="4E38B9E6" w14:textId="0480E07D" w:rsidR="008A2B5F" w:rsidRPr="00175C1E" w:rsidRDefault="002C49BD" w:rsidP="469479B5">
            <w:pPr>
              <w:ind w:firstLine="720"/>
              <w:jc w:val="both"/>
              <w:rPr>
                <w:rFonts w:eastAsia="Times New Roman" w:cs="Times New Roman"/>
              </w:rPr>
            </w:pPr>
            <w:r>
              <w:rPr>
                <w:rFonts w:eastAsia="Times New Roman" w:cs="Times New Roman"/>
              </w:rPr>
              <w:t xml:space="preserve">Pēdējais </w:t>
            </w:r>
            <w:r w:rsidRPr="00175C1E">
              <w:rPr>
                <w:rFonts w:eastAsia="Times New Roman" w:cs="Times New Roman"/>
              </w:rPr>
              <w:t>neatkarīg</w:t>
            </w:r>
            <w:r>
              <w:rPr>
                <w:rFonts w:eastAsia="Times New Roman" w:cs="Times New Roman"/>
              </w:rPr>
              <w:t>ai</w:t>
            </w:r>
            <w:r w:rsidRPr="00175C1E">
              <w:rPr>
                <w:rFonts w:eastAsia="Times New Roman" w:cs="Times New Roman"/>
              </w:rPr>
              <w:t xml:space="preserve">s </w:t>
            </w:r>
            <w:r w:rsidR="0027032B">
              <w:rPr>
                <w:rFonts w:eastAsia="Times New Roman" w:cs="Times New Roman"/>
              </w:rPr>
              <w:t>R</w:t>
            </w:r>
            <w:r w:rsidRPr="00175C1E">
              <w:rPr>
                <w:rFonts w:eastAsia="Times New Roman" w:cs="Times New Roman"/>
              </w:rPr>
              <w:t>iska seguma pietiekamības novērtējums</w:t>
            </w:r>
            <w:r>
              <w:rPr>
                <w:rFonts w:eastAsia="Times New Roman" w:cs="Times New Roman"/>
              </w:rPr>
              <w:t xml:space="preserve"> </w:t>
            </w:r>
            <w:r w:rsidRPr="00175C1E">
              <w:rPr>
                <w:rFonts w:eastAsia="Times New Roman" w:cs="Times New Roman"/>
              </w:rPr>
              <w:t xml:space="preserve">tika veikts </w:t>
            </w:r>
            <w:r w:rsidR="1B390B9F" w:rsidRPr="00175C1E">
              <w:rPr>
                <w:rFonts w:eastAsia="Times New Roman" w:cs="Times New Roman"/>
              </w:rPr>
              <w:t>2021.</w:t>
            </w:r>
            <w:r w:rsidR="0931C4A3" w:rsidRPr="00175C1E">
              <w:rPr>
                <w:rFonts w:cs="Times New Roman"/>
                <w:b/>
                <w:bCs/>
                <w:szCs w:val="24"/>
              </w:rPr>
              <w:t xml:space="preserve"> </w:t>
            </w:r>
            <w:r w:rsidR="1B390B9F" w:rsidRPr="00175C1E">
              <w:rPr>
                <w:rFonts w:eastAsia="Times New Roman" w:cs="Times New Roman"/>
              </w:rPr>
              <w:t>gadā</w:t>
            </w:r>
            <w:r>
              <w:rPr>
                <w:rFonts w:eastAsia="Times New Roman" w:cs="Times New Roman"/>
              </w:rPr>
              <w:t xml:space="preserve">, </w:t>
            </w:r>
            <w:r w:rsidR="1B390B9F" w:rsidRPr="00175C1E">
              <w:rPr>
                <w:rFonts w:eastAsia="Times New Roman" w:cs="Times New Roman"/>
              </w:rPr>
              <w:t xml:space="preserve">kuru veica starptautiski atzīta auditorkompānija, kur tika secināts, ka kopumā Altum atbalsta programmām izveidotais Riska segums ir vērtējams kā konservatīvs pie bāzes ekonomiskās attīstības scenārija un pietiekams pie pesimistiskā ekonomiskās attīstības scenārija. Izvērtējuma ietvaros tika veikta arī Altum izmantoto pieeju (metodoloģiju) un specifisko parametru aprēķinu validācija. </w:t>
            </w:r>
          </w:p>
          <w:p w14:paraId="71409753" w14:textId="77777777" w:rsidR="008A2B5F" w:rsidRPr="00175C1E" w:rsidRDefault="1B390B9F" w:rsidP="469479B5">
            <w:pPr>
              <w:ind w:firstLine="720"/>
              <w:jc w:val="both"/>
              <w:rPr>
                <w:rFonts w:eastAsia="Times New Roman" w:cs="Times New Roman"/>
              </w:rPr>
            </w:pPr>
            <w:r w:rsidRPr="00175C1E">
              <w:rPr>
                <w:rFonts w:eastAsia="Times New Roman" w:cs="Times New Roman"/>
              </w:rPr>
              <w:t>Faktiskais atbalsta programmu zaudējumu apjoms nav pārsniedzis aplēsto sagaidāmo zaudējumu apjomu, kā arī, analizējot specifiskos programmu riska līmeni raksturojošos rādītājus (piemēram, ienākumus nenesošo finanšu instrumentu apjoms, saistību nepildīšanas likmes), faktiskie rādītāji nav pārsnieguši rādītājus, kuri tika izmantoti veicot aplēses par sagaidāmiem zaudējumiem.</w:t>
            </w:r>
          </w:p>
          <w:p w14:paraId="55FA4522" w14:textId="3CED2259" w:rsidR="008A2B5F" w:rsidRPr="00175C1E" w:rsidRDefault="1B390B9F" w:rsidP="469479B5">
            <w:pPr>
              <w:ind w:firstLine="720"/>
              <w:jc w:val="both"/>
              <w:rPr>
                <w:rFonts w:eastAsia="Times New Roman" w:cs="Times New Roman"/>
              </w:rPr>
            </w:pPr>
            <w:r w:rsidRPr="00175C1E">
              <w:rPr>
                <w:rFonts w:eastAsia="Times New Roman" w:cs="Times New Roman"/>
              </w:rPr>
              <w:t xml:space="preserve">Moody’s </w:t>
            </w:r>
            <w:r w:rsidR="00CF3094" w:rsidRPr="00A2399D">
              <w:rPr>
                <w:rFonts w:eastAsia="Times New Roman" w:cs="Times New Roman"/>
              </w:rPr>
              <w:t>2025. gada 28. janvārī</w:t>
            </w:r>
            <w:r w:rsidR="00CF3094" w:rsidRPr="00A2399D" w:rsidDel="00A2399D">
              <w:rPr>
                <w:rFonts w:eastAsia="Times New Roman" w:cs="Times New Roman"/>
              </w:rPr>
              <w:t xml:space="preserve"> </w:t>
            </w:r>
            <w:r w:rsidRPr="00175C1E">
              <w:rPr>
                <w:rFonts w:eastAsia="Times New Roman" w:cs="Times New Roman"/>
              </w:rPr>
              <w:t>pārapstiprināja ALTUM ilgtermiņa kredītreitingu Baa1 ar stabilu perspektīvas novērtējumu, kas ir tādā pat līmenī, kāds tika apstiprināts</w:t>
            </w:r>
            <w:r w:rsidR="00CF3094">
              <w:rPr>
                <w:rFonts w:eastAsia="Times New Roman" w:cs="Times New Roman"/>
              </w:rPr>
              <w:t xml:space="preserve"> </w:t>
            </w:r>
            <w:r w:rsidR="002C49BD">
              <w:rPr>
                <w:rFonts w:eastAsia="Times New Roman" w:cs="Times New Roman"/>
              </w:rPr>
              <w:t xml:space="preserve">arī </w:t>
            </w:r>
            <w:r w:rsidR="00CF3094">
              <w:rPr>
                <w:rFonts w:eastAsia="Times New Roman" w:cs="Times New Roman"/>
              </w:rPr>
              <w:t>2024.</w:t>
            </w:r>
            <w:r w:rsidR="00C84397">
              <w:rPr>
                <w:rFonts w:eastAsia="Times New Roman" w:cs="Times New Roman"/>
              </w:rPr>
              <w:t xml:space="preserve"> </w:t>
            </w:r>
            <w:r w:rsidR="00CF3094">
              <w:rPr>
                <w:rFonts w:eastAsia="Times New Roman" w:cs="Times New Roman"/>
              </w:rPr>
              <w:t>gada 2.</w:t>
            </w:r>
            <w:r w:rsidR="00F205E8">
              <w:rPr>
                <w:rFonts w:eastAsia="Times New Roman" w:cs="Times New Roman"/>
              </w:rPr>
              <w:t xml:space="preserve"> </w:t>
            </w:r>
            <w:r w:rsidR="00CF3094">
              <w:rPr>
                <w:rFonts w:eastAsia="Times New Roman" w:cs="Times New Roman"/>
              </w:rPr>
              <w:t>februārī un</w:t>
            </w:r>
            <w:r w:rsidRPr="00175C1E">
              <w:rPr>
                <w:rFonts w:eastAsia="Times New Roman" w:cs="Times New Roman"/>
              </w:rPr>
              <w:t xml:space="preserve"> 2022. gada 16. decembrī. ALTUM kredītreitinga novērtējums tiek veikts balstoties uz Moody’s </w:t>
            </w:r>
            <w:r w:rsidR="002C49BD">
              <w:rPr>
                <w:rFonts w:eastAsia="Times New Roman" w:cs="Times New Roman"/>
              </w:rPr>
              <w:t xml:space="preserve">2024. gada jūlija </w:t>
            </w:r>
            <w:r w:rsidRPr="00175C1E">
              <w:rPr>
                <w:rFonts w:eastAsia="Times New Roman" w:cs="Times New Roman"/>
              </w:rPr>
              <w:t xml:space="preserve">Finanšu institūciju metodiku </w:t>
            </w:r>
            <w:r w:rsidRPr="00DC1531">
              <w:rPr>
                <w:rFonts w:eastAsia="Times New Roman" w:cs="Times New Roman"/>
                <w:i/>
                <w:iCs/>
              </w:rPr>
              <w:t>(Finance Companies Methodology)</w:t>
            </w:r>
            <w:r w:rsidRPr="00175C1E">
              <w:rPr>
                <w:rFonts w:eastAsia="Times New Roman" w:cs="Times New Roman"/>
              </w:rPr>
              <w:t>. No 2024.</w:t>
            </w:r>
            <w:r w:rsidR="7A1F395C" w:rsidRPr="00175C1E">
              <w:rPr>
                <w:rFonts w:cs="Times New Roman"/>
                <w:b/>
                <w:bCs/>
                <w:szCs w:val="24"/>
              </w:rPr>
              <w:t xml:space="preserve"> </w:t>
            </w:r>
            <w:r w:rsidRPr="00175C1E">
              <w:rPr>
                <w:rFonts w:eastAsia="Times New Roman" w:cs="Times New Roman"/>
              </w:rPr>
              <w:t>gada 2.</w:t>
            </w:r>
            <w:r w:rsidR="26540BC6" w:rsidRPr="00175C1E">
              <w:rPr>
                <w:rFonts w:cs="Times New Roman"/>
                <w:b/>
                <w:bCs/>
                <w:szCs w:val="24"/>
              </w:rPr>
              <w:t xml:space="preserve"> </w:t>
            </w:r>
            <w:r w:rsidRPr="00175C1E">
              <w:rPr>
                <w:rFonts w:eastAsia="Times New Roman" w:cs="Times New Roman"/>
              </w:rPr>
              <w:t xml:space="preserve">februāra ALTUM noteikts atsevišķais kredītnovērtējums </w:t>
            </w:r>
            <w:r w:rsidRPr="00DC1531">
              <w:rPr>
                <w:rFonts w:eastAsia="Times New Roman" w:cs="Times New Roman"/>
                <w:i/>
                <w:iCs/>
              </w:rPr>
              <w:t>(standalone assessment)</w:t>
            </w:r>
            <w:r w:rsidRPr="00175C1E">
              <w:rPr>
                <w:rFonts w:eastAsia="Times New Roman" w:cs="Times New Roman"/>
              </w:rPr>
              <w:t xml:space="preserve"> līdzšinējā baa3 līmenī, kas aizstāj atsaukto bāzes kredītnovērtējumu </w:t>
            </w:r>
            <w:r w:rsidRPr="00DC1531">
              <w:rPr>
                <w:rFonts w:eastAsia="Times New Roman" w:cs="Times New Roman"/>
                <w:i/>
                <w:iCs/>
              </w:rPr>
              <w:t>(Baseline Credit Assessment).</w:t>
            </w:r>
          </w:p>
          <w:p w14:paraId="7D3B1E76" w14:textId="231E8402" w:rsidR="008A2B5F" w:rsidRPr="00175C1E" w:rsidRDefault="1B390B9F" w:rsidP="469479B5">
            <w:pPr>
              <w:ind w:firstLine="720"/>
              <w:jc w:val="both"/>
              <w:rPr>
                <w:rFonts w:eastAsia="Times New Roman" w:cs="Times New Roman"/>
              </w:rPr>
            </w:pPr>
            <w:r w:rsidRPr="00175C1E">
              <w:rPr>
                <w:rFonts w:eastAsia="Times New Roman" w:cs="Times New Roman"/>
              </w:rPr>
              <w:t xml:space="preserve">Moody’s vērtējumā Altum ir augsts kapitāla pietiekamības līmenis, kur viens no būtiskiem faktoriem ir ievērojamais </w:t>
            </w:r>
            <w:r w:rsidR="0027032B">
              <w:rPr>
                <w:rFonts w:eastAsia="Times New Roman" w:cs="Times New Roman"/>
              </w:rPr>
              <w:t>R</w:t>
            </w:r>
            <w:r w:rsidRPr="00175C1E">
              <w:rPr>
                <w:rFonts w:eastAsia="Times New Roman" w:cs="Times New Roman"/>
              </w:rPr>
              <w:t xml:space="preserve">iska seguma apjoms un kapitāla rezerves, lai pat pie pieaugoša garantiju portfeļa, izturētu ieņēmumu svārstības un nodrošinātu tālāku Altum izaugsmi. </w:t>
            </w:r>
          </w:p>
          <w:p w14:paraId="5D32CBB2" w14:textId="77777777" w:rsidR="008A2B5F" w:rsidRPr="00175C1E" w:rsidRDefault="1B390B9F" w:rsidP="469479B5">
            <w:pPr>
              <w:ind w:firstLine="741"/>
              <w:jc w:val="both"/>
              <w:rPr>
                <w:rFonts w:eastAsia="Times New Roman" w:cs="Times New Roman"/>
                <w:sz w:val="20"/>
                <w:szCs w:val="20"/>
                <w:highlight w:val="yellow"/>
              </w:rPr>
            </w:pPr>
            <w:r w:rsidRPr="00175C1E">
              <w:rPr>
                <w:rFonts w:eastAsia="Times New Roman" w:cs="Times New Roman"/>
              </w:rPr>
              <w:t>FM turpina padziļināti uzraudzīt Altum darbību un, nepieciešamības gadījumā, ir gatava sniegt priekšlikumus specifisko risku mazināšanai.</w:t>
            </w:r>
          </w:p>
        </w:tc>
      </w:tr>
      <w:bookmarkEnd w:id="104"/>
    </w:tbl>
    <w:p w14:paraId="058A976E" w14:textId="6234F52C" w:rsidR="00432DF9" w:rsidRDefault="00432DF9" w:rsidP="00B5248C">
      <w:pPr>
        <w:spacing w:after="0" w:line="240" w:lineRule="auto"/>
        <w:jc w:val="both"/>
        <w:rPr>
          <w:rFonts w:ascii="Times New Roman" w:eastAsia="Calibri" w:hAnsi="Times New Roman" w:cs="Times New Roman"/>
          <w:color w:val="000000" w:themeColor="text1"/>
          <w:sz w:val="24"/>
          <w:szCs w:val="24"/>
        </w:rPr>
      </w:pPr>
    </w:p>
    <w:p w14:paraId="1A91497E" w14:textId="57BBAC55" w:rsidR="00B62663" w:rsidRPr="00651462" w:rsidRDefault="00335486" w:rsidP="006E3148">
      <w:pPr>
        <w:spacing w:after="100" w:afterAutospacing="1" w:line="240" w:lineRule="auto"/>
        <w:ind w:firstLine="709"/>
        <w:jc w:val="both"/>
        <w:rPr>
          <w:rFonts w:ascii="Times New Roman" w:hAnsi="Times New Roman" w:cs="Times New Roman"/>
          <w:color w:val="000000" w:themeColor="text1"/>
          <w:sz w:val="24"/>
        </w:rPr>
      </w:pPr>
      <w:r w:rsidRPr="00335486">
        <w:rPr>
          <w:rFonts w:ascii="Times New Roman" w:hAnsi="Times New Roman" w:cs="Times New Roman"/>
          <w:color w:val="000000" w:themeColor="text1"/>
          <w:sz w:val="24"/>
        </w:rPr>
        <w:t xml:space="preserve">Ņemot vērā pēdējo gadu tendences, papildu uzraudzības pasākumus un ierobežojumus, kā arī to, ka laika rinda uzrāda simetriskuma principu, dotais </w:t>
      </w:r>
      <w:r w:rsidRPr="00335486">
        <w:rPr>
          <w:rFonts w:ascii="Times New Roman" w:hAnsi="Times New Roman" w:cs="Times New Roman"/>
          <w:b/>
          <w:bCs/>
          <w:color w:val="000000" w:themeColor="text1"/>
          <w:sz w:val="24"/>
        </w:rPr>
        <w:t>risks netiek ietverts fiskālās nodrošinājuma rezerves aprēķinā</w:t>
      </w:r>
      <w:r w:rsidRPr="00335486">
        <w:rPr>
          <w:rFonts w:ascii="Times New Roman" w:hAnsi="Times New Roman" w:cs="Times New Roman"/>
          <w:color w:val="000000" w:themeColor="text1"/>
          <w:sz w:val="24"/>
        </w:rPr>
        <w:t>.</w:t>
      </w:r>
    </w:p>
    <w:p w14:paraId="07F57861" w14:textId="41E8DDBA" w:rsidR="00691BC6" w:rsidRPr="00980D91" w:rsidRDefault="001034C2" w:rsidP="00497710">
      <w:pPr>
        <w:pStyle w:val="Heading2"/>
        <w:numPr>
          <w:ilvl w:val="1"/>
          <w:numId w:val="4"/>
        </w:numPr>
        <w:spacing w:before="0" w:after="120" w:line="240" w:lineRule="auto"/>
        <w:ind w:left="0" w:firstLine="0"/>
        <w:rPr>
          <w:rFonts w:cs="Times New Roman"/>
          <w:bCs w:val="0"/>
          <w:szCs w:val="24"/>
        </w:rPr>
      </w:pPr>
      <w:bookmarkStart w:id="106" w:name="_Toc205554423"/>
      <w:r w:rsidRPr="00980D91">
        <w:rPr>
          <w:rFonts w:cs="Times New Roman"/>
          <w:bCs w:val="0"/>
          <w:szCs w:val="24"/>
        </w:rPr>
        <w:t>Superdividendes</w:t>
      </w:r>
      <w:bookmarkEnd w:id="106"/>
    </w:p>
    <w:p w14:paraId="2DDB1783" w14:textId="6494D39D" w:rsidR="00FC3626" w:rsidRPr="006E6766" w:rsidRDefault="00FC3626" w:rsidP="0066213A">
      <w:pPr>
        <w:spacing w:after="0" w:line="240" w:lineRule="auto"/>
        <w:ind w:firstLine="720"/>
        <w:jc w:val="both"/>
        <w:rPr>
          <w:rFonts w:eastAsiaTheme="minorHAnsi"/>
        </w:rPr>
      </w:pPr>
      <w:r w:rsidRPr="006E6766">
        <w:rPr>
          <w:rFonts w:ascii="Times New Roman" w:eastAsiaTheme="minorHAnsi" w:hAnsi="Times New Roman"/>
          <w:sz w:val="24"/>
        </w:rPr>
        <w:t>Maksājumus, kurus komercsabiedrības</w:t>
      </w:r>
      <w:r w:rsidR="00E919CF" w:rsidRPr="006E6766">
        <w:rPr>
          <w:rFonts w:ascii="Times New Roman" w:eastAsiaTheme="minorHAnsi" w:hAnsi="Times New Roman"/>
          <w:sz w:val="24"/>
        </w:rPr>
        <w:t xml:space="preserve"> </w:t>
      </w:r>
      <w:r w:rsidRPr="006E6766">
        <w:rPr>
          <w:rFonts w:ascii="Times New Roman" w:eastAsiaTheme="minorHAnsi" w:hAnsi="Times New Roman"/>
          <w:sz w:val="24"/>
        </w:rPr>
        <w:t xml:space="preserve">veic valdībai un/vai pašvaldībai kā akcionāram, parasti dēvē par dividendēm, atsaucoties uz komerctiesībām un saimnieciskās darbības grāmatvedības uzskaiti. Lielākajā daļā gadījumu šos maksājumus iegrāmato kā īpašuma ienākumus un tie veido vispārējās valdības budžeta ieņēmumus. </w:t>
      </w:r>
    </w:p>
    <w:p w14:paraId="4921D228" w14:textId="0302FCE5" w:rsidR="00FC3626" w:rsidRPr="006E6766" w:rsidRDefault="00FC3626" w:rsidP="0066213A">
      <w:pPr>
        <w:spacing w:after="0" w:line="240" w:lineRule="auto"/>
        <w:ind w:firstLine="720"/>
        <w:jc w:val="both"/>
        <w:rPr>
          <w:rFonts w:ascii="Times New Roman" w:eastAsiaTheme="minorHAnsi" w:hAnsi="Times New Roman"/>
          <w:sz w:val="24"/>
        </w:rPr>
      </w:pPr>
      <w:r w:rsidRPr="006E6766">
        <w:rPr>
          <w:rFonts w:ascii="Times New Roman" w:eastAsiaTheme="minorHAnsi" w:hAnsi="Times New Roman"/>
          <w:sz w:val="24"/>
        </w:rPr>
        <w:t>Vienlaicīgi</w:t>
      </w:r>
      <w:r w:rsidR="00911CF6" w:rsidRPr="006E6766">
        <w:rPr>
          <w:rFonts w:ascii="Times New Roman" w:eastAsiaTheme="minorHAnsi" w:hAnsi="Times New Roman"/>
          <w:sz w:val="24"/>
        </w:rPr>
        <w:t>,</w:t>
      </w:r>
      <w:r w:rsidRPr="006E6766">
        <w:rPr>
          <w:rFonts w:ascii="Times New Roman" w:eastAsiaTheme="minorHAnsi" w:hAnsi="Times New Roman"/>
          <w:sz w:val="24"/>
        </w:rPr>
        <w:t xml:space="preserve"> atbilstoši EKS metodoloģijai svarīgi noteikt vai komercsabiedrību veiktie maksājumi var tikt atzīti kā patiesas dividendes un tādējādi tie ir uzskatāmi par vispārējās valdības budžeta ieņēmumiem, vai arī tās ir jāuzskaita kā tā saucamās “superdividendes” un sekojoši tās nevar tikt uzskaitītas kā vispārējās valdības budžeta ieņēmumi.</w:t>
      </w:r>
    </w:p>
    <w:p w14:paraId="31883301" w14:textId="7DF63A74" w:rsidR="00FC3626" w:rsidRPr="006E6766" w:rsidRDefault="00FC3626" w:rsidP="0066213A">
      <w:pPr>
        <w:spacing w:after="0" w:line="240" w:lineRule="auto"/>
        <w:ind w:firstLine="720"/>
        <w:jc w:val="both"/>
        <w:rPr>
          <w:rFonts w:ascii="Times New Roman" w:eastAsiaTheme="minorHAnsi" w:hAnsi="Times New Roman"/>
          <w:sz w:val="24"/>
        </w:rPr>
      </w:pPr>
      <w:r w:rsidRPr="006E6766">
        <w:rPr>
          <w:rFonts w:ascii="Times New Roman" w:eastAsiaTheme="minorHAnsi" w:hAnsi="Times New Roman"/>
          <w:sz w:val="24"/>
        </w:rPr>
        <w:t xml:space="preserve">Saskaņā ar EKS uzskaites principiem par dividendēm var atzīt tikai tos sadalei pieejamos komercsabiedrības ienākumus, kas gūti no saimnieciskās darbības jeb pamatdarbības. </w:t>
      </w:r>
      <w:r w:rsidR="00504BA6" w:rsidRPr="006E6766">
        <w:rPr>
          <w:rFonts w:ascii="Times New Roman" w:eastAsiaTheme="minorHAnsi" w:hAnsi="Times New Roman"/>
          <w:sz w:val="24"/>
        </w:rPr>
        <w:t>Attiecīgi</w:t>
      </w:r>
      <w:r w:rsidRPr="006E6766">
        <w:rPr>
          <w:rFonts w:ascii="Times New Roman" w:eastAsiaTheme="minorHAnsi" w:hAnsi="Times New Roman"/>
          <w:sz w:val="24"/>
        </w:rPr>
        <w:t xml:space="preserve"> ieņēmumus, kas veidojas no uzkrāto rezervju izmaksas, aktīvu pārdošanas vai pārvērtēšanas uzskaita kā superdividendes.</w:t>
      </w:r>
    </w:p>
    <w:p w14:paraId="53C906F9" w14:textId="04D09A26" w:rsidR="00E9469F" w:rsidRPr="006E6766" w:rsidRDefault="6DEABBC2" w:rsidP="00415E5B">
      <w:pPr>
        <w:spacing w:after="100" w:afterAutospacing="1" w:line="240" w:lineRule="auto"/>
        <w:ind w:firstLine="720"/>
        <w:jc w:val="both"/>
        <w:rPr>
          <w:rFonts w:ascii="Times New Roman" w:hAnsi="Times New Roman"/>
          <w:sz w:val="24"/>
          <w:szCs w:val="24"/>
        </w:rPr>
      </w:pPr>
      <w:r w:rsidRPr="469479B5">
        <w:rPr>
          <w:rFonts w:ascii="Times New Roman" w:hAnsi="Times New Roman"/>
          <w:sz w:val="24"/>
          <w:szCs w:val="24"/>
        </w:rPr>
        <w:t xml:space="preserve">Dotais fiskālais risks iestājas tajos gadījumos, kad faktiskie ieņēmumi (atbilstoši EKS) par valsts kapitāla izmantošanu (t.i. dividendes) ir mazāki par plānoto apmēru, kā rezultātā tiek radīta negatīva ietekme uz attiecīgā gada vispārējās valdības budžeta bilanci. </w:t>
      </w:r>
      <w:r w:rsidR="371DB0BC" w:rsidRPr="469479B5">
        <w:rPr>
          <w:rFonts w:ascii="Times New Roman" w:hAnsi="Times New Roman"/>
          <w:sz w:val="24"/>
          <w:szCs w:val="24"/>
        </w:rPr>
        <w:t xml:space="preserve">Lai gan </w:t>
      </w:r>
      <w:r w:rsidR="301CD64A" w:rsidRPr="469479B5">
        <w:rPr>
          <w:rFonts w:ascii="Times New Roman" w:hAnsi="Times New Roman"/>
          <w:sz w:val="24"/>
          <w:szCs w:val="24"/>
        </w:rPr>
        <w:t xml:space="preserve">superdividenžu iestāšanās gadījumi ir novērojami ar zināmu regularitāti </w:t>
      </w:r>
      <w:r w:rsidR="371DB0BC" w:rsidRPr="469479B5">
        <w:rPr>
          <w:rFonts w:ascii="Times New Roman" w:hAnsi="Times New Roman"/>
          <w:sz w:val="24"/>
          <w:szCs w:val="24"/>
        </w:rPr>
        <w:t xml:space="preserve">un to apmēri ir bijuši </w:t>
      </w:r>
      <w:r w:rsidR="301CD64A" w:rsidRPr="469479B5">
        <w:rPr>
          <w:rFonts w:ascii="Times New Roman" w:hAnsi="Times New Roman"/>
          <w:sz w:val="24"/>
          <w:szCs w:val="24"/>
        </w:rPr>
        <w:t xml:space="preserve">ļoti svārstīgi </w:t>
      </w:r>
      <w:r w:rsidR="371DB0BC" w:rsidRPr="469479B5">
        <w:rPr>
          <w:rFonts w:ascii="Times New Roman" w:hAnsi="Times New Roman"/>
          <w:sz w:val="24"/>
          <w:szCs w:val="24"/>
        </w:rPr>
        <w:t>(skat. tabulu Nr.</w:t>
      </w:r>
      <w:r w:rsidR="79C06B40" w:rsidRPr="469479B5">
        <w:rPr>
          <w:rFonts w:ascii="Times New Roman" w:hAnsi="Times New Roman"/>
          <w:sz w:val="24"/>
          <w:szCs w:val="24"/>
        </w:rPr>
        <w:t>2.1</w:t>
      </w:r>
      <w:r w:rsidR="00061917">
        <w:rPr>
          <w:rFonts w:ascii="Times New Roman" w:hAnsi="Times New Roman"/>
          <w:sz w:val="24"/>
          <w:szCs w:val="24"/>
        </w:rPr>
        <w:t>2</w:t>
      </w:r>
      <w:r w:rsidR="79C06B40" w:rsidRPr="469479B5">
        <w:rPr>
          <w:rFonts w:ascii="Times New Roman" w:hAnsi="Times New Roman"/>
          <w:sz w:val="24"/>
          <w:szCs w:val="24"/>
        </w:rPr>
        <w:t>.1</w:t>
      </w:r>
      <w:r w:rsidR="371DB0BC" w:rsidRPr="469479B5">
        <w:rPr>
          <w:rFonts w:ascii="Times New Roman" w:hAnsi="Times New Roman"/>
          <w:sz w:val="24"/>
          <w:szCs w:val="24"/>
        </w:rPr>
        <w:t xml:space="preserve">), ir svarīgi novērtēt vai </w:t>
      </w:r>
      <w:r w:rsidR="301CD64A" w:rsidRPr="469479B5">
        <w:rPr>
          <w:rFonts w:ascii="Times New Roman" w:hAnsi="Times New Roman"/>
          <w:sz w:val="24"/>
          <w:szCs w:val="24"/>
        </w:rPr>
        <w:t xml:space="preserve">tie </w:t>
      </w:r>
      <w:r w:rsidR="371DB0BC" w:rsidRPr="469479B5">
        <w:rPr>
          <w:rFonts w:ascii="Times New Roman" w:hAnsi="Times New Roman"/>
          <w:sz w:val="24"/>
          <w:szCs w:val="24"/>
        </w:rPr>
        <w:t xml:space="preserve">ir tik </w:t>
      </w:r>
      <w:r w:rsidR="301CD64A" w:rsidRPr="469479B5">
        <w:rPr>
          <w:rFonts w:ascii="Times New Roman" w:hAnsi="Times New Roman"/>
          <w:sz w:val="24"/>
          <w:szCs w:val="24"/>
        </w:rPr>
        <w:t>lieli</w:t>
      </w:r>
      <w:r w:rsidR="371DB0BC" w:rsidRPr="469479B5">
        <w:rPr>
          <w:rFonts w:ascii="Times New Roman" w:hAnsi="Times New Roman"/>
          <w:sz w:val="24"/>
          <w:szCs w:val="24"/>
        </w:rPr>
        <w:t>, lai veidotu prognozēto ieņēmu</w:t>
      </w:r>
      <w:r w:rsidR="7EC9CB66" w:rsidRPr="469479B5">
        <w:rPr>
          <w:rFonts w:ascii="Times New Roman" w:hAnsi="Times New Roman"/>
          <w:sz w:val="24"/>
          <w:szCs w:val="24"/>
        </w:rPr>
        <w:t>mu</w:t>
      </w:r>
      <w:r w:rsidR="371DB0BC" w:rsidRPr="469479B5">
        <w:rPr>
          <w:rFonts w:ascii="Times New Roman" w:hAnsi="Times New Roman"/>
          <w:sz w:val="24"/>
          <w:szCs w:val="24"/>
        </w:rPr>
        <w:t xml:space="preserve"> iztrūkumu valsts pamatbudžetā. </w:t>
      </w:r>
      <w:r w:rsidR="35E748C9" w:rsidRPr="469479B5">
        <w:rPr>
          <w:rFonts w:ascii="Times New Roman" w:hAnsi="Times New Roman"/>
          <w:sz w:val="24"/>
          <w:szCs w:val="24"/>
        </w:rPr>
        <w:t>J</w:t>
      </w:r>
      <w:r w:rsidR="301CD64A" w:rsidRPr="469479B5">
        <w:rPr>
          <w:rFonts w:ascii="Times New Roman" w:hAnsi="Times New Roman"/>
          <w:sz w:val="24"/>
          <w:szCs w:val="24"/>
        </w:rPr>
        <w:t>āņem vērā, ka gan 2019. un 2020.</w:t>
      </w:r>
      <w:r w:rsidR="686F2731" w:rsidRPr="469479B5">
        <w:rPr>
          <w:rFonts w:ascii="Times New Roman" w:hAnsi="Times New Roman" w:cs="Times New Roman"/>
          <w:b/>
          <w:bCs/>
          <w:sz w:val="24"/>
          <w:szCs w:val="24"/>
        </w:rPr>
        <w:t xml:space="preserve"> </w:t>
      </w:r>
      <w:r w:rsidR="301CD64A" w:rsidRPr="469479B5">
        <w:rPr>
          <w:rFonts w:ascii="Times New Roman" w:hAnsi="Times New Roman"/>
          <w:sz w:val="24"/>
          <w:szCs w:val="24"/>
        </w:rPr>
        <w:t>gadā, gan arī 2022.</w:t>
      </w:r>
      <w:r w:rsidR="01D59768" w:rsidRPr="469479B5">
        <w:rPr>
          <w:rFonts w:ascii="Times New Roman" w:hAnsi="Times New Roman" w:cs="Times New Roman"/>
          <w:b/>
          <w:bCs/>
          <w:sz w:val="24"/>
          <w:szCs w:val="24"/>
        </w:rPr>
        <w:t xml:space="preserve"> </w:t>
      </w:r>
      <w:r w:rsidR="301CD64A" w:rsidRPr="469479B5">
        <w:rPr>
          <w:rFonts w:ascii="Times New Roman" w:hAnsi="Times New Roman"/>
          <w:sz w:val="24"/>
          <w:szCs w:val="24"/>
        </w:rPr>
        <w:t>gadā superdividenžu atzīšanas dēļ faktiskais maksājumu par valsts kapitāla izmantošanu apmērs ir bijis zemāks par plānoto.</w:t>
      </w:r>
    </w:p>
    <w:p w14:paraId="72522AA5" w14:textId="2000D4F6" w:rsidR="008920DE" w:rsidRPr="00EB0F6B" w:rsidRDefault="008920DE" w:rsidP="003A7272">
      <w:pPr>
        <w:autoSpaceDE w:val="0"/>
        <w:autoSpaceDN w:val="0"/>
        <w:adjustRightInd w:val="0"/>
        <w:spacing w:line="240" w:lineRule="auto"/>
        <w:jc w:val="right"/>
        <w:rPr>
          <w:rFonts w:ascii="Times New Roman" w:eastAsiaTheme="minorHAnsi" w:hAnsi="Times New Roman" w:cs="Times New Roman"/>
          <w:b/>
          <w:color w:val="000000"/>
          <w:sz w:val="24"/>
          <w:szCs w:val="20"/>
        </w:rPr>
      </w:pPr>
      <w:r w:rsidRPr="00EB0F6B">
        <w:rPr>
          <w:rFonts w:ascii="Times New Roman" w:eastAsiaTheme="minorHAnsi" w:hAnsi="Times New Roman" w:cs="Times New Roman"/>
          <w:b/>
          <w:color w:val="000000"/>
          <w:sz w:val="24"/>
          <w:szCs w:val="20"/>
        </w:rPr>
        <w:t>Tabula Nr.</w:t>
      </w:r>
      <w:r w:rsidR="00A75ED7" w:rsidRPr="00EB0F6B">
        <w:rPr>
          <w:rFonts w:ascii="Times New Roman" w:eastAsiaTheme="minorHAnsi" w:hAnsi="Times New Roman" w:cs="Times New Roman"/>
          <w:b/>
          <w:color w:val="000000"/>
          <w:sz w:val="24"/>
          <w:szCs w:val="20"/>
        </w:rPr>
        <w:t>2.1</w:t>
      </w:r>
      <w:r w:rsidR="00061917">
        <w:rPr>
          <w:rFonts w:ascii="Times New Roman" w:eastAsiaTheme="minorHAnsi" w:hAnsi="Times New Roman" w:cs="Times New Roman"/>
          <w:b/>
          <w:color w:val="000000"/>
          <w:sz w:val="24"/>
          <w:szCs w:val="20"/>
        </w:rPr>
        <w:t>2</w:t>
      </w:r>
      <w:r w:rsidR="00A75ED7" w:rsidRPr="00EB0F6B">
        <w:rPr>
          <w:rFonts w:ascii="Times New Roman" w:eastAsiaTheme="minorHAnsi" w:hAnsi="Times New Roman" w:cs="Times New Roman"/>
          <w:b/>
          <w:color w:val="000000"/>
          <w:sz w:val="24"/>
          <w:szCs w:val="20"/>
        </w:rPr>
        <w:t>.1</w:t>
      </w:r>
      <w:r w:rsidRPr="00EB0F6B">
        <w:rPr>
          <w:rFonts w:ascii="Times New Roman" w:eastAsiaTheme="minorHAnsi" w:hAnsi="Times New Roman" w:cs="Times New Roman"/>
          <w:b/>
          <w:color w:val="000000"/>
          <w:sz w:val="24"/>
          <w:szCs w:val="20"/>
        </w:rPr>
        <w:t xml:space="preserve"> Maksājumu par valsts kapitāla izmantošanu (dividendes) </w:t>
      </w:r>
      <w:r w:rsidR="001C0722">
        <w:rPr>
          <w:rFonts w:ascii="Times New Roman" w:eastAsiaTheme="minorHAnsi" w:hAnsi="Times New Roman" w:cs="Times New Roman"/>
          <w:b/>
          <w:color w:val="000000"/>
          <w:sz w:val="24"/>
          <w:szCs w:val="20"/>
        </w:rPr>
        <w:br/>
      </w:r>
      <w:r w:rsidRPr="00EB0F6B">
        <w:rPr>
          <w:rFonts w:ascii="Times New Roman" w:eastAsiaTheme="minorHAnsi" w:hAnsi="Times New Roman" w:cs="Times New Roman"/>
          <w:b/>
          <w:color w:val="000000"/>
          <w:sz w:val="24"/>
          <w:szCs w:val="20"/>
        </w:rPr>
        <w:t>plānotais apmērs un faktiskā izpilde</w:t>
      </w:r>
      <w:r w:rsidR="00FD33F0" w:rsidRPr="00EB0F6B">
        <w:rPr>
          <w:rFonts w:ascii="Times New Roman" w:eastAsiaTheme="minorHAnsi" w:hAnsi="Times New Roman" w:cs="Times New Roman"/>
          <w:b/>
          <w:color w:val="000000"/>
          <w:sz w:val="24"/>
          <w:szCs w:val="20"/>
        </w:rPr>
        <w:t>,</w:t>
      </w:r>
      <w:r w:rsidRPr="00EB0F6B">
        <w:rPr>
          <w:rFonts w:ascii="Times New Roman" w:eastAsiaTheme="minorHAnsi" w:hAnsi="Times New Roman" w:cs="Times New Roman"/>
          <w:b/>
          <w:color w:val="000000"/>
          <w:sz w:val="24"/>
          <w:szCs w:val="20"/>
        </w:rPr>
        <w:t xml:space="preserve"> </w:t>
      </w:r>
      <w:bookmarkStart w:id="107" w:name="_Hlk141478665"/>
      <w:r w:rsidRPr="00EB0F6B">
        <w:rPr>
          <w:rFonts w:ascii="Times New Roman" w:eastAsiaTheme="minorHAnsi" w:hAnsi="Times New Roman" w:cs="Times New Roman"/>
          <w:b/>
          <w:color w:val="000000"/>
          <w:sz w:val="24"/>
          <w:szCs w:val="20"/>
        </w:rPr>
        <w:t xml:space="preserve">milj. </w:t>
      </w:r>
      <w:r w:rsidRPr="00EB0F6B">
        <w:rPr>
          <w:rFonts w:ascii="Times New Roman" w:eastAsiaTheme="minorHAnsi" w:hAnsi="Times New Roman" w:cs="Times New Roman"/>
          <w:b/>
          <w:i/>
          <w:color w:val="000000"/>
          <w:sz w:val="24"/>
          <w:szCs w:val="20"/>
        </w:rPr>
        <w:t>euro</w:t>
      </w:r>
      <w:bookmarkEnd w:id="107"/>
    </w:p>
    <w:tbl>
      <w:tblPr>
        <w:tblStyle w:val="TableGrid"/>
        <w:tblW w:w="10095" w:type="dxa"/>
        <w:jc w:val="cente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2710"/>
        <w:gridCol w:w="813"/>
        <w:gridCol w:w="813"/>
        <w:gridCol w:w="881"/>
        <w:gridCol w:w="813"/>
        <w:gridCol w:w="813"/>
        <w:gridCol w:w="813"/>
        <w:gridCol w:w="813"/>
        <w:gridCol w:w="813"/>
        <w:gridCol w:w="813"/>
      </w:tblGrid>
      <w:tr w:rsidR="00F205E8" w:rsidRPr="003A7272" w14:paraId="1EC6D6EC" w14:textId="4D7B81D7" w:rsidTr="00B5248C">
        <w:trPr>
          <w:trHeight w:val="335"/>
          <w:jc w:val="center"/>
        </w:trPr>
        <w:tc>
          <w:tcPr>
            <w:tcW w:w="2268" w:type="dxa"/>
            <w:shd w:val="clear" w:color="auto" w:fill="DEEAF6" w:themeFill="accent1" w:themeFillTint="33"/>
            <w:vAlign w:val="center"/>
          </w:tcPr>
          <w:p w14:paraId="553AF087" w14:textId="77777777" w:rsidR="002D5D95" w:rsidRPr="00940337" w:rsidRDefault="002D5D95" w:rsidP="469479B5">
            <w:pPr>
              <w:autoSpaceDE w:val="0"/>
              <w:autoSpaceDN w:val="0"/>
              <w:adjustRightInd w:val="0"/>
              <w:jc w:val="right"/>
              <w:rPr>
                <w:rFonts w:eastAsia="Times New Roman" w:cs="Times New Roman"/>
                <w:b/>
                <w:bCs/>
                <w:color w:val="000000" w:themeColor="text1"/>
                <w:sz w:val="22"/>
              </w:rPr>
            </w:pPr>
            <w:bookmarkStart w:id="108" w:name="_Hlk119329793"/>
            <w:bookmarkStart w:id="109" w:name="_Hlk204241855"/>
            <w:bookmarkStart w:id="110" w:name="_Hlk205218989"/>
          </w:p>
        </w:tc>
        <w:tc>
          <w:tcPr>
            <w:tcW w:w="680" w:type="dxa"/>
            <w:shd w:val="clear" w:color="auto" w:fill="DEEAF6" w:themeFill="accent1" w:themeFillTint="33"/>
            <w:vAlign w:val="center"/>
          </w:tcPr>
          <w:p w14:paraId="1D9990C6" w14:textId="1908B7C3" w:rsidR="002D5D95" w:rsidRPr="00940337" w:rsidRDefault="002D5D95" w:rsidP="469479B5">
            <w:pPr>
              <w:autoSpaceDE w:val="0"/>
              <w:autoSpaceDN w:val="0"/>
              <w:adjustRightInd w:val="0"/>
              <w:jc w:val="center"/>
              <w:rPr>
                <w:rFonts w:eastAsia="Times New Roman" w:cs="Times New Roman"/>
                <w:b/>
                <w:bCs/>
                <w:sz w:val="20"/>
                <w:szCs w:val="20"/>
              </w:rPr>
            </w:pPr>
            <w:r>
              <w:rPr>
                <w:rFonts w:eastAsia="Times New Roman" w:cs="Times New Roman"/>
                <w:b/>
                <w:bCs/>
                <w:sz w:val="20"/>
                <w:szCs w:val="20"/>
              </w:rPr>
              <w:t>2016</w:t>
            </w:r>
          </w:p>
        </w:tc>
        <w:tc>
          <w:tcPr>
            <w:tcW w:w="680" w:type="dxa"/>
            <w:shd w:val="clear" w:color="auto" w:fill="DEEAF6" w:themeFill="accent1" w:themeFillTint="33"/>
            <w:vAlign w:val="center"/>
          </w:tcPr>
          <w:p w14:paraId="065E0CC4" w14:textId="3F4A39D6" w:rsidR="002D5D95" w:rsidRPr="00940337" w:rsidRDefault="002D5D95" w:rsidP="469479B5">
            <w:pPr>
              <w:autoSpaceDE w:val="0"/>
              <w:autoSpaceDN w:val="0"/>
              <w:adjustRightInd w:val="0"/>
              <w:jc w:val="center"/>
              <w:rPr>
                <w:rFonts w:eastAsia="Times New Roman" w:cs="Times New Roman"/>
                <w:b/>
                <w:bCs/>
                <w:color w:val="000000" w:themeColor="text1"/>
                <w:sz w:val="20"/>
                <w:szCs w:val="20"/>
              </w:rPr>
            </w:pPr>
            <w:r w:rsidRPr="00940337">
              <w:rPr>
                <w:rFonts w:eastAsia="Times New Roman" w:cs="Times New Roman"/>
                <w:b/>
                <w:bCs/>
                <w:sz w:val="20"/>
                <w:szCs w:val="20"/>
              </w:rPr>
              <w:t>2017</w:t>
            </w:r>
          </w:p>
        </w:tc>
        <w:tc>
          <w:tcPr>
            <w:tcW w:w="737" w:type="dxa"/>
            <w:shd w:val="clear" w:color="auto" w:fill="DEEAF6" w:themeFill="accent1" w:themeFillTint="33"/>
            <w:vAlign w:val="center"/>
          </w:tcPr>
          <w:p w14:paraId="611C5FFE" w14:textId="77777777" w:rsidR="002D5D95" w:rsidRPr="00940337" w:rsidRDefault="002D5D95" w:rsidP="469479B5">
            <w:pPr>
              <w:autoSpaceDE w:val="0"/>
              <w:autoSpaceDN w:val="0"/>
              <w:adjustRightInd w:val="0"/>
              <w:jc w:val="center"/>
              <w:rPr>
                <w:rFonts w:eastAsia="Times New Roman" w:cs="Times New Roman"/>
                <w:b/>
                <w:bCs/>
                <w:color w:val="000000" w:themeColor="text1"/>
                <w:sz w:val="20"/>
                <w:szCs w:val="20"/>
              </w:rPr>
            </w:pPr>
            <w:r w:rsidRPr="00940337">
              <w:rPr>
                <w:rFonts w:eastAsia="Times New Roman" w:cs="Times New Roman"/>
                <w:b/>
                <w:bCs/>
                <w:sz w:val="20"/>
                <w:szCs w:val="20"/>
              </w:rPr>
              <w:t>2018</w:t>
            </w:r>
          </w:p>
        </w:tc>
        <w:tc>
          <w:tcPr>
            <w:tcW w:w="680" w:type="dxa"/>
            <w:shd w:val="clear" w:color="auto" w:fill="DEEAF6" w:themeFill="accent1" w:themeFillTint="33"/>
            <w:vAlign w:val="center"/>
          </w:tcPr>
          <w:p w14:paraId="189B743C" w14:textId="77777777" w:rsidR="002D5D95" w:rsidRPr="00940337" w:rsidRDefault="002D5D95"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2019</w:t>
            </w:r>
          </w:p>
        </w:tc>
        <w:tc>
          <w:tcPr>
            <w:tcW w:w="680" w:type="dxa"/>
            <w:shd w:val="clear" w:color="auto" w:fill="DEEAF6" w:themeFill="accent1" w:themeFillTint="33"/>
            <w:vAlign w:val="center"/>
          </w:tcPr>
          <w:p w14:paraId="5C384A6C" w14:textId="2B7E4457" w:rsidR="002D5D95" w:rsidRPr="00940337" w:rsidRDefault="002D5D95"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2020</w:t>
            </w:r>
          </w:p>
        </w:tc>
        <w:tc>
          <w:tcPr>
            <w:tcW w:w="680" w:type="dxa"/>
            <w:shd w:val="clear" w:color="auto" w:fill="DEEAF6" w:themeFill="accent1" w:themeFillTint="33"/>
            <w:vAlign w:val="center"/>
          </w:tcPr>
          <w:p w14:paraId="20A1F6C7" w14:textId="3671B427" w:rsidR="002D5D95" w:rsidRPr="00940337" w:rsidRDefault="002D5D95"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2021</w:t>
            </w:r>
          </w:p>
        </w:tc>
        <w:tc>
          <w:tcPr>
            <w:tcW w:w="680" w:type="dxa"/>
            <w:shd w:val="clear" w:color="auto" w:fill="DEEAF6" w:themeFill="accent1" w:themeFillTint="33"/>
            <w:vAlign w:val="center"/>
          </w:tcPr>
          <w:p w14:paraId="7DA4EBE1" w14:textId="46607480" w:rsidR="002D5D95" w:rsidRPr="00940337" w:rsidRDefault="002D5D95"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2022</w:t>
            </w:r>
          </w:p>
        </w:tc>
        <w:tc>
          <w:tcPr>
            <w:tcW w:w="680" w:type="dxa"/>
            <w:shd w:val="clear" w:color="auto" w:fill="DEEAF6" w:themeFill="accent1" w:themeFillTint="33"/>
            <w:vAlign w:val="center"/>
          </w:tcPr>
          <w:p w14:paraId="46937E40" w14:textId="4B4D65AF" w:rsidR="002D5D95" w:rsidRPr="00940337" w:rsidRDefault="002D5D95"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2023</w:t>
            </w:r>
          </w:p>
        </w:tc>
        <w:tc>
          <w:tcPr>
            <w:tcW w:w="680" w:type="dxa"/>
            <w:shd w:val="clear" w:color="auto" w:fill="DEEAF6" w:themeFill="accent1" w:themeFillTint="33"/>
            <w:vAlign w:val="center"/>
          </w:tcPr>
          <w:p w14:paraId="1630F40B" w14:textId="09F7E0E6" w:rsidR="002D5D95" w:rsidRPr="00940337" w:rsidRDefault="002D5D95" w:rsidP="469479B5">
            <w:pPr>
              <w:autoSpaceDE w:val="0"/>
              <w:autoSpaceDN w:val="0"/>
              <w:adjustRightInd w:val="0"/>
              <w:jc w:val="center"/>
              <w:rPr>
                <w:rFonts w:eastAsia="Times New Roman" w:cs="Times New Roman"/>
                <w:b/>
                <w:bCs/>
                <w:sz w:val="20"/>
                <w:szCs w:val="20"/>
              </w:rPr>
            </w:pPr>
            <w:r>
              <w:rPr>
                <w:rFonts w:eastAsia="Times New Roman" w:cs="Times New Roman"/>
                <w:b/>
                <w:bCs/>
                <w:sz w:val="20"/>
                <w:szCs w:val="20"/>
              </w:rPr>
              <w:t>2024</w:t>
            </w:r>
          </w:p>
        </w:tc>
      </w:tr>
      <w:bookmarkEnd w:id="108"/>
      <w:tr w:rsidR="00F205E8" w:rsidRPr="003A7272" w14:paraId="0D3B9A51" w14:textId="6F0F02CA" w:rsidTr="00B5248C">
        <w:trPr>
          <w:trHeight w:val="335"/>
          <w:jc w:val="center"/>
        </w:trPr>
        <w:tc>
          <w:tcPr>
            <w:tcW w:w="2268" w:type="dxa"/>
            <w:vAlign w:val="center"/>
          </w:tcPr>
          <w:p w14:paraId="4D2FED42" w14:textId="77777777" w:rsidR="002D5D95" w:rsidRPr="00940337" w:rsidRDefault="002D5D95" w:rsidP="00604AF0">
            <w:pPr>
              <w:autoSpaceDE w:val="0"/>
              <w:autoSpaceDN w:val="0"/>
              <w:adjustRightInd w:val="0"/>
              <w:jc w:val="right"/>
              <w:rPr>
                <w:rFonts w:eastAsia="Times New Roman" w:cs="Times New Roman"/>
                <w:color w:val="000000" w:themeColor="text1"/>
                <w:sz w:val="20"/>
                <w:szCs w:val="20"/>
              </w:rPr>
            </w:pPr>
            <w:r w:rsidRPr="00940337">
              <w:rPr>
                <w:rFonts w:eastAsia="Times New Roman" w:cs="Times New Roman"/>
                <w:sz w:val="20"/>
                <w:szCs w:val="20"/>
              </w:rPr>
              <w:t>Maksājumu par valsts kapitāla izmantošanu (dividendes) plānotais apmērs</w:t>
            </w:r>
          </w:p>
        </w:tc>
        <w:tc>
          <w:tcPr>
            <w:tcW w:w="680" w:type="dxa"/>
            <w:vAlign w:val="center"/>
          </w:tcPr>
          <w:p w14:paraId="53235BEE" w14:textId="72D55E71" w:rsidR="002D5D95" w:rsidRPr="00940337" w:rsidRDefault="002D5D95" w:rsidP="00604AF0">
            <w:pPr>
              <w:autoSpaceDE w:val="0"/>
              <w:autoSpaceDN w:val="0"/>
              <w:adjustRightInd w:val="0"/>
              <w:jc w:val="center"/>
              <w:rPr>
                <w:rFonts w:eastAsia="Times New Roman" w:cs="Times New Roman"/>
                <w:sz w:val="20"/>
                <w:szCs w:val="20"/>
              </w:rPr>
            </w:pPr>
            <w:r>
              <w:rPr>
                <w:rFonts w:eastAsia="Times New Roman" w:cs="Times New Roman"/>
                <w:sz w:val="20"/>
                <w:szCs w:val="20"/>
              </w:rPr>
              <w:t>151,2</w:t>
            </w:r>
          </w:p>
        </w:tc>
        <w:tc>
          <w:tcPr>
            <w:tcW w:w="680" w:type="dxa"/>
            <w:vAlign w:val="center"/>
          </w:tcPr>
          <w:p w14:paraId="63AD3F7A" w14:textId="2753C117" w:rsidR="002D5D95" w:rsidRPr="00940337" w:rsidRDefault="002D5D95" w:rsidP="00604AF0">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154,3</w:t>
            </w:r>
          </w:p>
        </w:tc>
        <w:tc>
          <w:tcPr>
            <w:tcW w:w="737" w:type="dxa"/>
            <w:vAlign w:val="center"/>
          </w:tcPr>
          <w:p w14:paraId="08692276" w14:textId="24714FD6" w:rsidR="002D5D95" w:rsidRPr="00940337" w:rsidRDefault="002D5D95" w:rsidP="00604AF0">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163,0</w:t>
            </w:r>
          </w:p>
        </w:tc>
        <w:tc>
          <w:tcPr>
            <w:tcW w:w="680" w:type="dxa"/>
            <w:vAlign w:val="center"/>
          </w:tcPr>
          <w:p w14:paraId="445BB500" w14:textId="5A7B2D7B"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204,3</w:t>
            </w:r>
          </w:p>
        </w:tc>
        <w:tc>
          <w:tcPr>
            <w:tcW w:w="680" w:type="dxa"/>
            <w:vAlign w:val="center"/>
          </w:tcPr>
          <w:p w14:paraId="749D1D58" w14:textId="2A53A9E0"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196,1</w:t>
            </w:r>
          </w:p>
        </w:tc>
        <w:tc>
          <w:tcPr>
            <w:tcW w:w="680" w:type="dxa"/>
            <w:vAlign w:val="center"/>
          </w:tcPr>
          <w:p w14:paraId="080B4CBF" w14:textId="7448CB29"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190,6</w:t>
            </w:r>
          </w:p>
        </w:tc>
        <w:tc>
          <w:tcPr>
            <w:tcW w:w="680" w:type="dxa"/>
            <w:vAlign w:val="center"/>
          </w:tcPr>
          <w:p w14:paraId="25E1DDA6" w14:textId="45F162A1"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195,3</w:t>
            </w:r>
          </w:p>
        </w:tc>
        <w:tc>
          <w:tcPr>
            <w:tcW w:w="680" w:type="dxa"/>
            <w:vAlign w:val="center"/>
          </w:tcPr>
          <w:p w14:paraId="160DC7D3" w14:textId="3161D940"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317,0</w:t>
            </w:r>
          </w:p>
        </w:tc>
        <w:tc>
          <w:tcPr>
            <w:tcW w:w="680" w:type="dxa"/>
            <w:vAlign w:val="center"/>
          </w:tcPr>
          <w:p w14:paraId="2DEAF373" w14:textId="138464D9" w:rsidR="002D5D95" w:rsidRPr="00604AF0" w:rsidRDefault="002D5D95" w:rsidP="00604AF0">
            <w:pPr>
              <w:autoSpaceDE w:val="0"/>
              <w:autoSpaceDN w:val="0"/>
              <w:adjustRightInd w:val="0"/>
              <w:jc w:val="center"/>
              <w:rPr>
                <w:rFonts w:eastAsia="Times New Roman" w:cs="Times New Roman"/>
                <w:sz w:val="20"/>
                <w:szCs w:val="20"/>
              </w:rPr>
            </w:pPr>
            <w:r w:rsidRPr="00604AF0">
              <w:rPr>
                <w:rFonts w:eastAsia="Times New Roman" w:cs="Times New Roman"/>
                <w:sz w:val="20"/>
                <w:szCs w:val="20"/>
              </w:rPr>
              <w:t>379,8</w:t>
            </w:r>
          </w:p>
        </w:tc>
      </w:tr>
      <w:tr w:rsidR="00F205E8" w:rsidRPr="003A7272" w14:paraId="7D09433B" w14:textId="298A4431" w:rsidTr="00B5248C">
        <w:trPr>
          <w:trHeight w:val="335"/>
          <w:jc w:val="center"/>
        </w:trPr>
        <w:tc>
          <w:tcPr>
            <w:tcW w:w="2268" w:type="dxa"/>
            <w:vAlign w:val="center"/>
          </w:tcPr>
          <w:p w14:paraId="429BDCAF" w14:textId="615C4DCF" w:rsidR="002D5D95" w:rsidRPr="00940337" w:rsidRDefault="002D5D95" w:rsidP="00604AF0">
            <w:pPr>
              <w:autoSpaceDE w:val="0"/>
              <w:autoSpaceDN w:val="0"/>
              <w:adjustRightInd w:val="0"/>
              <w:jc w:val="right"/>
              <w:rPr>
                <w:rFonts w:eastAsia="Times New Roman" w:cs="Times New Roman"/>
                <w:color w:val="000000" w:themeColor="text1"/>
                <w:sz w:val="20"/>
                <w:szCs w:val="20"/>
              </w:rPr>
            </w:pPr>
            <w:r w:rsidRPr="00940337">
              <w:rPr>
                <w:rFonts w:eastAsia="Times New Roman" w:cs="Times New Roman"/>
                <w:sz w:val="20"/>
                <w:szCs w:val="20"/>
              </w:rPr>
              <w:t>Superdividendes</w:t>
            </w:r>
          </w:p>
        </w:tc>
        <w:tc>
          <w:tcPr>
            <w:tcW w:w="680" w:type="dxa"/>
            <w:vAlign w:val="center"/>
          </w:tcPr>
          <w:p w14:paraId="78EAD87B" w14:textId="1EECEA05" w:rsidR="002D5D95" w:rsidRPr="00940337" w:rsidRDefault="002D5D95" w:rsidP="00604AF0">
            <w:pPr>
              <w:autoSpaceDE w:val="0"/>
              <w:autoSpaceDN w:val="0"/>
              <w:adjustRightInd w:val="0"/>
              <w:jc w:val="center"/>
              <w:rPr>
                <w:rFonts w:eastAsia="Times New Roman" w:cs="Times New Roman"/>
                <w:sz w:val="20"/>
                <w:szCs w:val="20"/>
              </w:rPr>
            </w:pPr>
            <w:r>
              <w:rPr>
                <w:rFonts w:eastAsia="Times New Roman" w:cs="Times New Roman"/>
                <w:sz w:val="20"/>
                <w:szCs w:val="20"/>
              </w:rPr>
              <w:t>-0,1</w:t>
            </w:r>
          </w:p>
        </w:tc>
        <w:tc>
          <w:tcPr>
            <w:tcW w:w="680" w:type="dxa"/>
            <w:vAlign w:val="center"/>
          </w:tcPr>
          <w:p w14:paraId="3ADC000D" w14:textId="0E8AABBB" w:rsidR="002D5D95" w:rsidRPr="00940337" w:rsidRDefault="002D5D95" w:rsidP="00604AF0">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-0,1</w:t>
            </w:r>
          </w:p>
        </w:tc>
        <w:tc>
          <w:tcPr>
            <w:tcW w:w="737" w:type="dxa"/>
            <w:vAlign w:val="center"/>
          </w:tcPr>
          <w:p w14:paraId="24FACFC9" w14:textId="30171CC3" w:rsidR="002D5D95" w:rsidRPr="00940337" w:rsidRDefault="002D5D95" w:rsidP="00604AF0">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-0,5</w:t>
            </w:r>
          </w:p>
        </w:tc>
        <w:tc>
          <w:tcPr>
            <w:tcW w:w="680" w:type="dxa"/>
            <w:vAlign w:val="center"/>
          </w:tcPr>
          <w:p w14:paraId="45021C6C" w14:textId="055C2EBC"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w:t>
            </w:r>
            <w:r>
              <w:rPr>
                <w:rFonts w:eastAsia="Times New Roman" w:cs="Times New Roman"/>
                <w:sz w:val="20"/>
                <w:szCs w:val="20"/>
              </w:rPr>
              <w:t>73,2</w:t>
            </w:r>
          </w:p>
        </w:tc>
        <w:tc>
          <w:tcPr>
            <w:tcW w:w="680" w:type="dxa"/>
            <w:vAlign w:val="center"/>
          </w:tcPr>
          <w:p w14:paraId="032BD065" w14:textId="311A2FA9"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w:t>
            </w:r>
            <w:r>
              <w:rPr>
                <w:rFonts w:eastAsia="Times New Roman" w:cs="Times New Roman"/>
                <w:sz w:val="20"/>
                <w:szCs w:val="20"/>
              </w:rPr>
              <w:t>50,4</w:t>
            </w:r>
          </w:p>
        </w:tc>
        <w:tc>
          <w:tcPr>
            <w:tcW w:w="680" w:type="dxa"/>
            <w:vAlign w:val="center"/>
          </w:tcPr>
          <w:p w14:paraId="784BC676" w14:textId="1F715C00"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-10,0</w:t>
            </w:r>
          </w:p>
        </w:tc>
        <w:tc>
          <w:tcPr>
            <w:tcW w:w="680" w:type="dxa"/>
            <w:vAlign w:val="center"/>
          </w:tcPr>
          <w:p w14:paraId="70C32C8E" w14:textId="5AD5E7F8"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-52,0</w:t>
            </w:r>
          </w:p>
        </w:tc>
        <w:tc>
          <w:tcPr>
            <w:tcW w:w="680" w:type="dxa"/>
            <w:vAlign w:val="center"/>
          </w:tcPr>
          <w:p w14:paraId="05C2F944" w14:textId="7EFA9C1D"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0,0</w:t>
            </w:r>
          </w:p>
        </w:tc>
        <w:tc>
          <w:tcPr>
            <w:tcW w:w="680" w:type="dxa"/>
            <w:vAlign w:val="center"/>
          </w:tcPr>
          <w:p w14:paraId="3866D53B" w14:textId="591D8676" w:rsidR="002D5D95" w:rsidRPr="00604AF0" w:rsidRDefault="002D5D95" w:rsidP="00604AF0">
            <w:pPr>
              <w:autoSpaceDE w:val="0"/>
              <w:autoSpaceDN w:val="0"/>
              <w:adjustRightInd w:val="0"/>
              <w:jc w:val="center"/>
              <w:rPr>
                <w:rFonts w:eastAsia="Times New Roman" w:cs="Times New Roman"/>
                <w:sz w:val="20"/>
                <w:szCs w:val="20"/>
              </w:rPr>
            </w:pPr>
            <w:r w:rsidRPr="00604AF0">
              <w:rPr>
                <w:rFonts w:eastAsia="Times New Roman" w:cs="Times New Roman"/>
                <w:sz w:val="20"/>
                <w:szCs w:val="20"/>
              </w:rPr>
              <w:t>0,0</w:t>
            </w:r>
          </w:p>
        </w:tc>
      </w:tr>
      <w:tr w:rsidR="00F205E8" w:rsidRPr="003A7272" w14:paraId="488CE978" w14:textId="5C0F1292" w:rsidTr="00B5248C">
        <w:trPr>
          <w:trHeight w:val="335"/>
          <w:jc w:val="center"/>
        </w:trPr>
        <w:tc>
          <w:tcPr>
            <w:tcW w:w="2268" w:type="dxa"/>
            <w:vAlign w:val="center"/>
          </w:tcPr>
          <w:p w14:paraId="67653321" w14:textId="77777777" w:rsidR="002D5D95" w:rsidRPr="00940337" w:rsidRDefault="002D5D95" w:rsidP="00604AF0">
            <w:pPr>
              <w:autoSpaceDE w:val="0"/>
              <w:autoSpaceDN w:val="0"/>
              <w:adjustRightInd w:val="0"/>
              <w:jc w:val="right"/>
              <w:rPr>
                <w:rFonts w:eastAsia="Times New Roman" w:cs="Times New Roman"/>
                <w:color w:val="000000" w:themeColor="text1"/>
                <w:sz w:val="20"/>
                <w:szCs w:val="20"/>
              </w:rPr>
            </w:pPr>
            <w:r w:rsidRPr="00940337">
              <w:rPr>
                <w:rFonts w:eastAsia="Times New Roman" w:cs="Times New Roman"/>
                <w:sz w:val="20"/>
                <w:szCs w:val="20"/>
              </w:rPr>
              <w:t>Maksājumu par valsts kapitāla izmantošanu apmērs (izpilde, atskaitot superdividendes)</w:t>
            </w:r>
          </w:p>
        </w:tc>
        <w:tc>
          <w:tcPr>
            <w:tcW w:w="680" w:type="dxa"/>
            <w:vAlign w:val="center"/>
          </w:tcPr>
          <w:p w14:paraId="199B6649" w14:textId="7C4E8401" w:rsidR="002D5D95" w:rsidRPr="00940337" w:rsidRDefault="002D5D95" w:rsidP="002D5D95">
            <w:pPr>
              <w:autoSpaceDE w:val="0"/>
              <w:autoSpaceDN w:val="0"/>
              <w:adjustRightInd w:val="0"/>
              <w:jc w:val="center"/>
              <w:rPr>
                <w:rFonts w:eastAsia="Times New Roman" w:cs="Times New Roman"/>
                <w:sz w:val="20"/>
                <w:szCs w:val="20"/>
              </w:rPr>
            </w:pPr>
            <w:r>
              <w:rPr>
                <w:rFonts w:eastAsia="Times New Roman" w:cs="Times New Roman"/>
                <w:sz w:val="20"/>
                <w:szCs w:val="20"/>
              </w:rPr>
              <w:t>166,8</w:t>
            </w:r>
          </w:p>
        </w:tc>
        <w:tc>
          <w:tcPr>
            <w:tcW w:w="680" w:type="dxa"/>
            <w:vAlign w:val="center"/>
          </w:tcPr>
          <w:p w14:paraId="78AA5BA9" w14:textId="647FE5AF" w:rsidR="002D5D95" w:rsidRPr="00940337" w:rsidRDefault="002D5D95" w:rsidP="00604AF0">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154,3</w:t>
            </w:r>
          </w:p>
        </w:tc>
        <w:tc>
          <w:tcPr>
            <w:tcW w:w="737" w:type="dxa"/>
            <w:vAlign w:val="center"/>
          </w:tcPr>
          <w:p w14:paraId="3A8B5257" w14:textId="15CECA66" w:rsidR="002D5D95" w:rsidRPr="00940337" w:rsidRDefault="002D5D95" w:rsidP="00604AF0">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188,8</w:t>
            </w:r>
            <w:r w:rsidRPr="469479B5">
              <w:rPr>
                <w:rFonts w:eastAsia="Times New Roman" w:cs="Times New Roman"/>
                <w:sz w:val="20"/>
                <w:szCs w:val="20"/>
              </w:rPr>
              <w:t>*</w:t>
            </w:r>
          </w:p>
        </w:tc>
        <w:tc>
          <w:tcPr>
            <w:tcW w:w="680" w:type="dxa"/>
            <w:vAlign w:val="center"/>
          </w:tcPr>
          <w:p w14:paraId="0DE29579" w14:textId="62D3D143" w:rsidR="002D5D95" w:rsidRPr="00940337" w:rsidRDefault="002D5D95" w:rsidP="00604AF0">
            <w:pPr>
              <w:autoSpaceDE w:val="0"/>
              <w:autoSpaceDN w:val="0"/>
              <w:adjustRightInd w:val="0"/>
              <w:jc w:val="center"/>
              <w:rPr>
                <w:rFonts w:eastAsia="Times New Roman" w:cs="Times New Roman"/>
                <w:sz w:val="20"/>
                <w:szCs w:val="20"/>
              </w:rPr>
            </w:pPr>
            <w:r>
              <w:rPr>
                <w:rFonts w:eastAsia="Times New Roman" w:cs="Times New Roman"/>
                <w:sz w:val="20"/>
                <w:szCs w:val="20"/>
              </w:rPr>
              <w:t>160,4</w:t>
            </w:r>
          </w:p>
        </w:tc>
        <w:tc>
          <w:tcPr>
            <w:tcW w:w="680" w:type="dxa"/>
            <w:vAlign w:val="center"/>
          </w:tcPr>
          <w:p w14:paraId="1E54557E" w14:textId="28F7595E" w:rsidR="002D5D95" w:rsidRPr="00940337" w:rsidRDefault="002D5D95" w:rsidP="00604AF0">
            <w:pPr>
              <w:autoSpaceDE w:val="0"/>
              <w:autoSpaceDN w:val="0"/>
              <w:adjustRightInd w:val="0"/>
              <w:jc w:val="center"/>
              <w:rPr>
                <w:rFonts w:eastAsia="Times New Roman" w:cs="Times New Roman"/>
                <w:sz w:val="20"/>
                <w:szCs w:val="20"/>
              </w:rPr>
            </w:pPr>
            <w:r>
              <w:rPr>
                <w:rFonts w:eastAsia="Times New Roman" w:cs="Times New Roman"/>
                <w:sz w:val="20"/>
                <w:szCs w:val="20"/>
              </w:rPr>
              <w:t>180,9</w:t>
            </w:r>
          </w:p>
        </w:tc>
        <w:tc>
          <w:tcPr>
            <w:tcW w:w="680" w:type="dxa"/>
            <w:vAlign w:val="center"/>
          </w:tcPr>
          <w:p w14:paraId="233BAD68" w14:textId="651B4FA2"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211,9</w:t>
            </w:r>
          </w:p>
        </w:tc>
        <w:tc>
          <w:tcPr>
            <w:tcW w:w="680" w:type="dxa"/>
            <w:vAlign w:val="center"/>
          </w:tcPr>
          <w:p w14:paraId="7DCEFCFF" w14:textId="7568367B"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154,3</w:t>
            </w:r>
          </w:p>
        </w:tc>
        <w:tc>
          <w:tcPr>
            <w:tcW w:w="680" w:type="dxa"/>
            <w:vAlign w:val="center"/>
          </w:tcPr>
          <w:p w14:paraId="166F13AA" w14:textId="03B7AB8B"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347,7</w:t>
            </w:r>
          </w:p>
        </w:tc>
        <w:tc>
          <w:tcPr>
            <w:tcW w:w="680" w:type="dxa"/>
            <w:vAlign w:val="center"/>
          </w:tcPr>
          <w:p w14:paraId="49485895" w14:textId="5CBC4E75" w:rsidR="002D5D95" w:rsidRPr="00604AF0" w:rsidRDefault="002D5D95" w:rsidP="00604AF0">
            <w:pPr>
              <w:autoSpaceDE w:val="0"/>
              <w:autoSpaceDN w:val="0"/>
              <w:adjustRightInd w:val="0"/>
              <w:jc w:val="center"/>
              <w:rPr>
                <w:rFonts w:eastAsia="Times New Roman" w:cs="Times New Roman"/>
                <w:sz w:val="20"/>
                <w:szCs w:val="20"/>
              </w:rPr>
            </w:pPr>
            <w:r w:rsidRPr="00604AF0">
              <w:rPr>
                <w:rFonts w:eastAsia="Times New Roman" w:cs="Times New Roman"/>
                <w:sz w:val="20"/>
                <w:szCs w:val="20"/>
              </w:rPr>
              <w:t>388,4</w:t>
            </w:r>
          </w:p>
        </w:tc>
      </w:tr>
      <w:tr w:rsidR="00F205E8" w:rsidRPr="003A7272" w14:paraId="6479D732" w14:textId="777B3B65" w:rsidTr="00B5248C">
        <w:trPr>
          <w:trHeight w:val="335"/>
          <w:jc w:val="center"/>
        </w:trPr>
        <w:tc>
          <w:tcPr>
            <w:tcW w:w="2268" w:type="dxa"/>
            <w:vAlign w:val="center"/>
          </w:tcPr>
          <w:p w14:paraId="501425DC" w14:textId="742E507B" w:rsidR="002D5D95" w:rsidRPr="00940337" w:rsidRDefault="002D5D95" w:rsidP="00604AF0">
            <w:pPr>
              <w:autoSpaceDE w:val="0"/>
              <w:autoSpaceDN w:val="0"/>
              <w:adjustRightInd w:val="0"/>
              <w:jc w:val="right"/>
              <w:rPr>
                <w:rFonts w:eastAsia="Times New Roman" w:cs="Times New Roman"/>
                <w:sz w:val="20"/>
                <w:szCs w:val="20"/>
              </w:rPr>
            </w:pPr>
            <w:r w:rsidRPr="00940337">
              <w:rPr>
                <w:rFonts w:eastAsia="Times New Roman" w:cs="Times New Roman"/>
                <w:sz w:val="20"/>
                <w:szCs w:val="20"/>
              </w:rPr>
              <w:t>Novirze</w:t>
            </w:r>
          </w:p>
        </w:tc>
        <w:tc>
          <w:tcPr>
            <w:tcW w:w="680" w:type="dxa"/>
            <w:vAlign w:val="center"/>
          </w:tcPr>
          <w:p w14:paraId="63A87CAE" w14:textId="76FAD3A7" w:rsidR="002D5D95" w:rsidRPr="00940337" w:rsidRDefault="002D5D95" w:rsidP="00604AF0">
            <w:pPr>
              <w:autoSpaceDE w:val="0"/>
              <w:autoSpaceDN w:val="0"/>
              <w:adjustRightInd w:val="0"/>
              <w:jc w:val="center"/>
              <w:rPr>
                <w:rFonts w:eastAsia="Times New Roman" w:cs="Times New Roman"/>
                <w:sz w:val="20"/>
                <w:szCs w:val="20"/>
              </w:rPr>
            </w:pPr>
            <w:r>
              <w:rPr>
                <w:rFonts w:eastAsia="Times New Roman" w:cs="Times New Roman"/>
                <w:sz w:val="20"/>
                <w:szCs w:val="20"/>
              </w:rPr>
              <w:t>15,6</w:t>
            </w:r>
          </w:p>
        </w:tc>
        <w:tc>
          <w:tcPr>
            <w:tcW w:w="680" w:type="dxa"/>
            <w:vAlign w:val="center"/>
          </w:tcPr>
          <w:p w14:paraId="2E75CBBF" w14:textId="79AFADB9"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0</w:t>
            </w:r>
            <w:r>
              <w:rPr>
                <w:rFonts w:eastAsia="Times New Roman" w:cs="Times New Roman"/>
                <w:sz w:val="20"/>
                <w:szCs w:val="20"/>
              </w:rPr>
              <w:t>,0</w:t>
            </w:r>
          </w:p>
        </w:tc>
        <w:tc>
          <w:tcPr>
            <w:tcW w:w="737" w:type="dxa"/>
            <w:vAlign w:val="center"/>
          </w:tcPr>
          <w:p w14:paraId="78162591" w14:textId="4095D013"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25,8</w:t>
            </w:r>
          </w:p>
        </w:tc>
        <w:tc>
          <w:tcPr>
            <w:tcW w:w="680" w:type="dxa"/>
            <w:vAlign w:val="center"/>
          </w:tcPr>
          <w:p w14:paraId="04AC1AF3" w14:textId="509566B1"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w:t>
            </w:r>
            <w:r>
              <w:rPr>
                <w:rFonts w:eastAsia="Times New Roman" w:cs="Times New Roman"/>
                <w:sz w:val="20"/>
                <w:szCs w:val="20"/>
              </w:rPr>
              <w:t>43,9</w:t>
            </w:r>
          </w:p>
        </w:tc>
        <w:tc>
          <w:tcPr>
            <w:tcW w:w="680" w:type="dxa"/>
            <w:vAlign w:val="center"/>
          </w:tcPr>
          <w:p w14:paraId="599285B6" w14:textId="7C5B7D85"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w:t>
            </w:r>
            <w:r>
              <w:rPr>
                <w:rFonts w:eastAsia="Times New Roman" w:cs="Times New Roman"/>
                <w:sz w:val="20"/>
                <w:szCs w:val="20"/>
              </w:rPr>
              <w:t>15,1</w:t>
            </w:r>
          </w:p>
        </w:tc>
        <w:tc>
          <w:tcPr>
            <w:tcW w:w="680" w:type="dxa"/>
            <w:vAlign w:val="center"/>
          </w:tcPr>
          <w:p w14:paraId="6520821D" w14:textId="097DDC82"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21,3</w:t>
            </w:r>
          </w:p>
        </w:tc>
        <w:tc>
          <w:tcPr>
            <w:tcW w:w="680" w:type="dxa"/>
            <w:vAlign w:val="center"/>
          </w:tcPr>
          <w:p w14:paraId="2B2C7B10" w14:textId="242827EA"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-41,0</w:t>
            </w:r>
          </w:p>
        </w:tc>
        <w:tc>
          <w:tcPr>
            <w:tcW w:w="680" w:type="dxa"/>
            <w:vAlign w:val="center"/>
          </w:tcPr>
          <w:p w14:paraId="6D15DC85" w14:textId="32CD2ADB" w:rsidR="002D5D95" w:rsidRPr="00940337" w:rsidRDefault="002D5D95" w:rsidP="00604AF0">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30,7</w:t>
            </w:r>
          </w:p>
        </w:tc>
        <w:tc>
          <w:tcPr>
            <w:tcW w:w="680" w:type="dxa"/>
            <w:vAlign w:val="center"/>
          </w:tcPr>
          <w:p w14:paraId="4DA287C7" w14:textId="28F66F3A" w:rsidR="002D5D95" w:rsidRPr="008009D1" w:rsidRDefault="002D5D95" w:rsidP="00604AF0">
            <w:pPr>
              <w:autoSpaceDE w:val="0"/>
              <w:autoSpaceDN w:val="0"/>
              <w:adjustRightInd w:val="0"/>
              <w:jc w:val="center"/>
              <w:rPr>
                <w:rFonts w:eastAsia="Times New Roman" w:cs="Times New Roman"/>
                <w:sz w:val="20"/>
                <w:szCs w:val="20"/>
              </w:rPr>
            </w:pPr>
            <w:r w:rsidRPr="008009D1">
              <w:rPr>
                <w:rFonts w:eastAsia="Times New Roman" w:cs="Times New Roman"/>
                <w:sz w:val="20"/>
                <w:szCs w:val="20"/>
              </w:rPr>
              <w:t>8,6</w:t>
            </w:r>
          </w:p>
        </w:tc>
      </w:tr>
    </w:tbl>
    <w:bookmarkEnd w:id="109"/>
    <w:p w14:paraId="48B63240" w14:textId="047111CF" w:rsidR="00FC3626" w:rsidRPr="00883EE7" w:rsidRDefault="01C9DB76" w:rsidP="00940337">
      <w:pPr>
        <w:spacing w:after="0" w:line="240" w:lineRule="auto"/>
        <w:jc w:val="both"/>
        <w:rPr>
          <w:rFonts w:ascii="Times New Roman" w:eastAsia="Times New Roman" w:hAnsi="Times New Roman" w:cs="Times New Roman"/>
          <w:i/>
          <w:iCs/>
          <w:sz w:val="20"/>
          <w:szCs w:val="20"/>
        </w:rPr>
      </w:pPr>
      <w:r w:rsidRPr="469479B5">
        <w:rPr>
          <w:rFonts w:ascii="Times New Roman" w:eastAsia="Times New Roman" w:hAnsi="Times New Roman" w:cs="Times New Roman"/>
          <w:i/>
          <w:iCs/>
          <w:sz w:val="20"/>
          <w:szCs w:val="20"/>
        </w:rPr>
        <w:t xml:space="preserve">* bez AS </w:t>
      </w:r>
      <w:r w:rsidR="00E31135">
        <w:rPr>
          <w:rFonts w:ascii="Times New Roman" w:eastAsia="Times New Roman" w:hAnsi="Times New Roman" w:cs="Times New Roman"/>
          <w:i/>
          <w:iCs/>
          <w:sz w:val="20"/>
          <w:szCs w:val="20"/>
        </w:rPr>
        <w:t>“</w:t>
      </w:r>
      <w:r w:rsidRPr="469479B5">
        <w:rPr>
          <w:rFonts w:ascii="Times New Roman" w:eastAsia="Times New Roman" w:hAnsi="Times New Roman" w:cs="Times New Roman"/>
          <w:i/>
          <w:iCs/>
          <w:sz w:val="20"/>
          <w:szCs w:val="20"/>
        </w:rPr>
        <w:t>Latvenergo” dividenžu daļas, kas neitralizē vienreizējo kompensāciju 51,7 milj. euro apmērā.</w:t>
      </w:r>
    </w:p>
    <w:p w14:paraId="04ACE66E" w14:textId="281AEDB7" w:rsidR="00FC3626" w:rsidRPr="00883EE7" w:rsidRDefault="00FC3626" w:rsidP="469479B5">
      <w:pPr>
        <w:spacing w:after="0" w:line="240" w:lineRule="auto"/>
        <w:jc w:val="both"/>
        <w:rPr>
          <w:highlight w:val="yellow"/>
        </w:rPr>
      </w:pPr>
    </w:p>
    <w:p w14:paraId="28A3AFB3" w14:textId="5976916A" w:rsidR="00261582" w:rsidRPr="00EB0F6B" w:rsidRDefault="607C4984" w:rsidP="469479B5">
      <w:pPr>
        <w:spacing w:after="100" w:afterAutospacing="1" w:line="240" w:lineRule="auto"/>
        <w:ind w:firstLine="720"/>
        <w:jc w:val="both"/>
        <w:rPr>
          <w:rFonts w:ascii="Times New Roman" w:hAnsi="Times New Roman"/>
          <w:sz w:val="24"/>
          <w:szCs w:val="24"/>
        </w:rPr>
      </w:pPr>
      <w:r w:rsidRPr="469479B5">
        <w:rPr>
          <w:rFonts w:ascii="Times New Roman" w:hAnsi="Times New Roman"/>
          <w:sz w:val="24"/>
          <w:szCs w:val="24"/>
        </w:rPr>
        <w:t>2019. un 2020.</w:t>
      </w:r>
      <w:r w:rsidR="49818527" w:rsidRPr="469479B5">
        <w:rPr>
          <w:rFonts w:ascii="Times New Roman" w:hAnsi="Times New Roman" w:cs="Times New Roman"/>
          <w:b/>
          <w:bCs/>
          <w:sz w:val="24"/>
          <w:szCs w:val="24"/>
        </w:rPr>
        <w:t xml:space="preserve"> </w:t>
      </w:r>
      <w:r w:rsidRPr="469479B5">
        <w:rPr>
          <w:rFonts w:ascii="Times New Roman" w:hAnsi="Times New Roman"/>
          <w:sz w:val="24"/>
          <w:szCs w:val="24"/>
        </w:rPr>
        <w:t>gadā novērotais superdividenžu apmērs galvenokārt attiecas uz AS “Latvenergo” valsts budžetā iemaksātajām dividendēm. Savukārt 2021.</w:t>
      </w:r>
      <w:r w:rsidR="56C95F71"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gadā superdividendes 10 milj. </w:t>
      </w:r>
      <w:r w:rsidRPr="469479B5">
        <w:rPr>
          <w:rFonts w:ascii="Times New Roman" w:hAnsi="Times New Roman"/>
          <w:i/>
          <w:iCs/>
          <w:sz w:val="24"/>
          <w:szCs w:val="24"/>
        </w:rPr>
        <w:t>euro</w:t>
      </w:r>
      <w:r w:rsidRPr="469479B5">
        <w:rPr>
          <w:rFonts w:ascii="Times New Roman" w:hAnsi="Times New Roman"/>
          <w:sz w:val="24"/>
          <w:szCs w:val="24"/>
        </w:rPr>
        <w:t xml:space="preserve"> apmērā ir radušās no VAS “Latvijas valsts meži” valsts budžetā iemaksātajiem līdzekļiem, bet 2022.</w:t>
      </w:r>
      <w:r w:rsidR="3DBFE7AD"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gadā attiecīgi 20 milj. </w:t>
      </w:r>
      <w:r w:rsidRPr="469479B5">
        <w:rPr>
          <w:rFonts w:ascii="Times New Roman" w:hAnsi="Times New Roman"/>
          <w:i/>
          <w:iCs/>
          <w:sz w:val="24"/>
          <w:szCs w:val="24"/>
        </w:rPr>
        <w:t>euro</w:t>
      </w:r>
      <w:r w:rsidRPr="469479B5">
        <w:rPr>
          <w:rFonts w:ascii="Times New Roman" w:hAnsi="Times New Roman"/>
          <w:sz w:val="24"/>
          <w:szCs w:val="24"/>
        </w:rPr>
        <w:t xml:space="preserve"> saistās ar AS “Augstsprieguma tīkls” dividenžu maksājumu</w:t>
      </w:r>
      <w:r w:rsidR="0A9CF673" w:rsidRPr="469479B5">
        <w:rPr>
          <w:rFonts w:ascii="Times New Roman" w:hAnsi="Times New Roman"/>
          <w:sz w:val="24"/>
          <w:szCs w:val="24"/>
        </w:rPr>
        <w:t>.</w:t>
      </w:r>
      <w:r w:rsidRPr="469479B5">
        <w:rPr>
          <w:rFonts w:ascii="Times New Roman" w:hAnsi="Times New Roman"/>
          <w:sz w:val="24"/>
          <w:szCs w:val="24"/>
        </w:rPr>
        <w:t xml:space="preserve"> Ņemot vērā pēdējo gadu tendences, nav iespējams izslēgt turpmāku superdividenžu riska iestāšanos. Tomēr, analizējot lielāko uzņēmumu pēc valsts budžetā iemaksājamo dividenžu apmēra operatīvās darbības pārskatus, prognozējams, ka superdividenžu un attiecīgi budžeta ietvarā plānoto ieņēmumu no dividendēm neizpilde ir zema</w:t>
      </w:r>
      <w:r w:rsidR="79949D4C" w:rsidRPr="469479B5">
        <w:rPr>
          <w:rFonts w:ascii="Times New Roman" w:hAnsi="Times New Roman"/>
          <w:sz w:val="24"/>
          <w:szCs w:val="24"/>
        </w:rPr>
        <w:t>.</w:t>
      </w:r>
      <w:r w:rsidRPr="469479B5">
        <w:rPr>
          <w:rFonts w:ascii="Times New Roman" w:hAnsi="Times New Roman"/>
          <w:sz w:val="24"/>
          <w:szCs w:val="24"/>
        </w:rPr>
        <w:t xml:space="preserve"> Ievērojot, ka vidējā gada fiskālā ietekme, kas ir radusies no iepriekšējo gadu budžeta ieņēmumu pozīcijas neizpildes</w:t>
      </w:r>
      <w:r w:rsidR="79949D4C" w:rsidRPr="469479B5">
        <w:rPr>
          <w:rFonts w:ascii="Times New Roman" w:hAnsi="Times New Roman"/>
          <w:sz w:val="24"/>
          <w:szCs w:val="24"/>
        </w:rPr>
        <w:t xml:space="preserve"> laika rindā no </w:t>
      </w:r>
      <w:r w:rsidR="25F81A9D" w:rsidRPr="469479B5">
        <w:rPr>
          <w:rFonts w:ascii="Times New Roman" w:hAnsi="Times New Roman"/>
          <w:sz w:val="24"/>
          <w:szCs w:val="24"/>
        </w:rPr>
        <w:t>201</w:t>
      </w:r>
      <w:r w:rsidR="002D5D95">
        <w:rPr>
          <w:rFonts w:ascii="Times New Roman" w:hAnsi="Times New Roman"/>
          <w:sz w:val="24"/>
          <w:szCs w:val="24"/>
        </w:rPr>
        <w:t>6</w:t>
      </w:r>
      <w:r w:rsidR="25F81A9D" w:rsidRPr="469479B5">
        <w:rPr>
          <w:rFonts w:ascii="Times New Roman" w:hAnsi="Times New Roman"/>
          <w:sz w:val="24"/>
          <w:szCs w:val="24"/>
        </w:rPr>
        <w:t>.</w:t>
      </w:r>
      <w:r w:rsidR="70E3533A" w:rsidRPr="469479B5">
        <w:rPr>
          <w:rFonts w:ascii="Times New Roman" w:hAnsi="Times New Roman" w:cs="Times New Roman"/>
          <w:b/>
          <w:bCs/>
          <w:sz w:val="24"/>
          <w:szCs w:val="24"/>
        </w:rPr>
        <w:t xml:space="preserve"> </w:t>
      </w:r>
      <w:r w:rsidR="25F81A9D" w:rsidRPr="469479B5">
        <w:rPr>
          <w:rFonts w:ascii="Times New Roman" w:hAnsi="Times New Roman"/>
          <w:sz w:val="24"/>
          <w:szCs w:val="24"/>
        </w:rPr>
        <w:t>gada līdz 202</w:t>
      </w:r>
      <w:r w:rsidR="002D5D95">
        <w:rPr>
          <w:rFonts w:ascii="Times New Roman" w:hAnsi="Times New Roman"/>
          <w:sz w:val="24"/>
          <w:szCs w:val="24"/>
        </w:rPr>
        <w:t>4</w:t>
      </w:r>
      <w:r w:rsidR="25F81A9D" w:rsidRPr="469479B5">
        <w:rPr>
          <w:rFonts w:ascii="Times New Roman" w:hAnsi="Times New Roman"/>
          <w:sz w:val="24"/>
          <w:szCs w:val="24"/>
        </w:rPr>
        <w:t>.</w:t>
      </w:r>
      <w:r w:rsidR="26A3A742" w:rsidRPr="469479B5">
        <w:rPr>
          <w:rFonts w:ascii="Times New Roman" w:hAnsi="Times New Roman" w:cs="Times New Roman"/>
          <w:b/>
          <w:bCs/>
          <w:sz w:val="24"/>
          <w:szCs w:val="24"/>
        </w:rPr>
        <w:t xml:space="preserve"> </w:t>
      </w:r>
      <w:r w:rsidR="25F81A9D" w:rsidRPr="469479B5">
        <w:rPr>
          <w:rFonts w:ascii="Times New Roman" w:hAnsi="Times New Roman"/>
          <w:sz w:val="24"/>
          <w:szCs w:val="24"/>
        </w:rPr>
        <w:t xml:space="preserve">gadam veido </w:t>
      </w:r>
      <w:r w:rsidR="008A184F" w:rsidRPr="00ED1EE3">
        <w:rPr>
          <w:rFonts w:ascii="Times New Roman" w:hAnsi="Times New Roman"/>
          <w:sz w:val="24"/>
          <w:szCs w:val="24"/>
        </w:rPr>
        <w:t>2</w:t>
      </w:r>
      <w:r w:rsidR="25F81A9D" w:rsidRPr="469479B5">
        <w:rPr>
          <w:rFonts w:ascii="Times New Roman" w:hAnsi="Times New Roman"/>
          <w:i/>
          <w:iCs/>
          <w:sz w:val="24"/>
          <w:szCs w:val="24"/>
        </w:rPr>
        <w:t xml:space="preserve"> </w:t>
      </w:r>
      <w:r w:rsidR="25F81A9D" w:rsidRPr="469479B5">
        <w:rPr>
          <w:rFonts w:ascii="Times New Roman" w:hAnsi="Times New Roman"/>
          <w:sz w:val="24"/>
          <w:szCs w:val="24"/>
        </w:rPr>
        <w:t>milj.</w:t>
      </w:r>
      <w:r w:rsidR="25F81A9D" w:rsidRPr="469479B5">
        <w:rPr>
          <w:rFonts w:ascii="Times New Roman" w:hAnsi="Times New Roman"/>
          <w:i/>
          <w:iCs/>
          <w:sz w:val="24"/>
          <w:szCs w:val="24"/>
        </w:rPr>
        <w:t xml:space="preserve"> euro </w:t>
      </w:r>
      <w:r w:rsidR="25F81A9D" w:rsidRPr="469479B5">
        <w:rPr>
          <w:rFonts w:ascii="Times New Roman" w:hAnsi="Times New Roman"/>
          <w:sz w:val="24"/>
          <w:szCs w:val="24"/>
        </w:rPr>
        <w:t>(</w:t>
      </w:r>
      <w:r w:rsidR="026DE93B" w:rsidRPr="469479B5">
        <w:rPr>
          <w:rFonts w:ascii="Times New Roman" w:hAnsi="Times New Roman"/>
          <w:sz w:val="24"/>
          <w:szCs w:val="24"/>
        </w:rPr>
        <w:t>pozitīva</w:t>
      </w:r>
      <w:r w:rsidR="25F81A9D" w:rsidRPr="469479B5">
        <w:rPr>
          <w:rFonts w:ascii="Times New Roman" w:hAnsi="Times New Roman"/>
          <w:sz w:val="24"/>
          <w:szCs w:val="24"/>
        </w:rPr>
        <w:t xml:space="preserve"> ietekme, izpilde </w:t>
      </w:r>
      <w:r w:rsidR="052CE74A" w:rsidRPr="469479B5">
        <w:rPr>
          <w:rFonts w:ascii="Times New Roman" w:hAnsi="Times New Roman"/>
          <w:sz w:val="24"/>
          <w:szCs w:val="24"/>
        </w:rPr>
        <w:t>pār</w:t>
      </w:r>
      <w:r w:rsidR="25F81A9D" w:rsidRPr="469479B5">
        <w:rPr>
          <w:rFonts w:ascii="Times New Roman" w:hAnsi="Times New Roman"/>
          <w:sz w:val="24"/>
          <w:szCs w:val="24"/>
        </w:rPr>
        <w:t>sniedz plānoto)</w:t>
      </w:r>
      <w:r w:rsidR="25F81A9D" w:rsidRPr="469479B5">
        <w:rPr>
          <w:rFonts w:ascii="Times New Roman" w:hAnsi="Times New Roman"/>
          <w:i/>
          <w:iCs/>
          <w:sz w:val="24"/>
          <w:szCs w:val="24"/>
        </w:rPr>
        <w:t xml:space="preserve">, </w:t>
      </w:r>
      <w:r w:rsidR="47FFF913" w:rsidRPr="469479B5">
        <w:rPr>
          <w:rFonts w:ascii="Times New Roman" w:hAnsi="Times New Roman"/>
          <w:sz w:val="24"/>
          <w:szCs w:val="24"/>
        </w:rPr>
        <w:t xml:space="preserve">attiecīgi </w:t>
      </w:r>
      <w:r w:rsidR="47FFF913" w:rsidRPr="469479B5">
        <w:rPr>
          <w:rFonts w:ascii="Times New Roman" w:hAnsi="Times New Roman"/>
          <w:b/>
          <w:bCs/>
          <w:sz w:val="24"/>
          <w:szCs w:val="24"/>
        </w:rPr>
        <w:t>fiskālo nodrošinājuma rezervi veidot nav nepieciešams.</w:t>
      </w:r>
      <w:r w:rsidR="7BA6046D" w:rsidRPr="469479B5">
        <w:rPr>
          <w:rFonts w:ascii="Times New Roman" w:hAnsi="Times New Roman"/>
          <w:b/>
          <w:bCs/>
          <w:sz w:val="24"/>
          <w:szCs w:val="24"/>
        </w:rPr>
        <w:t xml:space="preserve"> </w:t>
      </w:r>
      <w:bookmarkStart w:id="111" w:name="_Hlk172714374"/>
    </w:p>
    <w:p w14:paraId="669D7CB3" w14:textId="2D273315" w:rsidR="00261582" w:rsidRPr="00980D91" w:rsidRDefault="00261582" w:rsidP="0058124B">
      <w:pPr>
        <w:pStyle w:val="Heading2"/>
        <w:numPr>
          <w:ilvl w:val="1"/>
          <w:numId w:val="4"/>
        </w:numPr>
        <w:spacing w:before="120" w:after="120" w:line="240" w:lineRule="auto"/>
        <w:ind w:left="0" w:firstLine="0"/>
        <w:rPr>
          <w:rFonts w:cs="Times New Roman"/>
          <w:bCs w:val="0"/>
          <w:szCs w:val="24"/>
        </w:rPr>
      </w:pPr>
      <w:bookmarkStart w:id="112" w:name="_Toc205554424"/>
      <w:bookmarkEnd w:id="110"/>
      <w:r w:rsidRPr="00980D91">
        <w:rPr>
          <w:rFonts w:cs="Times New Roman"/>
          <w:bCs w:val="0"/>
          <w:szCs w:val="24"/>
        </w:rPr>
        <w:t>Publiskās un privātās partnerības (t.sk. koncesijas) projekti</w:t>
      </w:r>
      <w:bookmarkEnd w:id="112"/>
    </w:p>
    <w:p w14:paraId="42C5C4B5" w14:textId="6678433E" w:rsidR="00261582" w:rsidRPr="00394CFC" w:rsidRDefault="00261582" w:rsidP="00261582">
      <w:pPr>
        <w:spacing w:after="0" w:line="240" w:lineRule="auto"/>
        <w:jc w:val="both"/>
        <w:rPr>
          <w:rFonts w:ascii="Times New Roman" w:eastAsiaTheme="minorHAnsi" w:hAnsi="Times New Roman" w:cs="Times New Roman"/>
          <w:sz w:val="24"/>
          <w:szCs w:val="20"/>
        </w:rPr>
      </w:pPr>
      <w:r w:rsidRPr="008E3520">
        <w:rPr>
          <w:rFonts w:ascii="Times New Roman" w:eastAsiaTheme="minorHAnsi" w:hAnsi="Times New Roman"/>
          <w:sz w:val="24"/>
        </w:rPr>
        <w:tab/>
      </w:r>
      <w:r w:rsidRPr="00394CFC">
        <w:rPr>
          <w:rFonts w:ascii="Times New Roman" w:eastAsiaTheme="minorHAnsi" w:hAnsi="Times New Roman"/>
          <w:sz w:val="24"/>
        </w:rPr>
        <w:t xml:space="preserve">PPP ir sadarbības forma starp publisko un privāto sektoru, ar mērķi īstenot nozīmīgus un izmaksu ziņā apjomīgus ekonomiskās un sociālās infrastruktūras projektus. Publiskā partnera ieinteresētību šādas sadarbības formas īstenošanā pamatā balstās uz to, ka privātais partneris varētu sniegt pakalpojumus iedzīvotājiem efektīvāk kā to darītu publiskais partneris, kā arī tas, ka publiskā partnera budžeta izdevumu apmērs tiek sadalīts visā projekta īstenošanas laikā (ne tikai kapitālieguldījumu veikšanas laikā), ļaujot izvairīties no būtiskas ietekmes uz budžetu atsevišķos gados. Lielāko daļu </w:t>
      </w:r>
      <w:r w:rsidRPr="00394CFC">
        <w:rPr>
          <w:rFonts w:ascii="Times New Roman" w:eastAsiaTheme="minorHAnsi" w:hAnsi="Times New Roman" w:cs="Times New Roman"/>
          <w:sz w:val="24"/>
          <w:szCs w:val="20"/>
        </w:rPr>
        <w:t>risku un ieguvumu partnerības iepirkuma projektā jāuzņemas privātajam partnerim. Šādi paši principi ir attiecināmi arī uz koncesijas projektiem, bet atšķirībā no partnerības iepirkumu projektiem, kur lielāko daļu no privātā partnera ieņēmumiem veido vispārējās valdības sektora maksājumi par pakalpojumiem, koncesijas gadījumā lielākā daļa ieņēmumu tiek gūta no galalietotājiem (t.i. mājsaimniecībām, uzņēmumiem u.c.).</w:t>
      </w:r>
    </w:p>
    <w:p w14:paraId="381819E3" w14:textId="459A7643" w:rsidR="00261582" w:rsidRPr="00394CFC" w:rsidRDefault="00261582" w:rsidP="00261582">
      <w:pPr>
        <w:spacing w:after="0" w:line="240" w:lineRule="auto"/>
        <w:ind w:firstLine="720"/>
        <w:jc w:val="both"/>
        <w:rPr>
          <w:rFonts w:ascii="Times New Roman" w:eastAsiaTheme="minorHAnsi" w:hAnsi="Times New Roman" w:cs="Times New Roman"/>
          <w:sz w:val="24"/>
          <w:szCs w:val="20"/>
        </w:rPr>
      </w:pPr>
      <w:r w:rsidRPr="00394CFC">
        <w:rPr>
          <w:rFonts w:ascii="Times New Roman" w:eastAsiaTheme="minorHAnsi" w:hAnsi="Times New Roman" w:cs="Times New Roman"/>
          <w:sz w:val="24"/>
          <w:szCs w:val="20"/>
        </w:rPr>
        <w:t>EKS metodoloģijā, atbilstoši kurai tiek koriģēti arī Latvijas valsts konsolidētā kopbudžeta radītāji, no statistiskās klasifikācijas aspekta katra PPP (t.sk. koncesijas) projekta gadījumā ir svarīgi noskaidrot, kura partnera – publiskā vai privātā – aktīvu bilancē tiks uzskaitīts konkrētais projekts. Ja atbilstoši risku un ieguvumu sadales analīzei tiek novērtēts, ka projekta aktīvi ir jāuzskaita privātā partnera aktīvu bilancē, tad saglabājās partnerības modeļa pamatprincips, kas ļauj sadalīt vispārējās valdības budžeta izdevumus pakāpeniski projekta īstenošanas laika periodā – attiecīgi ikgadējo maksājumu apmērā, ko publiskais partneris maksā privātajam partnerim par sniegtajiem pakalpojumiem (koncesijas gadījumā var tikt paredzēts, ka visi ieņēmumi tiek saņemti no galalietotājiem un tādējādi publiskā partnera maksājumi netiek paredzēti). Savukārt, ja atbilstoši EKS metodoloģiskajam novērtējumam aktīvus ir nepieciešams uzskaitīt publiskā partnera bilancē, tad situācija būtiski mainās, jo šajā gadījumā salīdzinoši nelielā laika posmā, parasti projekta būvniecības gados, tiks koncentrēts viss ieguldīto kapitālo investīciju fiskālās ietekmes apmērs.</w:t>
      </w:r>
    </w:p>
    <w:p w14:paraId="0FA5F3E8" w14:textId="51B7B417" w:rsidR="00261582" w:rsidRPr="00394CFC" w:rsidRDefault="00261582" w:rsidP="00E45C3F">
      <w:pPr>
        <w:spacing w:after="0" w:line="240" w:lineRule="auto"/>
        <w:ind w:firstLine="709"/>
        <w:jc w:val="both"/>
        <w:rPr>
          <w:rFonts w:ascii="Times New Roman" w:eastAsiaTheme="minorHAnsi" w:hAnsi="Times New Roman" w:cs="Times New Roman"/>
          <w:sz w:val="24"/>
          <w:szCs w:val="20"/>
        </w:rPr>
      </w:pPr>
      <w:r w:rsidRPr="00394CFC">
        <w:rPr>
          <w:rFonts w:ascii="Times New Roman" w:eastAsiaTheme="minorHAnsi" w:hAnsi="Times New Roman" w:cs="Times New Roman"/>
          <w:sz w:val="24"/>
          <w:szCs w:val="20"/>
        </w:rPr>
        <w:t>Līdz ar to fiskālais risks šādas sadarbības formas gadījumā var īstenoties situācijā, ja atbilstoši EKS metodoloģijai privātais partneris vairs neuzņemas lielāko daļu ar projekta īstenošanu saistītos riskus (t.i. būvniecības, pieejamības un pieprasījuma riskus, kā arī riskus, kas saistīti ar finansēšanu vai iespējamo galvojumu izsniegšanu u.c.) vai arī negūst ar projekta īstenošanu saistītus ieguvumus, nespēj pildīt iepriekš uzņemtās saistības politisko vai ekonomisko apstākļu dēļ, kā arī maksātnespējas gadījumā</w:t>
      </w:r>
      <w:r w:rsidRPr="00394CFC">
        <w:rPr>
          <w:rFonts w:ascii="Times New Roman" w:eastAsiaTheme="minorHAnsi" w:hAnsi="Times New Roman" w:cs="Times New Roman"/>
          <w:i/>
          <w:sz w:val="24"/>
          <w:szCs w:val="20"/>
        </w:rPr>
        <w:t>.</w:t>
      </w:r>
      <w:r w:rsidRPr="00394CFC">
        <w:rPr>
          <w:rFonts w:ascii="Times New Roman" w:eastAsiaTheme="minorHAnsi" w:hAnsi="Times New Roman" w:cs="Times New Roman"/>
          <w:sz w:val="24"/>
          <w:szCs w:val="20"/>
        </w:rPr>
        <w:t xml:space="preserve"> Šajā gadījumā projekta izmaksas var tikt attiecinātas uz vispārējās valdības sektoru, tādējādi būtiski pasliktinot iepriekš plānoto vispārējās valdības budžeta bilanci un parādu.</w:t>
      </w:r>
    </w:p>
    <w:p w14:paraId="0C5D12FB" w14:textId="2DF9A050" w:rsidR="00950A95" w:rsidRDefault="3F990138"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Publiskās un privātās partnerības likums</w:t>
      </w:r>
      <w:r w:rsidR="3B3AB808" w:rsidRPr="469479B5">
        <w:rPr>
          <w:rFonts w:ascii="Times New Roman" w:hAnsi="Times New Roman" w:cs="Times New Roman"/>
          <w:sz w:val="24"/>
          <w:szCs w:val="24"/>
        </w:rPr>
        <w:t>, kas stājās spēkā 2009.</w:t>
      </w:r>
      <w:r w:rsidR="5BA15CFE" w:rsidRPr="469479B5">
        <w:rPr>
          <w:rFonts w:ascii="Times New Roman" w:hAnsi="Times New Roman" w:cs="Times New Roman"/>
          <w:b/>
          <w:bCs/>
          <w:sz w:val="24"/>
          <w:szCs w:val="24"/>
        </w:rPr>
        <w:t xml:space="preserve"> </w:t>
      </w:r>
      <w:r w:rsidR="3B3AB808" w:rsidRPr="469479B5">
        <w:rPr>
          <w:rFonts w:ascii="Times New Roman" w:hAnsi="Times New Roman" w:cs="Times New Roman"/>
          <w:sz w:val="24"/>
          <w:szCs w:val="24"/>
        </w:rPr>
        <w:t>gada 1.</w:t>
      </w:r>
      <w:r w:rsidR="6617E5C7" w:rsidRPr="469479B5">
        <w:rPr>
          <w:rFonts w:ascii="Times New Roman" w:hAnsi="Times New Roman" w:cs="Times New Roman"/>
          <w:b/>
          <w:bCs/>
          <w:sz w:val="24"/>
          <w:szCs w:val="24"/>
        </w:rPr>
        <w:t xml:space="preserve"> </w:t>
      </w:r>
      <w:r w:rsidR="3B3AB808" w:rsidRPr="469479B5">
        <w:rPr>
          <w:rFonts w:ascii="Times New Roman" w:hAnsi="Times New Roman" w:cs="Times New Roman"/>
          <w:sz w:val="24"/>
          <w:szCs w:val="24"/>
        </w:rPr>
        <w:t>oktobrī</w:t>
      </w:r>
      <w:r w:rsidR="00D42975">
        <w:rPr>
          <w:rFonts w:ascii="Times New Roman" w:hAnsi="Times New Roman" w:cs="Times New Roman"/>
          <w:sz w:val="24"/>
          <w:szCs w:val="24"/>
        </w:rPr>
        <w:t>,</w:t>
      </w:r>
      <w:r w:rsidR="006D2FBF">
        <w:rPr>
          <w:rFonts w:ascii="Times New Roman" w:hAnsi="Times New Roman" w:cs="Times New Roman"/>
          <w:sz w:val="24"/>
          <w:szCs w:val="24"/>
        </w:rPr>
        <w:t xml:space="preserve"> nosaka PPP procesa pamatprincipus</w:t>
      </w:r>
      <w:r w:rsidR="3B3AB808" w:rsidRPr="469479B5">
        <w:rPr>
          <w:rFonts w:ascii="Times New Roman" w:hAnsi="Times New Roman" w:cs="Times New Roman"/>
          <w:sz w:val="24"/>
          <w:szCs w:val="24"/>
        </w:rPr>
        <w:t xml:space="preserve">. </w:t>
      </w:r>
      <w:r w:rsidRPr="469479B5">
        <w:rPr>
          <w:rFonts w:ascii="Times New Roman" w:hAnsi="Times New Roman" w:cs="Times New Roman"/>
          <w:sz w:val="24"/>
          <w:szCs w:val="24"/>
        </w:rPr>
        <w:t>Šī likuma svarīgs elements ir sākotnējā risku vadība, jo tiek izvērtēti projektu finanšu un ekonomiskie aprēķini</w:t>
      </w:r>
      <w:r w:rsidR="009F32DC">
        <w:rPr>
          <w:rFonts w:ascii="Times New Roman" w:hAnsi="Times New Roman" w:cs="Times New Roman"/>
          <w:sz w:val="24"/>
          <w:szCs w:val="24"/>
        </w:rPr>
        <w:t xml:space="preserve"> (</w:t>
      </w:r>
      <w:r w:rsidR="00C50C22">
        <w:rPr>
          <w:rFonts w:ascii="Times New Roman" w:hAnsi="Times New Roman" w:cs="Times New Roman"/>
          <w:sz w:val="24"/>
          <w:szCs w:val="24"/>
        </w:rPr>
        <w:t xml:space="preserve">turpmāk </w:t>
      </w:r>
      <w:r w:rsidR="0027032B" w:rsidRPr="00394CFC">
        <w:rPr>
          <w:rFonts w:ascii="Times New Roman" w:eastAsiaTheme="minorHAnsi" w:hAnsi="Times New Roman" w:cs="Times New Roman"/>
          <w:sz w:val="24"/>
          <w:szCs w:val="20"/>
        </w:rPr>
        <w:t>–</w:t>
      </w:r>
      <w:r w:rsidR="00C50C22">
        <w:rPr>
          <w:rFonts w:ascii="Times New Roman" w:hAnsi="Times New Roman" w:cs="Times New Roman"/>
          <w:sz w:val="24"/>
          <w:szCs w:val="24"/>
        </w:rPr>
        <w:t xml:space="preserve"> </w:t>
      </w:r>
      <w:r w:rsidR="009F32DC">
        <w:rPr>
          <w:rFonts w:ascii="Times New Roman" w:hAnsi="Times New Roman" w:cs="Times New Roman"/>
          <w:sz w:val="24"/>
          <w:szCs w:val="24"/>
        </w:rPr>
        <w:t>FEA)</w:t>
      </w:r>
      <w:r w:rsidRPr="469479B5">
        <w:rPr>
          <w:rFonts w:ascii="Times New Roman" w:hAnsi="Times New Roman" w:cs="Times New Roman"/>
          <w:sz w:val="24"/>
          <w:szCs w:val="24"/>
        </w:rPr>
        <w:t>, kas tiek saskaņoti ar atbildīgajām iestādēm.</w:t>
      </w:r>
      <w:r w:rsidR="009F32DC" w:rsidRPr="009F32DC">
        <w:rPr>
          <w:rFonts w:ascii="Times New Roman" w:hAnsi="Times New Roman" w:cs="Times New Roman"/>
          <w:sz w:val="24"/>
          <w:szCs w:val="24"/>
        </w:rPr>
        <w:t xml:space="preserve"> </w:t>
      </w:r>
      <w:r w:rsidR="005E5E09">
        <w:rPr>
          <w:rFonts w:ascii="Times New Roman" w:hAnsi="Times New Roman" w:cs="Times New Roman"/>
          <w:sz w:val="24"/>
          <w:szCs w:val="24"/>
        </w:rPr>
        <w:t xml:space="preserve">Uzraudzības institūcija sniedz atzinumu par FEA </w:t>
      </w:r>
      <w:r w:rsidR="005E5E09" w:rsidRPr="005E5E09">
        <w:rPr>
          <w:rFonts w:ascii="Times New Roman" w:hAnsi="Times New Roman" w:cs="Times New Roman"/>
          <w:sz w:val="24"/>
          <w:szCs w:val="24"/>
        </w:rPr>
        <w:t xml:space="preserve">iekļautajiem pieņēmumiem un risku sadali starp publisko partneri un privāto partneri </w:t>
      </w:r>
      <w:r w:rsidR="00704FDD">
        <w:rPr>
          <w:rFonts w:ascii="Times New Roman" w:hAnsi="Times New Roman" w:cs="Times New Roman"/>
          <w:sz w:val="24"/>
          <w:szCs w:val="24"/>
        </w:rPr>
        <w:t>PPP</w:t>
      </w:r>
      <w:r w:rsidR="005E5E09" w:rsidRPr="005E5E09">
        <w:rPr>
          <w:rFonts w:ascii="Times New Roman" w:hAnsi="Times New Roman" w:cs="Times New Roman"/>
          <w:sz w:val="24"/>
          <w:szCs w:val="24"/>
        </w:rPr>
        <w:t xml:space="preserve"> līgumā</w:t>
      </w:r>
      <w:r w:rsidR="00C94993">
        <w:rPr>
          <w:rFonts w:ascii="Times New Roman" w:hAnsi="Times New Roman" w:cs="Times New Roman"/>
          <w:sz w:val="24"/>
          <w:szCs w:val="24"/>
        </w:rPr>
        <w:t xml:space="preserve">, </w:t>
      </w:r>
      <w:r w:rsidR="00E801C5">
        <w:rPr>
          <w:rFonts w:ascii="Times New Roman" w:hAnsi="Times New Roman" w:cs="Times New Roman"/>
          <w:sz w:val="24"/>
          <w:szCs w:val="24"/>
        </w:rPr>
        <w:t xml:space="preserve">savukārt </w:t>
      </w:r>
      <w:r w:rsidR="00FE1798">
        <w:rPr>
          <w:rFonts w:ascii="Times New Roman" w:hAnsi="Times New Roman" w:cs="Times New Roman"/>
          <w:sz w:val="24"/>
          <w:szCs w:val="24"/>
        </w:rPr>
        <w:t>FM</w:t>
      </w:r>
      <w:r w:rsidR="00C94993">
        <w:rPr>
          <w:rFonts w:ascii="Times New Roman" w:hAnsi="Times New Roman" w:cs="Times New Roman"/>
          <w:sz w:val="24"/>
          <w:szCs w:val="24"/>
        </w:rPr>
        <w:t xml:space="preserve"> par </w:t>
      </w:r>
      <w:r w:rsidR="00C94993" w:rsidRPr="00C94993">
        <w:rPr>
          <w:rFonts w:ascii="Times New Roman" w:hAnsi="Times New Roman" w:cs="Times New Roman"/>
          <w:sz w:val="24"/>
          <w:szCs w:val="24"/>
        </w:rPr>
        <w:t>paredzamo ietekmi uz valsts budžeta ilgtermiņa saistību apjomu un vispārējās valdības sektora budžeta bilanci un parādu</w:t>
      </w:r>
      <w:r w:rsidR="00C94993">
        <w:rPr>
          <w:rFonts w:ascii="Times New Roman" w:hAnsi="Times New Roman" w:cs="Times New Roman"/>
          <w:sz w:val="24"/>
          <w:szCs w:val="24"/>
        </w:rPr>
        <w:t>.</w:t>
      </w:r>
      <w:r w:rsidRPr="469479B5">
        <w:rPr>
          <w:rFonts w:ascii="Times New Roman" w:hAnsi="Times New Roman" w:cs="Times New Roman"/>
          <w:sz w:val="24"/>
          <w:szCs w:val="24"/>
        </w:rPr>
        <w:t xml:space="preserve"> Vienlaikus uz </w:t>
      </w:r>
      <w:r w:rsidR="003653B1">
        <w:rPr>
          <w:rFonts w:ascii="Times New Roman" w:hAnsi="Times New Roman" w:cs="Times New Roman"/>
          <w:sz w:val="24"/>
          <w:szCs w:val="24"/>
        </w:rPr>
        <w:t>minētā</w:t>
      </w:r>
      <w:r w:rsidRPr="469479B5">
        <w:rPr>
          <w:rFonts w:ascii="Times New Roman" w:hAnsi="Times New Roman" w:cs="Times New Roman"/>
          <w:sz w:val="24"/>
          <w:szCs w:val="24"/>
        </w:rPr>
        <w:t xml:space="preserve"> likuma pamata tika izstrādāti MK 2009.</w:t>
      </w:r>
      <w:r w:rsidR="643F596D"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20.</w:t>
      </w:r>
      <w:r w:rsidR="0B628DBC"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oktobra noteikumi Nr.1216 </w:t>
      </w:r>
      <w:r w:rsidR="006F338E">
        <w:rPr>
          <w:rFonts w:ascii="Times New Roman" w:hAnsi="Times New Roman" w:cs="Times New Roman"/>
          <w:sz w:val="24"/>
          <w:szCs w:val="24"/>
        </w:rPr>
        <w:t>“</w:t>
      </w:r>
      <w:r w:rsidRPr="469479B5">
        <w:rPr>
          <w:rFonts w:ascii="Times New Roman" w:hAnsi="Times New Roman" w:cs="Times New Roman"/>
          <w:sz w:val="24"/>
          <w:szCs w:val="24"/>
        </w:rPr>
        <w:t>Noteikumi par uzraudzības institūcijas darbību un publiskā partnera vai tā pārstāvja līguma izpildes pārskata sniegšanu”</w:t>
      </w:r>
      <w:r w:rsidR="00C50C22">
        <w:rPr>
          <w:rFonts w:ascii="Times New Roman" w:hAnsi="Times New Roman" w:cs="Times New Roman"/>
          <w:sz w:val="24"/>
          <w:szCs w:val="24"/>
        </w:rPr>
        <w:t xml:space="preserve"> </w:t>
      </w:r>
      <w:r w:rsidR="00C50C22" w:rsidRPr="469479B5">
        <w:rPr>
          <w:rFonts w:ascii="Times New Roman" w:hAnsi="Times New Roman" w:cs="Times New Roman"/>
          <w:color w:val="000000" w:themeColor="text1"/>
          <w:sz w:val="24"/>
          <w:szCs w:val="24"/>
        </w:rPr>
        <w:t xml:space="preserve">(turpmāk – </w:t>
      </w:r>
      <w:r w:rsidR="00C50C22">
        <w:rPr>
          <w:rFonts w:ascii="Times New Roman" w:hAnsi="Times New Roman" w:cs="Times New Roman"/>
          <w:color w:val="000000" w:themeColor="text1"/>
          <w:sz w:val="24"/>
          <w:szCs w:val="24"/>
        </w:rPr>
        <w:t xml:space="preserve">MK </w:t>
      </w:r>
      <w:r w:rsidR="00C50C22" w:rsidRPr="469479B5">
        <w:rPr>
          <w:rFonts w:ascii="Times New Roman" w:hAnsi="Times New Roman" w:cs="Times New Roman"/>
          <w:sz w:val="24"/>
          <w:szCs w:val="24"/>
        </w:rPr>
        <w:t>noteikumi Nr.</w:t>
      </w:r>
      <w:r w:rsidR="00C50C22">
        <w:rPr>
          <w:rFonts w:ascii="Times New Roman" w:hAnsi="Times New Roman" w:cs="Times New Roman"/>
          <w:sz w:val="24"/>
          <w:szCs w:val="24"/>
        </w:rPr>
        <w:t>1216</w:t>
      </w:r>
      <w:r w:rsidR="00C50C22" w:rsidRPr="469479B5">
        <w:rPr>
          <w:rFonts w:ascii="Times New Roman" w:hAnsi="Times New Roman" w:cs="Times New Roman"/>
          <w:sz w:val="24"/>
          <w:szCs w:val="24"/>
        </w:rPr>
        <w:t>)</w:t>
      </w:r>
      <w:r w:rsidRPr="469479B5">
        <w:rPr>
          <w:rFonts w:ascii="Times New Roman" w:hAnsi="Times New Roman" w:cs="Times New Roman"/>
          <w:sz w:val="24"/>
          <w:szCs w:val="24"/>
        </w:rPr>
        <w:t>, kas nosaka, ka</w:t>
      </w:r>
      <w:r w:rsidR="00950A95">
        <w:rPr>
          <w:rFonts w:ascii="Times New Roman" w:hAnsi="Times New Roman" w:cs="Times New Roman"/>
          <w:sz w:val="24"/>
          <w:szCs w:val="24"/>
        </w:rPr>
        <w:t>:</w:t>
      </w:r>
    </w:p>
    <w:p w14:paraId="4E623760" w14:textId="088B6C45" w:rsidR="00950A95" w:rsidRPr="00950A95" w:rsidRDefault="00950A95" w:rsidP="000D2274">
      <w:pPr>
        <w:pStyle w:val="ListParagraph"/>
        <w:numPr>
          <w:ilvl w:val="0"/>
          <w:numId w:val="36"/>
        </w:numPr>
        <w:rPr>
          <w:rFonts w:ascii="Times New Roman" w:hAnsi="Times New Roman"/>
          <w:sz w:val="24"/>
          <w:szCs w:val="24"/>
          <w:shd w:val="clear" w:color="auto" w:fill="FFFFFF"/>
        </w:rPr>
      </w:pPr>
      <w:r w:rsidRPr="00950A95">
        <w:rPr>
          <w:rFonts w:ascii="Times New Roman" w:hAnsi="Times New Roman"/>
          <w:sz w:val="24"/>
          <w:szCs w:val="24"/>
        </w:rPr>
        <w:t xml:space="preserve">uzraudzības institūcija izvērtē publiskās un privātās partnerības aktīvu uzskaites nosacījumu ievērošanu atbilstoši </w:t>
      </w:r>
      <w:r w:rsidR="00545F7D">
        <w:rPr>
          <w:rFonts w:ascii="Times New Roman" w:hAnsi="Times New Roman"/>
          <w:sz w:val="24"/>
          <w:szCs w:val="24"/>
        </w:rPr>
        <w:t>FM</w:t>
      </w:r>
      <w:r w:rsidRPr="00950A95">
        <w:rPr>
          <w:rFonts w:ascii="Times New Roman" w:hAnsi="Times New Roman"/>
          <w:sz w:val="24"/>
          <w:szCs w:val="24"/>
        </w:rPr>
        <w:t xml:space="preserve"> atzinumā ietvertajiem noteikumiem atti</w:t>
      </w:r>
      <w:r>
        <w:rPr>
          <w:rFonts w:ascii="Times New Roman" w:hAnsi="Times New Roman"/>
          <w:sz w:val="24"/>
          <w:szCs w:val="24"/>
        </w:rPr>
        <w:t>e</w:t>
      </w:r>
      <w:r w:rsidRPr="00950A95">
        <w:rPr>
          <w:rFonts w:ascii="Times New Roman" w:hAnsi="Times New Roman"/>
          <w:sz w:val="24"/>
          <w:szCs w:val="24"/>
        </w:rPr>
        <w:t xml:space="preserve">cīgajos dokumentos, lai PPP līgums neradītu nevēlamu ietekmi uz valsts budžeta ilgtermiņa saistību apjomu un vispārējās valdības sektora budžeta bilanci un parādu, </w:t>
      </w:r>
    </w:p>
    <w:p w14:paraId="5C073B52" w14:textId="0DB0CB45" w:rsidR="00950A95" w:rsidRDefault="3F990138" w:rsidP="000D2274">
      <w:pPr>
        <w:pStyle w:val="ListParagraph"/>
        <w:numPr>
          <w:ilvl w:val="0"/>
          <w:numId w:val="36"/>
        </w:numPr>
        <w:rPr>
          <w:rFonts w:ascii="Times New Roman" w:hAnsi="Times New Roman"/>
          <w:sz w:val="24"/>
          <w:szCs w:val="24"/>
          <w:shd w:val="clear" w:color="auto" w:fill="FFFFFF"/>
        </w:rPr>
      </w:pPr>
      <w:r w:rsidRPr="00950A95">
        <w:rPr>
          <w:rFonts w:ascii="Times New Roman" w:hAnsi="Times New Roman"/>
          <w:sz w:val="24"/>
          <w:szCs w:val="24"/>
        </w:rPr>
        <w:t xml:space="preserve">publiskais partneris vai tā pārstāvis noteiktā termiņā sniedz </w:t>
      </w:r>
      <w:r w:rsidR="00704FDD" w:rsidRPr="00950A95">
        <w:rPr>
          <w:rFonts w:ascii="Times New Roman" w:hAnsi="Times New Roman"/>
          <w:sz w:val="24"/>
          <w:szCs w:val="24"/>
        </w:rPr>
        <w:t>PPP</w:t>
      </w:r>
      <w:r w:rsidRPr="00950A95">
        <w:rPr>
          <w:rFonts w:ascii="Times New Roman" w:hAnsi="Times New Roman"/>
          <w:sz w:val="24"/>
          <w:szCs w:val="24"/>
        </w:rPr>
        <w:t xml:space="preserve"> līguma izpildes pārskatu uzraudzības institūcijai</w:t>
      </w:r>
      <w:r w:rsidR="003653B1" w:rsidRPr="00950A95">
        <w:rPr>
          <w:rFonts w:ascii="Times New Roman" w:hAnsi="Times New Roman"/>
          <w:sz w:val="24"/>
          <w:szCs w:val="24"/>
        </w:rPr>
        <w:t>,</w:t>
      </w:r>
      <w:r w:rsidRPr="00950A95">
        <w:rPr>
          <w:rFonts w:ascii="Times New Roman" w:hAnsi="Times New Roman"/>
          <w:sz w:val="24"/>
          <w:szCs w:val="24"/>
        </w:rPr>
        <w:t xml:space="preserve"> informāciju par projekta ieviešanu, publiskā partnera veiktajiem maksājumiem privātajam partnerim, problēmām projekta ieviešanas laikā. Pēc pārskata saņemšanas uzraudzības institūcija sagatavo atzinumu par konkrēto projektu, izvērtējot veikto būvdarbu vai pakalpojumu atbilstību partnerības iepirkuma un koncesijas līgumam un PPP aktīvu uzskaites nosacījumu ievērošanu, tas ir, vai līgums nerada nevēlamu ietekmi uz vispārējās valdības budžeta bilanci un parādu.</w:t>
      </w:r>
      <w:r w:rsidR="00B34278" w:rsidRPr="00950A95">
        <w:rPr>
          <w:rFonts w:ascii="Times New Roman" w:eastAsia="Times New Roman" w:hAnsi="Times New Roman"/>
          <w:sz w:val="24"/>
          <w:szCs w:val="24"/>
          <w:lang w:eastAsia="lv-LV"/>
        </w:rPr>
        <w:t xml:space="preserve"> </w:t>
      </w:r>
      <w:bookmarkStart w:id="113" w:name="_Hlk199494462"/>
    </w:p>
    <w:p w14:paraId="6F770DBD" w14:textId="47D4D0F0" w:rsidR="00F43C04" w:rsidRPr="00950A95" w:rsidRDefault="00B34278" w:rsidP="00B34278">
      <w:pPr>
        <w:spacing w:after="0" w:line="240" w:lineRule="auto"/>
        <w:ind w:firstLine="709"/>
        <w:jc w:val="both"/>
        <w:rPr>
          <w:rFonts w:ascii="Times New Roman" w:hAnsi="Times New Roman" w:cs="Times New Roman"/>
          <w:bCs/>
          <w:sz w:val="24"/>
          <w:szCs w:val="24"/>
          <w:shd w:val="clear" w:color="auto" w:fill="FFFFFF"/>
        </w:rPr>
      </w:pPr>
      <w:r w:rsidRPr="00950A95">
        <w:rPr>
          <w:rFonts w:ascii="Times New Roman" w:eastAsia="Times New Roman" w:hAnsi="Times New Roman"/>
          <w:sz w:val="24"/>
          <w:szCs w:val="24"/>
          <w:lang w:eastAsia="lv-LV"/>
        </w:rPr>
        <w:t>Atbilstoši MK noteiku</w:t>
      </w:r>
      <w:r w:rsidR="00581280" w:rsidRPr="00950A95">
        <w:rPr>
          <w:rFonts w:ascii="Times New Roman" w:eastAsia="Times New Roman" w:hAnsi="Times New Roman"/>
          <w:sz w:val="24"/>
          <w:szCs w:val="24"/>
          <w:lang w:eastAsia="lv-LV"/>
        </w:rPr>
        <w:t>mu</w:t>
      </w:r>
      <w:r w:rsidRPr="00950A95">
        <w:rPr>
          <w:rFonts w:ascii="Times New Roman" w:eastAsia="Times New Roman" w:hAnsi="Times New Roman"/>
          <w:sz w:val="24"/>
          <w:szCs w:val="24"/>
          <w:lang w:eastAsia="lv-LV"/>
        </w:rPr>
        <w:t xml:space="preserve"> Nr.1216 3.6. apakšpunktam</w:t>
      </w:r>
      <w:r w:rsidR="00581280" w:rsidRPr="00950A95">
        <w:rPr>
          <w:rFonts w:ascii="Times New Roman" w:eastAsia="Times New Roman" w:hAnsi="Times New Roman"/>
          <w:sz w:val="24"/>
          <w:szCs w:val="24"/>
          <w:lang w:eastAsia="lv-LV"/>
        </w:rPr>
        <w:t>,</w:t>
      </w:r>
      <w:r w:rsidRPr="00950A95">
        <w:rPr>
          <w:rFonts w:ascii="Times New Roman" w:eastAsia="Times New Roman" w:hAnsi="Times New Roman"/>
          <w:sz w:val="24"/>
          <w:szCs w:val="24"/>
          <w:lang w:eastAsia="lv-LV"/>
        </w:rPr>
        <w:t xml:space="preserve"> </w:t>
      </w:r>
      <w:r w:rsidRPr="00950A95">
        <w:rPr>
          <w:rFonts w:ascii="Times New Roman" w:hAnsi="Times New Roman"/>
          <w:sz w:val="24"/>
          <w:szCs w:val="24"/>
        </w:rPr>
        <w:t>CFLA nodrošin</w:t>
      </w:r>
      <w:r w:rsidR="004824DD" w:rsidRPr="00950A95">
        <w:rPr>
          <w:rFonts w:ascii="Times New Roman" w:hAnsi="Times New Roman"/>
          <w:sz w:val="24"/>
          <w:szCs w:val="24"/>
        </w:rPr>
        <w:t>a</w:t>
      </w:r>
      <w:r w:rsidRPr="00950A95">
        <w:rPr>
          <w:rFonts w:ascii="Times New Roman" w:hAnsi="Times New Roman"/>
          <w:sz w:val="24"/>
          <w:szCs w:val="24"/>
        </w:rPr>
        <w:t xml:space="preserve"> PPP uzraudzības institūcijas funkcijas un</w:t>
      </w:r>
      <w:r w:rsidRPr="00950A95">
        <w:rPr>
          <w:rFonts w:ascii="Times New Roman" w:eastAsia="Times New Roman" w:hAnsi="Times New Roman"/>
          <w:sz w:val="24"/>
          <w:szCs w:val="24"/>
          <w:lang w:eastAsia="lv-LV"/>
        </w:rPr>
        <w:t xml:space="preserve"> </w:t>
      </w:r>
      <w:r w:rsidRPr="00950A95">
        <w:rPr>
          <w:rFonts w:ascii="Times New Roman" w:hAnsi="Times New Roman"/>
          <w:sz w:val="24"/>
          <w:szCs w:val="24"/>
          <w:shd w:val="clear" w:color="auto" w:fill="FFFFFF"/>
        </w:rPr>
        <w:t>sniedz MK ikgadējus pārskatus par noslēgto PPP līgumu izpildi</w:t>
      </w:r>
      <w:r w:rsidR="00BC131C" w:rsidRPr="00950A95">
        <w:rPr>
          <w:rFonts w:ascii="Times New Roman" w:hAnsi="Times New Roman"/>
          <w:sz w:val="24"/>
          <w:szCs w:val="24"/>
          <w:shd w:val="clear" w:color="auto" w:fill="FFFFFF"/>
        </w:rPr>
        <w:t xml:space="preserve">, par sniegtajiem atzinumiem par FEA un citām aktualitātēm PPP jomā (t.sk. par dalību izveidotajās darba grupās – </w:t>
      </w:r>
      <w:r w:rsidR="004D0718">
        <w:rPr>
          <w:rFonts w:ascii="Times New Roman" w:hAnsi="Times New Roman"/>
          <w:sz w:val="24"/>
          <w:szCs w:val="24"/>
          <w:shd w:val="clear" w:color="auto" w:fill="FFFFFF"/>
        </w:rPr>
        <w:t xml:space="preserve">darba grupā </w:t>
      </w:r>
      <w:r w:rsidR="004D0718" w:rsidRPr="004D0718">
        <w:rPr>
          <w:rFonts w:ascii="Times New Roman" w:hAnsi="Times New Roman"/>
          <w:iCs/>
          <w:sz w:val="24"/>
          <w:szCs w:val="24"/>
          <w:shd w:val="clear" w:color="auto" w:fill="FFFFFF"/>
        </w:rPr>
        <w:t>zemu un pieejamu cenu īres dzīvokļu privātās un publiskās partnerības risinājumu izstrādei</w:t>
      </w:r>
      <w:r w:rsidR="004D0718">
        <w:rPr>
          <w:rFonts w:ascii="Times New Roman" w:hAnsi="Times New Roman"/>
          <w:sz w:val="24"/>
          <w:szCs w:val="24"/>
          <w:shd w:val="clear" w:color="auto" w:fill="FFFFFF"/>
        </w:rPr>
        <w:t xml:space="preserve">, </w:t>
      </w:r>
      <w:r w:rsidR="00BC131C" w:rsidRPr="00BE6B8E">
        <w:rPr>
          <w:rFonts w:ascii="Times New Roman" w:hAnsi="Times New Roman"/>
          <w:i/>
          <w:iCs/>
          <w:sz w:val="24"/>
          <w:szCs w:val="24"/>
          <w:shd w:val="clear" w:color="auto" w:fill="FFFFFF"/>
        </w:rPr>
        <w:t>Rail Baltica</w:t>
      </w:r>
      <w:r w:rsidR="00BC131C" w:rsidRPr="00950A95">
        <w:rPr>
          <w:rFonts w:ascii="Times New Roman" w:hAnsi="Times New Roman"/>
          <w:sz w:val="24"/>
          <w:szCs w:val="24"/>
          <w:shd w:val="clear" w:color="auto" w:fill="FFFFFF"/>
        </w:rPr>
        <w:t xml:space="preserve"> finansēšanas plāna darba grupā, darba grupā futbola stadiona projekta PPP risinājumu izstrādei</w:t>
      </w:r>
      <w:r w:rsidR="004D0718">
        <w:rPr>
          <w:rFonts w:ascii="Times New Roman" w:hAnsi="Times New Roman"/>
          <w:sz w:val="24"/>
          <w:szCs w:val="24"/>
          <w:shd w:val="clear" w:color="auto" w:fill="FFFFFF"/>
        </w:rPr>
        <w:t xml:space="preserve"> u.c.</w:t>
      </w:r>
      <w:r w:rsidR="00BC131C" w:rsidRPr="004D0718">
        <w:rPr>
          <w:rFonts w:ascii="Times New Roman" w:hAnsi="Times New Roman"/>
          <w:sz w:val="24"/>
          <w:szCs w:val="24"/>
          <w:shd w:val="clear" w:color="auto" w:fill="FFFFFF"/>
        </w:rPr>
        <w:t>)</w:t>
      </w:r>
      <w:r w:rsidR="00BC131C" w:rsidRPr="004D0718">
        <w:rPr>
          <w:rFonts w:ascii="Times New Roman" w:hAnsi="Times New Roman"/>
          <w:sz w:val="24"/>
          <w:szCs w:val="24"/>
          <w:shd w:val="clear" w:color="auto" w:fill="FFFFFF"/>
          <w:vertAlign w:val="superscript"/>
        </w:rPr>
        <w:t xml:space="preserve"> </w:t>
      </w:r>
      <w:r w:rsidRPr="469479B5">
        <w:rPr>
          <w:rStyle w:val="FootnoteReference"/>
          <w:rFonts w:ascii="Times New Roman" w:hAnsi="Times New Roman"/>
          <w:sz w:val="24"/>
          <w:szCs w:val="24"/>
          <w:shd w:val="clear" w:color="auto" w:fill="FFFFFF"/>
        </w:rPr>
        <w:footnoteReference w:id="40"/>
      </w:r>
      <w:r w:rsidRPr="00950A95">
        <w:rPr>
          <w:rFonts w:ascii="Times New Roman" w:hAnsi="Times New Roman"/>
          <w:sz w:val="24"/>
          <w:szCs w:val="24"/>
          <w:shd w:val="clear" w:color="auto" w:fill="FFFFFF"/>
        </w:rPr>
        <w:t>.</w:t>
      </w:r>
      <w:bookmarkEnd w:id="113"/>
    </w:p>
    <w:p w14:paraId="417DEE33" w14:textId="73BC8EDD" w:rsidR="00261582" w:rsidRDefault="3F990138"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2016.</w:t>
      </w:r>
      <w:r w:rsidR="40E3B930"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CSP veica aptauju par līgumiem, kas noslēgti pirms Publiskās un privātās partnerības likuma stāšanās spēkā un atbilstu PPP projektu pazīmēm, lai identificētu potenciāli iepriekš neuzskaitītus PPP projektus (izņemot koncesijas). Šīs aptaujas rezultātā netika iegūta informācija, kas norādītu, ka pastāvētu līdz šim neuzskaitīti partnerības iepirkuma projekti. Tādējādi nav pamata uzskatīt, ka nākotnē varētu tikt atklāts kāds līdz šim neuzskaitīts publiskā partnera aktīvu bilancē attiecināms projekts</w:t>
      </w:r>
      <w:r w:rsidR="006D2FBF">
        <w:rPr>
          <w:rFonts w:ascii="Times New Roman" w:hAnsi="Times New Roman" w:cs="Times New Roman"/>
          <w:sz w:val="24"/>
          <w:szCs w:val="24"/>
        </w:rPr>
        <w:t xml:space="preserve"> un</w:t>
      </w:r>
      <w:r w:rsidRPr="469479B5">
        <w:rPr>
          <w:rFonts w:ascii="Times New Roman" w:hAnsi="Times New Roman" w:cs="Times New Roman"/>
          <w:sz w:val="24"/>
          <w:szCs w:val="24"/>
        </w:rPr>
        <w:t xml:space="preserve"> iespējams secināt, ka iepriekš neuzskaitītu PPP projektu fiskālā riska iestāšanās varbūtības un ietekmes apmērs ir tuvs nullei. </w:t>
      </w:r>
    </w:p>
    <w:p w14:paraId="7185D086" w14:textId="5F94ABA2" w:rsidR="00482BB8" w:rsidRDefault="1CBC76C0" w:rsidP="469479B5">
      <w:pPr>
        <w:spacing w:after="0" w:line="240" w:lineRule="auto"/>
        <w:ind w:firstLine="720"/>
        <w:jc w:val="both"/>
        <w:rPr>
          <w:rFonts w:ascii="Times New Roman" w:hAnsi="Times New Roman"/>
          <w:sz w:val="24"/>
          <w:szCs w:val="24"/>
        </w:rPr>
      </w:pPr>
      <w:r w:rsidRPr="469479B5">
        <w:rPr>
          <w:rFonts w:ascii="Times New Roman" w:hAnsi="Times New Roman" w:cs="Times New Roman"/>
          <w:sz w:val="24"/>
          <w:szCs w:val="24"/>
        </w:rPr>
        <w:t>2021.</w:t>
      </w:r>
      <w:r w:rsidR="5542932D" w:rsidRPr="469479B5">
        <w:rPr>
          <w:rFonts w:ascii="Times New Roman" w:hAnsi="Times New Roman" w:cs="Times New Roman"/>
          <w:b/>
          <w:bCs/>
          <w:sz w:val="24"/>
          <w:szCs w:val="24"/>
        </w:rPr>
        <w:t xml:space="preserve"> </w:t>
      </w:r>
      <w:r w:rsidR="3F990138" w:rsidRPr="469479B5">
        <w:rPr>
          <w:rFonts w:ascii="Times New Roman" w:hAnsi="Times New Roman" w:cs="Times New Roman"/>
          <w:sz w:val="24"/>
          <w:szCs w:val="24"/>
        </w:rPr>
        <w:t>gada jūlijā tika noslēgts līgums par E67/A7 Rīga–Bauska–Lietuvas robeža (Grenctāle) posma 7,9</w:t>
      </w:r>
      <w:r w:rsidR="3F990138" w:rsidRPr="00EB0F6B">
        <w:rPr>
          <w:rFonts w:ascii="Times New Roman" w:hAnsi="Times New Roman" w:cs="Times New Roman"/>
          <w:color w:val="000000"/>
          <w:sz w:val="24"/>
          <w:szCs w:val="24"/>
        </w:rPr>
        <w:t>–</w:t>
      </w:r>
      <w:r w:rsidR="3F990138" w:rsidRPr="469479B5">
        <w:rPr>
          <w:rFonts w:ascii="Times New Roman" w:hAnsi="Times New Roman" w:cs="Times New Roman"/>
          <w:sz w:val="24"/>
          <w:szCs w:val="24"/>
        </w:rPr>
        <w:t>25,0 km (</w:t>
      </w:r>
      <w:bookmarkStart w:id="114" w:name="_Hlk172714522"/>
      <w:r w:rsidR="3F990138" w:rsidRPr="469479B5">
        <w:rPr>
          <w:rFonts w:ascii="Times New Roman" w:hAnsi="Times New Roman" w:cs="Times New Roman"/>
          <w:sz w:val="24"/>
          <w:szCs w:val="24"/>
        </w:rPr>
        <w:t>Ķekavas apvedceļa</w:t>
      </w:r>
      <w:bookmarkEnd w:id="114"/>
      <w:r w:rsidR="3F990138" w:rsidRPr="469479B5">
        <w:rPr>
          <w:rFonts w:ascii="Times New Roman" w:hAnsi="Times New Roman" w:cs="Times New Roman"/>
          <w:sz w:val="24"/>
          <w:szCs w:val="24"/>
        </w:rPr>
        <w:t xml:space="preserve">) projektēšanu, būvniecību, finansēšanu un uzturēšanu (Ķekavas apvedceļa PPP), kas ir Baltijas valstīs pirmais vērienīgais PPP projekts ceļu būvniecībā. Jāatzīmē, ka pirms līguma parakstīšanas tā projekts tika saskaņots ar ES Statistikas biroju </w:t>
      </w:r>
      <w:r w:rsidR="3F990138" w:rsidRPr="469479B5">
        <w:rPr>
          <w:rFonts w:ascii="Times New Roman" w:hAnsi="Times New Roman" w:cs="Times New Roman"/>
          <w:i/>
          <w:iCs/>
          <w:sz w:val="24"/>
          <w:szCs w:val="24"/>
        </w:rPr>
        <w:t>Eurostat,</w:t>
      </w:r>
      <w:r w:rsidR="3F990138" w:rsidRPr="469479B5">
        <w:rPr>
          <w:rFonts w:ascii="Times New Roman" w:hAnsi="Times New Roman"/>
          <w:i/>
          <w:iCs/>
          <w:sz w:val="24"/>
          <w:szCs w:val="24"/>
        </w:rPr>
        <w:t xml:space="preserve"> </w:t>
      </w:r>
      <w:r w:rsidR="3F990138" w:rsidRPr="469479B5">
        <w:rPr>
          <w:rFonts w:ascii="Times New Roman" w:hAnsi="Times New Roman" w:cs="Times New Roman"/>
          <w:sz w:val="24"/>
          <w:szCs w:val="24"/>
        </w:rPr>
        <w:t>nosakot, ka aktīvi ir uzskaitāmi privātā partnera aktīvu bilancē</w:t>
      </w:r>
      <w:r w:rsidR="00261582" w:rsidRPr="469479B5">
        <w:rPr>
          <w:rStyle w:val="FootnoteReference"/>
          <w:rFonts w:ascii="Times New Roman" w:hAnsi="Times New Roman" w:cs="Times New Roman"/>
          <w:sz w:val="24"/>
          <w:szCs w:val="24"/>
        </w:rPr>
        <w:footnoteReference w:id="41"/>
      </w:r>
      <w:r w:rsidR="3F990138" w:rsidRPr="469479B5">
        <w:rPr>
          <w:rFonts w:ascii="Times New Roman" w:hAnsi="Times New Roman"/>
          <w:i/>
          <w:iCs/>
          <w:sz w:val="24"/>
          <w:szCs w:val="24"/>
        </w:rPr>
        <w:t xml:space="preserve">. </w:t>
      </w:r>
      <w:r w:rsidR="3F990138" w:rsidRPr="469479B5">
        <w:rPr>
          <w:rFonts w:ascii="Times New Roman" w:hAnsi="Times New Roman"/>
          <w:sz w:val="24"/>
          <w:szCs w:val="24"/>
        </w:rPr>
        <w:t>Tādējādi ir novērsti riski, ka projekts varētu negatīvi ietekmēt turpmāko gadu vispārējās valdības budžeta bilanci un parādu.</w:t>
      </w:r>
      <w:r w:rsidR="5644968D" w:rsidRPr="469479B5">
        <w:rPr>
          <w:rFonts w:ascii="Times New Roman" w:hAnsi="Times New Roman"/>
          <w:sz w:val="24"/>
          <w:szCs w:val="24"/>
        </w:rPr>
        <w:t xml:space="preserve"> </w:t>
      </w:r>
      <w:r w:rsidR="66B1A571" w:rsidRPr="469479B5">
        <w:rPr>
          <w:rFonts w:ascii="Times New Roman" w:hAnsi="Times New Roman"/>
          <w:sz w:val="24"/>
          <w:szCs w:val="24"/>
        </w:rPr>
        <w:t>Ķekavas apvedceļ</w:t>
      </w:r>
      <w:r w:rsidR="112D5BA9" w:rsidRPr="469479B5">
        <w:rPr>
          <w:rFonts w:ascii="Times New Roman" w:hAnsi="Times New Roman"/>
          <w:sz w:val="24"/>
          <w:szCs w:val="24"/>
        </w:rPr>
        <w:t xml:space="preserve">š </w:t>
      </w:r>
      <w:r w:rsidR="006D2FBF">
        <w:rPr>
          <w:rFonts w:ascii="Times New Roman" w:hAnsi="Times New Roman"/>
          <w:sz w:val="24"/>
          <w:szCs w:val="24"/>
        </w:rPr>
        <w:t xml:space="preserve">ir </w:t>
      </w:r>
      <w:r w:rsidR="112D5BA9" w:rsidRPr="469479B5">
        <w:rPr>
          <w:rFonts w:ascii="Times New Roman" w:hAnsi="Times New Roman"/>
          <w:sz w:val="24"/>
          <w:szCs w:val="24"/>
        </w:rPr>
        <w:t xml:space="preserve">nodots </w:t>
      </w:r>
      <w:r w:rsidR="006D2FBF" w:rsidRPr="469479B5">
        <w:rPr>
          <w:rFonts w:ascii="Times New Roman" w:hAnsi="Times New Roman"/>
          <w:sz w:val="24"/>
          <w:szCs w:val="24"/>
        </w:rPr>
        <w:t>ekspluatācijā</w:t>
      </w:r>
      <w:r w:rsidR="009C3123">
        <w:rPr>
          <w:rFonts w:ascii="Times New Roman" w:hAnsi="Times New Roman"/>
          <w:sz w:val="24"/>
          <w:szCs w:val="24"/>
        </w:rPr>
        <w:t xml:space="preserve"> un tika atvērts satiksmei</w:t>
      </w:r>
      <w:r w:rsidR="112D5BA9" w:rsidRPr="469479B5">
        <w:rPr>
          <w:rFonts w:ascii="Times New Roman" w:hAnsi="Times New Roman"/>
          <w:sz w:val="24"/>
          <w:szCs w:val="24"/>
        </w:rPr>
        <w:t xml:space="preserve"> 2023. gada 13.</w:t>
      </w:r>
      <w:r w:rsidR="3B0CB614" w:rsidRPr="469479B5">
        <w:rPr>
          <w:rFonts w:ascii="Times New Roman" w:hAnsi="Times New Roman" w:cs="Times New Roman"/>
          <w:b/>
          <w:bCs/>
          <w:sz w:val="24"/>
          <w:szCs w:val="24"/>
        </w:rPr>
        <w:t xml:space="preserve"> </w:t>
      </w:r>
      <w:r w:rsidR="112D5BA9" w:rsidRPr="469479B5">
        <w:rPr>
          <w:rFonts w:ascii="Times New Roman" w:hAnsi="Times New Roman"/>
          <w:sz w:val="24"/>
          <w:szCs w:val="24"/>
        </w:rPr>
        <w:t>oktobrī</w:t>
      </w:r>
      <w:r w:rsidR="00060124" w:rsidRPr="469479B5">
        <w:rPr>
          <w:rStyle w:val="FootnoteReference"/>
          <w:rFonts w:ascii="Times New Roman" w:hAnsi="Times New Roman"/>
          <w:sz w:val="24"/>
          <w:szCs w:val="24"/>
        </w:rPr>
        <w:footnoteReference w:id="42"/>
      </w:r>
      <w:r w:rsidR="66B1A571" w:rsidRPr="469479B5">
        <w:rPr>
          <w:rFonts w:ascii="Times New Roman" w:hAnsi="Times New Roman"/>
          <w:sz w:val="24"/>
          <w:szCs w:val="24"/>
        </w:rPr>
        <w:t>.</w:t>
      </w:r>
    </w:p>
    <w:p w14:paraId="772A2072" w14:textId="2394FCD5" w:rsidR="003D0534" w:rsidRPr="00B5248C" w:rsidRDefault="3A67601E" w:rsidP="00B5248C">
      <w:pPr>
        <w:spacing w:after="0" w:line="240" w:lineRule="auto"/>
        <w:ind w:firstLine="720"/>
        <w:jc w:val="both"/>
        <w:rPr>
          <w:rFonts w:ascii="Times New Roman" w:hAnsi="Times New Roman" w:cs="Times New Roman"/>
          <w:iCs/>
          <w:sz w:val="24"/>
          <w:szCs w:val="24"/>
          <w:lang w:eastAsia="lv-LV"/>
        </w:rPr>
      </w:pPr>
      <w:r w:rsidRPr="469479B5">
        <w:rPr>
          <w:rFonts w:ascii="Times New Roman" w:hAnsi="Times New Roman" w:cs="Times New Roman"/>
          <w:sz w:val="24"/>
          <w:szCs w:val="24"/>
          <w:shd w:val="clear" w:color="auto" w:fill="FFFFFF"/>
        </w:rPr>
        <w:t>2024.</w:t>
      </w:r>
      <w:r w:rsidR="313AAFCA" w:rsidRPr="469479B5">
        <w:rPr>
          <w:rFonts w:ascii="Times New Roman" w:hAnsi="Times New Roman" w:cs="Times New Roman"/>
          <w:b/>
          <w:bCs/>
          <w:sz w:val="24"/>
          <w:szCs w:val="24"/>
        </w:rPr>
        <w:t xml:space="preserve"> </w:t>
      </w:r>
      <w:r w:rsidRPr="469479B5">
        <w:rPr>
          <w:rFonts w:ascii="Times New Roman" w:hAnsi="Times New Roman" w:cs="Times New Roman"/>
          <w:sz w:val="24"/>
          <w:szCs w:val="24"/>
          <w:shd w:val="clear" w:color="auto" w:fill="FFFFFF"/>
        </w:rPr>
        <w:t>gada</w:t>
      </w:r>
      <w:r w:rsidR="009C3123">
        <w:rPr>
          <w:rFonts w:ascii="Times New Roman" w:hAnsi="Times New Roman" w:cs="Times New Roman"/>
          <w:sz w:val="24"/>
          <w:szCs w:val="24"/>
          <w:shd w:val="clear" w:color="auto" w:fill="FFFFFF"/>
        </w:rPr>
        <w:t xml:space="preserve"> 14.</w:t>
      </w:r>
      <w:r w:rsidR="513B49E2" w:rsidRPr="469479B5">
        <w:rPr>
          <w:rFonts w:ascii="Times New Roman" w:hAnsi="Times New Roman" w:cs="Times New Roman"/>
          <w:b/>
          <w:bCs/>
          <w:sz w:val="24"/>
          <w:szCs w:val="24"/>
        </w:rPr>
        <w:t xml:space="preserve"> </w:t>
      </w:r>
      <w:r w:rsidRPr="469479B5">
        <w:rPr>
          <w:rFonts w:ascii="Times New Roman" w:hAnsi="Times New Roman" w:cs="Times New Roman"/>
          <w:sz w:val="24"/>
          <w:szCs w:val="24"/>
          <w:shd w:val="clear" w:color="auto" w:fill="FFFFFF"/>
        </w:rPr>
        <w:t xml:space="preserve">jūnija MK </w:t>
      </w:r>
      <w:r w:rsidR="5FBDFB1B" w:rsidRPr="469479B5">
        <w:rPr>
          <w:rFonts w:ascii="Times New Roman" w:hAnsi="Times New Roman" w:cs="Times New Roman"/>
          <w:sz w:val="24"/>
          <w:szCs w:val="24"/>
          <w:shd w:val="clear" w:color="auto" w:fill="FFFFFF"/>
        </w:rPr>
        <w:t>rīkojums</w:t>
      </w:r>
      <w:r w:rsidR="009C3123">
        <w:rPr>
          <w:rFonts w:ascii="Times New Roman" w:hAnsi="Times New Roman" w:cs="Times New Roman"/>
          <w:sz w:val="24"/>
          <w:szCs w:val="24"/>
          <w:shd w:val="clear" w:color="auto" w:fill="FFFFFF"/>
        </w:rPr>
        <w:t xml:space="preserve"> Nr.469</w:t>
      </w:r>
      <w:r w:rsidRPr="469479B5">
        <w:rPr>
          <w:rFonts w:ascii="Times New Roman" w:hAnsi="Times New Roman" w:cs="Times New Roman"/>
          <w:sz w:val="24"/>
          <w:szCs w:val="24"/>
          <w:shd w:val="clear" w:color="auto" w:fill="FFFFFF"/>
        </w:rPr>
        <w:t xml:space="preserve"> </w:t>
      </w:r>
      <w:r w:rsidR="010B3143" w:rsidRPr="469479B5">
        <w:rPr>
          <w:rFonts w:ascii="Times New Roman" w:hAnsi="Times New Roman" w:cs="Times New Roman"/>
          <w:sz w:val="24"/>
          <w:szCs w:val="24"/>
          <w:shd w:val="clear" w:color="auto" w:fill="FFFFFF"/>
        </w:rPr>
        <w:t>“</w:t>
      </w:r>
      <w:r w:rsidRPr="469479B5">
        <w:rPr>
          <w:rFonts w:ascii="Times New Roman" w:hAnsi="Times New Roman" w:cs="Times New Roman"/>
          <w:sz w:val="24"/>
          <w:szCs w:val="24"/>
          <w:shd w:val="clear" w:color="auto" w:fill="FFFFFF"/>
        </w:rPr>
        <w:t xml:space="preserve">Par valsts galvenā autoceļa A7 Rīga–Bauska–Lietuvas robeža (Grenctāle) posma no Ķekavas apvedceļa līdz Bauskai (Ārcei) pārbūves projekta pirmās kārtas </w:t>
      </w:r>
      <w:r w:rsidR="009324B2">
        <w:rPr>
          <w:rFonts w:ascii="Times New Roman" w:hAnsi="Times New Roman" w:cs="Times New Roman"/>
          <w:sz w:val="24"/>
          <w:szCs w:val="24"/>
          <w:shd w:val="clear" w:color="auto" w:fill="FFFFFF"/>
        </w:rPr>
        <w:t>“</w:t>
      </w:r>
      <w:r w:rsidRPr="469479B5">
        <w:rPr>
          <w:rFonts w:ascii="Times New Roman" w:hAnsi="Times New Roman" w:cs="Times New Roman"/>
          <w:sz w:val="24"/>
          <w:szCs w:val="24"/>
          <w:shd w:val="clear" w:color="auto" w:fill="FFFFFF"/>
        </w:rPr>
        <w:t>Bauskas apvedceļš</w:t>
      </w:r>
      <w:r w:rsidR="009324B2">
        <w:rPr>
          <w:rFonts w:ascii="Times New Roman" w:hAnsi="Times New Roman" w:cs="Times New Roman"/>
          <w:sz w:val="24"/>
          <w:szCs w:val="24"/>
          <w:shd w:val="clear" w:color="auto" w:fill="FFFFFF"/>
        </w:rPr>
        <w:t>”</w:t>
      </w:r>
      <w:r w:rsidRPr="469479B5">
        <w:rPr>
          <w:rFonts w:ascii="Times New Roman" w:hAnsi="Times New Roman" w:cs="Times New Roman"/>
          <w:sz w:val="24"/>
          <w:szCs w:val="24"/>
          <w:shd w:val="clear" w:color="auto" w:fill="FFFFFF"/>
        </w:rPr>
        <w:t xml:space="preserve"> </w:t>
      </w:r>
      <w:r w:rsidR="3B3AB808" w:rsidRPr="469479B5">
        <w:rPr>
          <w:rFonts w:ascii="Times New Roman" w:hAnsi="Times New Roman" w:cs="Times New Roman"/>
          <w:sz w:val="24"/>
          <w:szCs w:val="24"/>
          <w:shd w:val="clear" w:color="auto" w:fill="FFFFFF"/>
        </w:rPr>
        <w:t>PPP</w:t>
      </w:r>
      <w:r w:rsidRPr="469479B5">
        <w:rPr>
          <w:rFonts w:ascii="Times New Roman" w:hAnsi="Times New Roman" w:cs="Times New Roman"/>
          <w:sz w:val="24"/>
          <w:szCs w:val="24"/>
          <w:shd w:val="clear" w:color="auto" w:fill="FFFFFF"/>
        </w:rPr>
        <w:t xml:space="preserve"> procedūras uzsākšanu, nekustamo īpašumu atsavināšanu projekta otrajai kārtai </w:t>
      </w:r>
      <w:r w:rsidR="009324B2">
        <w:rPr>
          <w:rFonts w:ascii="Times New Roman" w:hAnsi="Times New Roman" w:cs="Times New Roman"/>
          <w:sz w:val="24"/>
          <w:szCs w:val="24"/>
          <w:shd w:val="clear" w:color="auto" w:fill="FFFFFF"/>
        </w:rPr>
        <w:t>“</w:t>
      </w:r>
      <w:r w:rsidRPr="469479B5">
        <w:rPr>
          <w:rFonts w:ascii="Times New Roman" w:hAnsi="Times New Roman" w:cs="Times New Roman"/>
          <w:sz w:val="24"/>
          <w:szCs w:val="24"/>
          <w:shd w:val="clear" w:color="auto" w:fill="FFFFFF"/>
        </w:rPr>
        <w:t>Iecavas apvedceļš</w:t>
      </w:r>
      <w:r w:rsidR="009324B2">
        <w:rPr>
          <w:rFonts w:ascii="Times New Roman" w:hAnsi="Times New Roman" w:cs="Times New Roman"/>
          <w:sz w:val="24"/>
          <w:szCs w:val="24"/>
          <w:shd w:val="clear" w:color="auto" w:fill="FFFFFF"/>
        </w:rPr>
        <w:t>”</w:t>
      </w:r>
      <w:r w:rsidRPr="469479B5">
        <w:rPr>
          <w:rFonts w:ascii="Times New Roman" w:hAnsi="Times New Roman" w:cs="Times New Roman"/>
          <w:sz w:val="24"/>
          <w:szCs w:val="24"/>
          <w:shd w:val="clear" w:color="auto" w:fill="FFFFFF"/>
        </w:rPr>
        <w:t xml:space="preserve"> un nacionālo interešu objekta statusa noteikšanu Bauskas </w:t>
      </w:r>
      <w:r w:rsidRPr="00175C1E">
        <w:rPr>
          <w:rFonts w:ascii="Times New Roman" w:hAnsi="Times New Roman" w:cs="Times New Roman"/>
          <w:sz w:val="24"/>
          <w:szCs w:val="24"/>
          <w:shd w:val="clear" w:color="auto" w:fill="FFFFFF"/>
        </w:rPr>
        <w:t>apvedceļa un Iecavas apvedceļa infrastruktūrai</w:t>
      </w:r>
      <w:r w:rsidR="4E31E5C2" w:rsidRPr="00175C1E">
        <w:rPr>
          <w:rFonts w:ascii="Times New Roman" w:hAnsi="Times New Roman" w:cs="Times New Roman"/>
          <w:sz w:val="24"/>
          <w:szCs w:val="24"/>
          <w:shd w:val="clear" w:color="auto" w:fill="FFFFFF"/>
        </w:rPr>
        <w:t>”</w:t>
      </w:r>
      <w:r w:rsidR="005A3028" w:rsidRPr="00175C1E">
        <w:rPr>
          <w:rStyle w:val="FootnoteReference"/>
          <w:rFonts w:ascii="Times New Roman" w:hAnsi="Times New Roman" w:cs="Times New Roman"/>
          <w:sz w:val="24"/>
          <w:szCs w:val="24"/>
          <w:shd w:val="clear" w:color="auto" w:fill="FFFFFF"/>
        </w:rPr>
        <w:footnoteReference w:id="43"/>
      </w:r>
      <w:r w:rsidR="248A8D69" w:rsidRPr="00175C1E">
        <w:rPr>
          <w:rFonts w:ascii="Times New Roman" w:hAnsi="Times New Roman" w:cs="Times New Roman"/>
          <w:sz w:val="24"/>
          <w:szCs w:val="24"/>
          <w:shd w:val="clear" w:color="auto" w:fill="FFFFFF"/>
        </w:rPr>
        <w:t>.</w:t>
      </w:r>
      <w:r w:rsidR="2736BF54" w:rsidRPr="00175C1E">
        <w:rPr>
          <w:rFonts w:ascii="Times New Roman" w:hAnsi="Times New Roman" w:cs="Times New Roman"/>
          <w:sz w:val="24"/>
          <w:szCs w:val="24"/>
          <w:shd w:val="clear" w:color="auto" w:fill="FFFFFF"/>
        </w:rPr>
        <w:t xml:space="preserve"> </w:t>
      </w:r>
      <w:r w:rsidR="00445AD6">
        <w:rPr>
          <w:rFonts w:ascii="Times New Roman" w:hAnsi="Times New Roman" w:cs="Times New Roman"/>
          <w:sz w:val="24"/>
          <w:szCs w:val="24"/>
          <w:shd w:val="clear" w:color="auto" w:fill="FFFFFF"/>
        </w:rPr>
        <w:t>Projekts</w:t>
      </w:r>
      <w:r w:rsidR="2736BF54" w:rsidRPr="00175C1E">
        <w:rPr>
          <w:rFonts w:ascii="Times New Roman" w:eastAsia="Times New Roman" w:hAnsi="Times New Roman" w:cs="Times New Roman"/>
          <w:sz w:val="24"/>
          <w:szCs w:val="24"/>
        </w:rPr>
        <w:t xml:space="preserve"> izstrādāts, pamatojoties </w:t>
      </w:r>
      <w:r w:rsidR="6AECDEC1" w:rsidRPr="00175C1E">
        <w:rPr>
          <w:rFonts w:ascii="Times New Roman" w:eastAsia="Times New Roman" w:hAnsi="Times New Roman" w:cs="Times New Roman"/>
          <w:sz w:val="24"/>
          <w:szCs w:val="24"/>
        </w:rPr>
        <w:t xml:space="preserve">t.sk. </w:t>
      </w:r>
      <w:r w:rsidR="2736BF54" w:rsidRPr="00175C1E">
        <w:rPr>
          <w:rFonts w:ascii="Times New Roman" w:eastAsia="Times New Roman" w:hAnsi="Times New Roman" w:cs="Times New Roman"/>
          <w:sz w:val="24"/>
          <w:szCs w:val="24"/>
        </w:rPr>
        <w:t>uz</w:t>
      </w:r>
      <w:r w:rsidR="77CD94E7" w:rsidRPr="00175C1E">
        <w:rPr>
          <w:rFonts w:ascii="Times New Roman" w:eastAsia="Times New Roman" w:hAnsi="Times New Roman" w:cs="Times New Roman"/>
          <w:sz w:val="24"/>
          <w:szCs w:val="24"/>
        </w:rPr>
        <w:t xml:space="preserve"> </w:t>
      </w:r>
      <w:r w:rsidR="00FC2773">
        <w:rPr>
          <w:rFonts w:ascii="Times New Roman" w:eastAsia="Times New Roman" w:hAnsi="Times New Roman" w:cs="Times New Roman"/>
          <w:sz w:val="24"/>
          <w:szCs w:val="24"/>
        </w:rPr>
        <w:t>SM</w:t>
      </w:r>
      <w:r w:rsidR="2736BF54" w:rsidRPr="00175C1E">
        <w:rPr>
          <w:rFonts w:ascii="Times New Roman" w:eastAsia="Times New Roman" w:hAnsi="Times New Roman" w:cs="Times New Roman"/>
          <w:sz w:val="24"/>
          <w:szCs w:val="24"/>
        </w:rPr>
        <w:t xml:space="preserve"> izstrādātajiem </w:t>
      </w:r>
      <w:r w:rsidR="005B11C2">
        <w:rPr>
          <w:rFonts w:ascii="Times New Roman" w:eastAsia="Times New Roman" w:hAnsi="Times New Roman" w:cs="Times New Roman"/>
          <w:sz w:val="24"/>
          <w:szCs w:val="24"/>
        </w:rPr>
        <w:t>FEA</w:t>
      </w:r>
      <w:r w:rsidR="2736BF54" w:rsidRPr="00175C1E">
        <w:rPr>
          <w:rFonts w:ascii="Times New Roman" w:eastAsia="Times New Roman" w:hAnsi="Times New Roman" w:cs="Times New Roman"/>
          <w:sz w:val="24"/>
          <w:szCs w:val="24"/>
        </w:rPr>
        <w:t xml:space="preserve"> “Par valsts galvenā autoceļa A7 Rīga – Bauska – Lietuvas robeža posma no Ķekavas apvedceļa līdz Bauskai pārbūves finansēšanas iespējām”. CFLA </w:t>
      </w:r>
      <w:r w:rsidR="57CA32EA" w:rsidRPr="00175C1E">
        <w:rPr>
          <w:rFonts w:ascii="Times New Roman" w:eastAsia="Times New Roman" w:hAnsi="Times New Roman" w:cs="Times New Roman"/>
          <w:sz w:val="24"/>
          <w:szCs w:val="24"/>
        </w:rPr>
        <w:t xml:space="preserve">savā </w:t>
      </w:r>
      <w:r w:rsidR="2736BF54" w:rsidRPr="00175C1E">
        <w:rPr>
          <w:rFonts w:ascii="Times New Roman" w:eastAsia="Times New Roman" w:hAnsi="Times New Roman" w:cs="Times New Roman"/>
          <w:sz w:val="24"/>
          <w:szCs w:val="24"/>
        </w:rPr>
        <w:t>atzinum</w:t>
      </w:r>
      <w:r w:rsidR="558AABEF" w:rsidRPr="00175C1E">
        <w:rPr>
          <w:rFonts w:ascii="Times New Roman" w:eastAsia="Times New Roman" w:hAnsi="Times New Roman" w:cs="Times New Roman"/>
          <w:sz w:val="24"/>
          <w:szCs w:val="24"/>
        </w:rPr>
        <w:t>ā</w:t>
      </w:r>
      <w:r w:rsidR="2736BF54" w:rsidRPr="00175C1E">
        <w:rPr>
          <w:rFonts w:ascii="Times New Roman" w:eastAsia="Times New Roman" w:hAnsi="Times New Roman" w:cs="Times New Roman"/>
          <w:sz w:val="24"/>
          <w:szCs w:val="24"/>
        </w:rPr>
        <w:t xml:space="preserve"> </w:t>
      </w:r>
      <w:r w:rsidR="14677EE2" w:rsidRPr="00175C1E">
        <w:rPr>
          <w:rFonts w:ascii="Times New Roman" w:eastAsia="Times New Roman" w:hAnsi="Times New Roman" w:cs="Times New Roman"/>
          <w:sz w:val="24"/>
          <w:szCs w:val="24"/>
        </w:rPr>
        <w:t xml:space="preserve">par </w:t>
      </w:r>
      <w:r w:rsidR="790EDDF3" w:rsidRPr="00175C1E">
        <w:rPr>
          <w:rFonts w:ascii="Times New Roman" w:eastAsia="Times New Roman" w:hAnsi="Times New Roman" w:cs="Times New Roman"/>
          <w:sz w:val="24"/>
          <w:szCs w:val="24"/>
        </w:rPr>
        <w:t xml:space="preserve">finanšu un ekonomiskajiem aprēķiniem </w:t>
      </w:r>
      <w:r w:rsidR="2736BF54" w:rsidRPr="00175C1E">
        <w:rPr>
          <w:rFonts w:ascii="Times New Roman" w:eastAsia="Times New Roman" w:hAnsi="Times New Roman" w:cs="Times New Roman"/>
          <w:sz w:val="24"/>
          <w:szCs w:val="24"/>
        </w:rPr>
        <w:t>ir izvērtē</w:t>
      </w:r>
      <w:r w:rsidR="769917F4" w:rsidRPr="00175C1E">
        <w:rPr>
          <w:rFonts w:ascii="Times New Roman" w:eastAsia="Times New Roman" w:hAnsi="Times New Roman" w:cs="Times New Roman"/>
          <w:sz w:val="24"/>
          <w:szCs w:val="24"/>
        </w:rPr>
        <w:t>jusi</w:t>
      </w:r>
      <w:r w:rsidR="005A5E0E">
        <w:rPr>
          <w:rFonts w:ascii="Times New Roman" w:eastAsia="Times New Roman" w:hAnsi="Times New Roman" w:cs="Times New Roman"/>
          <w:sz w:val="24"/>
          <w:szCs w:val="24"/>
        </w:rPr>
        <w:t xml:space="preserve"> FEA</w:t>
      </w:r>
      <w:r w:rsidR="2736BF54" w:rsidRPr="00175C1E">
        <w:rPr>
          <w:rFonts w:ascii="Times New Roman" w:eastAsia="Times New Roman" w:hAnsi="Times New Roman" w:cs="Times New Roman"/>
          <w:sz w:val="24"/>
          <w:szCs w:val="24"/>
        </w:rPr>
        <w:t xml:space="preserve"> iekļaut</w:t>
      </w:r>
      <w:r w:rsidR="08E46F3F" w:rsidRPr="00175C1E">
        <w:rPr>
          <w:rFonts w:ascii="Times New Roman" w:eastAsia="Times New Roman" w:hAnsi="Times New Roman" w:cs="Times New Roman"/>
          <w:sz w:val="24"/>
          <w:szCs w:val="24"/>
        </w:rPr>
        <w:t>os</w:t>
      </w:r>
      <w:r w:rsidR="2736BF54" w:rsidRPr="00175C1E">
        <w:rPr>
          <w:rFonts w:ascii="Times New Roman" w:eastAsia="Times New Roman" w:hAnsi="Times New Roman" w:cs="Times New Roman"/>
          <w:sz w:val="24"/>
          <w:szCs w:val="24"/>
        </w:rPr>
        <w:t xml:space="preserve"> pieņēmum</w:t>
      </w:r>
      <w:r w:rsidR="202C69F7" w:rsidRPr="00175C1E">
        <w:rPr>
          <w:rFonts w:ascii="Times New Roman" w:eastAsia="Times New Roman" w:hAnsi="Times New Roman" w:cs="Times New Roman"/>
          <w:sz w:val="24"/>
          <w:szCs w:val="24"/>
        </w:rPr>
        <w:t>us</w:t>
      </w:r>
      <w:r w:rsidR="2736BF54" w:rsidRPr="00175C1E">
        <w:rPr>
          <w:rFonts w:ascii="Times New Roman" w:eastAsia="Times New Roman" w:hAnsi="Times New Roman" w:cs="Times New Roman"/>
          <w:sz w:val="24"/>
          <w:szCs w:val="24"/>
        </w:rPr>
        <w:t xml:space="preserve"> un risku sadal</w:t>
      </w:r>
      <w:r w:rsidR="1E5BE0FD" w:rsidRPr="00175C1E">
        <w:rPr>
          <w:rFonts w:ascii="Times New Roman" w:eastAsia="Times New Roman" w:hAnsi="Times New Roman" w:cs="Times New Roman"/>
          <w:sz w:val="24"/>
          <w:szCs w:val="24"/>
        </w:rPr>
        <w:t>i</w:t>
      </w:r>
      <w:r w:rsidR="2736BF54" w:rsidRPr="00175C1E">
        <w:rPr>
          <w:rFonts w:ascii="Times New Roman" w:eastAsia="Times New Roman" w:hAnsi="Times New Roman" w:cs="Times New Roman"/>
          <w:sz w:val="24"/>
          <w:szCs w:val="24"/>
        </w:rPr>
        <w:t xml:space="preserve"> starp publisko partneri un privāto partneri </w:t>
      </w:r>
      <w:r w:rsidR="31F94B58" w:rsidRPr="00175C1E">
        <w:rPr>
          <w:rFonts w:ascii="Times New Roman" w:eastAsia="Times New Roman" w:hAnsi="Times New Roman" w:cs="Times New Roman"/>
          <w:sz w:val="24"/>
          <w:szCs w:val="24"/>
        </w:rPr>
        <w:t>PPP</w:t>
      </w:r>
      <w:r w:rsidR="2736BF54" w:rsidRPr="00175C1E">
        <w:rPr>
          <w:rFonts w:ascii="Times New Roman" w:eastAsia="Times New Roman" w:hAnsi="Times New Roman" w:cs="Times New Roman"/>
          <w:sz w:val="24"/>
          <w:szCs w:val="24"/>
        </w:rPr>
        <w:t xml:space="preserve"> līgumā. Savukārt </w:t>
      </w:r>
      <w:r w:rsidR="6EAB4AA4" w:rsidRPr="00175C1E">
        <w:rPr>
          <w:rFonts w:ascii="Times New Roman" w:eastAsia="Times New Roman" w:hAnsi="Times New Roman" w:cs="Times New Roman"/>
          <w:sz w:val="24"/>
          <w:szCs w:val="24"/>
        </w:rPr>
        <w:t>FM</w:t>
      </w:r>
      <w:r w:rsidR="2736BF54" w:rsidRPr="00175C1E">
        <w:rPr>
          <w:rFonts w:ascii="Times New Roman" w:eastAsia="Times New Roman" w:hAnsi="Times New Roman" w:cs="Times New Roman"/>
          <w:sz w:val="24"/>
          <w:szCs w:val="24"/>
        </w:rPr>
        <w:t xml:space="preserve"> atzinum</w:t>
      </w:r>
      <w:r w:rsidR="0A789CAA" w:rsidRPr="00175C1E">
        <w:rPr>
          <w:rFonts w:ascii="Times New Roman" w:eastAsia="Times New Roman" w:hAnsi="Times New Roman" w:cs="Times New Roman"/>
          <w:sz w:val="24"/>
          <w:szCs w:val="24"/>
        </w:rPr>
        <w:t>ā</w:t>
      </w:r>
      <w:r w:rsidR="2736BF54" w:rsidRPr="00175C1E">
        <w:rPr>
          <w:rFonts w:ascii="Times New Roman" w:eastAsia="Times New Roman" w:hAnsi="Times New Roman" w:cs="Times New Roman"/>
          <w:sz w:val="24"/>
          <w:szCs w:val="24"/>
        </w:rPr>
        <w:t xml:space="preserve"> konstatēts, ka pašreizējā projekta izvērtēšanas stadijā potenciālā </w:t>
      </w:r>
      <w:r w:rsidR="6870891A" w:rsidRPr="00175C1E">
        <w:rPr>
          <w:rFonts w:ascii="Times New Roman" w:eastAsia="Times New Roman" w:hAnsi="Times New Roman" w:cs="Times New Roman"/>
          <w:sz w:val="24"/>
          <w:szCs w:val="24"/>
        </w:rPr>
        <w:t>PPP</w:t>
      </w:r>
      <w:r w:rsidR="2736BF54" w:rsidRPr="00175C1E">
        <w:rPr>
          <w:rFonts w:ascii="Times New Roman" w:eastAsia="Times New Roman" w:hAnsi="Times New Roman" w:cs="Times New Roman"/>
          <w:sz w:val="24"/>
          <w:szCs w:val="24"/>
        </w:rPr>
        <w:t xml:space="preserve"> līguma aktīvi provizoriski ir attiecināmi kā privātā partnera bilancē esoši</w:t>
      </w:r>
      <w:r w:rsidR="224B9545" w:rsidRPr="00175C1E">
        <w:rPr>
          <w:rFonts w:ascii="Times New Roman" w:eastAsia="Times New Roman" w:hAnsi="Times New Roman" w:cs="Times New Roman"/>
          <w:sz w:val="24"/>
          <w:szCs w:val="24"/>
        </w:rPr>
        <w:t>.</w:t>
      </w:r>
      <w:r w:rsidR="2736BF54" w:rsidRPr="00175C1E">
        <w:rPr>
          <w:rFonts w:ascii="Times New Roman" w:eastAsia="Times New Roman" w:hAnsi="Times New Roman" w:cs="Times New Roman"/>
          <w:sz w:val="24"/>
          <w:szCs w:val="24"/>
        </w:rPr>
        <w:t xml:space="preserve"> </w:t>
      </w:r>
      <w:r w:rsidR="1E24884B" w:rsidRPr="00175C1E">
        <w:rPr>
          <w:rFonts w:ascii="Times New Roman" w:hAnsi="Times New Roman" w:cs="Times New Roman"/>
          <w:sz w:val="24"/>
          <w:szCs w:val="24"/>
        </w:rPr>
        <w:t xml:space="preserve">Jāatzīmē, ka pirms PPP līguma parakstīšanas tā projekts būs jāsaskaņo ar ES Statistikas biroju </w:t>
      </w:r>
      <w:r w:rsidR="1E24884B" w:rsidRPr="00175C1E">
        <w:rPr>
          <w:rFonts w:ascii="Times New Roman" w:hAnsi="Times New Roman" w:cs="Times New Roman"/>
          <w:i/>
          <w:iCs/>
          <w:sz w:val="24"/>
          <w:szCs w:val="24"/>
        </w:rPr>
        <w:t>Eurostat,</w:t>
      </w:r>
      <w:r w:rsidR="1E24884B" w:rsidRPr="00175C1E">
        <w:rPr>
          <w:rFonts w:ascii="Times New Roman" w:hAnsi="Times New Roman"/>
          <w:i/>
          <w:iCs/>
          <w:sz w:val="24"/>
          <w:szCs w:val="24"/>
        </w:rPr>
        <w:t xml:space="preserve"> </w:t>
      </w:r>
      <w:r w:rsidR="1E24884B" w:rsidRPr="00175C1E">
        <w:rPr>
          <w:rFonts w:ascii="Times New Roman" w:hAnsi="Times New Roman" w:cs="Times New Roman"/>
          <w:sz w:val="24"/>
          <w:szCs w:val="24"/>
        </w:rPr>
        <w:t>nodrošinot, ka aktīvi ir uzskaitāmi privātā partnera aktīvu bilancē</w:t>
      </w:r>
      <w:r w:rsidR="1E24884B" w:rsidRPr="00175C1E">
        <w:rPr>
          <w:rFonts w:ascii="Times New Roman" w:hAnsi="Times New Roman"/>
          <w:i/>
          <w:iCs/>
          <w:sz w:val="24"/>
          <w:szCs w:val="24"/>
        </w:rPr>
        <w:t xml:space="preserve">, </w:t>
      </w:r>
      <w:r w:rsidR="1E24884B" w:rsidRPr="00175C1E">
        <w:rPr>
          <w:rFonts w:ascii="Times New Roman" w:hAnsi="Times New Roman"/>
          <w:sz w:val="24"/>
          <w:szCs w:val="24"/>
        </w:rPr>
        <w:t>lai novērstu risku, ka projekts varētu negatīvi ietekmēt vispārējās valdības budžeta bilanci un parādu.</w:t>
      </w:r>
    </w:p>
    <w:p w14:paraId="299F1EEF" w14:textId="0BF23AE9" w:rsidR="00BB1154" w:rsidRPr="00C0189F" w:rsidRDefault="009C3123" w:rsidP="00C0189F">
      <w:pPr>
        <w:spacing w:after="100" w:afterAutospacing="1" w:line="240" w:lineRule="auto"/>
        <w:ind w:firstLine="720"/>
        <w:jc w:val="both"/>
        <w:rPr>
          <w:rFonts w:ascii="Times New Roman" w:hAnsi="Times New Roman"/>
          <w:b/>
          <w:bCs/>
          <w:sz w:val="24"/>
          <w:szCs w:val="24"/>
        </w:rPr>
      </w:pPr>
      <w:r>
        <w:rPr>
          <w:rFonts w:ascii="Times New Roman" w:hAnsi="Times New Roman"/>
          <w:sz w:val="24"/>
          <w:szCs w:val="24"/>
        </w:rPr>
        <w:t xml:space="preserve">Ārpusbilances PPP koriģētā vērtība paredz sākotnējās līgumā atrunātās kapitāla vērtības pakāpenisku samazināšanos, pamatojoties uz novērtējumu vai faktiskajiem datiem. </w:t>
      </w:r>
      <w:r w:rsidR="0969A835" w:rsidRPr="469479B5">
        <w:rPr>
          <w:rFonts w:ascii="Times New Roman" w:hAnsi="Times New Roman"/>
          <w:sz w:val="24"/>
          <w:szCs w:val="24"/>
        </w:rPr>
        <w:t>Tabulā Nr.</w:t>
      </w:r>
      <w:r w:rsidR="193417EE" w:rsidRPr="469479B5">
        <w:rPr>
          <w:rFonts w:ascii="Times New Roman" w:hAnsi="Times New Roman"/>
          <w:sz w:val="24"/>
          <w:szCs w:val="24"/>
        </w:rPr>
        <w:t>2.1</w:t>
      </w:r>
      <w:r w:rsidR="00061917">
        <w:rPr>
          <w:rFonts w:ascii="Times New Roman" w:hAnsi="Times New Roman"/>
          <w:sz w:val="24"/>
          <w:szCs w:val="24"/>
        </w:rPr>
        <w:t>3</w:t>
      </w:r>
      <w:r w:rsidR="193417EE" w:rsidRPr="469479B5">
        <w:rPr>
          <w:rFonts w:ascii="Times New Roman" w:hAnsi="Times New Roman"/>
          <w:sz w:val="24"/>
          <w:szCs w:val="24"/>
        </w:rPr>
        <w:t>.1</w:t>
      </w:r>
      <w:r w:rsidR="3F990138" w:rsidRPr="469479B5">
        <w:rPr>
          <w:rFonts w:ascii="Times New Roman" w:hAnsi="Times New Roman"/>
          <w:sz w:val="24"/>
          <w:szCs w:val="24"/>
        </w:rPr>
        <w:t xml:space="preserve"> ir apkopota informācija par pašreizējo ārpusbilances PPP projektu maksimālo iespējamo fiskālo ietekmi</w:t>
      </w:r>
      <w:r w:rsidR="3F990138" w:rsidRPr="469479B5">
        <w:rPr>
          <w:rFonts w:ascii="Times New Roman" w:hAnsi="Times New Roman" w:cs="Times New Roman"/>
          <w:sz w:val="24"/>
          <w:szCs w:val="24"/>
        </w:rPr>
        <w:t xml:space="preserve"> uz vispārējās valdības budžeta bilanci un valsts parādu, ja tie pilnā apmērā kādā no attiecīgajiem gadiem tiktu uzskaitīti publiskā partnera bilancē</w:t>
      </w:r>
      <w:r w:rsidR="3F990138" w:rsidRPr="469479B5">
        <w:rPr>
          <w:rFonts w:ascii="Times New Roman" w:hAnsi="Times New Roman"/>
          <w:sz w:val="24"/>
          <w:szCs w:val="24"/>
        </w:rPr>
        <w:t xml:space="preserve">. Tomēr, ņemot vērā, ka fiskālā riska iestāšanās tiek novērtēta tuvāk nullei, šim riskam </w:t>
      </w:r>
      <w:r w:rsidR="3F990138" w:rsidRPr="469479B5">
        <w:rPr>
          <w:rFonts w:ascii="Times New Roman" w:hAnsi="Times New Roman"/>
          <w:b/>
          <w:bCs/>
          <w:sz w:val="24"/>
          <w:szCs w:val="24"/>
        </w:rPr>
        <w:t>fiskālā nodrošinājuma rezerve netiek veidota.</w:t>
      </w:r>
    </w:p>
    <w:p w14:paraId="79BEE534" w14:textId="112B565B" w:rsidR="00C9289F" w:rsidRPr="00DB1FE8" w:rsidRDefault="00261582" w:rsidP="00BE416D">
      <w:pPr>
        <w:pStyle w:val="Default"/>
        <w:spacing w:after="160"/>
        <w:jc w:val="right"/>
        <w:rPr>
          <w:rFonts w:ascii="Times New Roman" w:hAnsi="Times New Roman" w:cs="Times New Roman"/>
          <w:b/>
          <w:bCs/>
          <w:sz w:val="23"/>
          <w:szCs w:val="23"/>
        </w:rPr>
      </w:pPr>
      <w:r w:rsidRPr="00DB1FE8">
        <w:rPr>
          <w:rFonts w:ascii="Times New Roman" w:eastAsiaTheme="minorHAnsi" w:hAnsi="Times New Roman" w:cs="Times New Roman"/>
          <w:b/>
          <w:szCs w:val="20"/>
        </w:rPr>
        <w:t>Tabula Nr.</w:t>
      </w:r>
      <w:r w:rsidR="0077673B" w:rsidRPr="00DB1FE8">
        <w:rPr>
          <w:rFonts w:ascii="Times New Roman" w:eastAsiaTheme="minorHAnsi" w:hAnsi="Times New Roman" w:cs="Times New Roman"/>
          <w:b/>
          <w:szCs w:val="20"/>
        </w:rPr>
        <w:t>2.1</w:t>
      </w:r>
      <w:r w:rsidR="00061917">
        <w:rPr>
          <w:rFonts w:ascii="Times New Roman" w:eastAsiaTheme="minorHAnsi" w:hAnsi="Times New Roman" w:cs="Times New Roman"/>
          <w:b/>
          <w:szCs w:val="20"/>
        </w:rPr>
        <w:t>3</w:t>
      </w:r>
      <w:r w:rsidR="0077673B" w:rsidRPr="00DB1FE8">
        <w:rPr>
          <w:rFonts w:ascii="Times New Roman" w:eastAsiaTheme="minorHAnsi" w:hAnsi="Times New Roman" w:cs="Times New Roman"/>
          <w:b/>
          <w:szCs w:val="20"/>
        </w:rPr>
        <w:t>.1</w:t>
      </w:r>
      <w:r w:rsidRPr="00DB1FE8">
        <w:rPr>
          <w:rFonts w:ascii="Times New Roman" w:eastAsiaTheme="minorHAnsi" w:hAnsi="Times New Roman" w:cs="Times New Roman"/>
          <w:b/>
          <w:szCs w:val="20"/>
        </w:rPr>
        <w:t xml:space="preserve"> </w:t>
      </w:r>
      <w:r w:rsidRPr="00DB1FE8">
        <w:rPr>
          <w:rFonts w:ascii="Times New Roman" w:hAnsi="Times New Roman" w:cs="Times New Roman"/>
          <w:b/>
          <w:bCs/>
          <w:sz w:val="23"/>
          <w:szCs w:val="23"/>
        </w:rPr>
        <w:t>Ārpusbilances publisko un privāto partnerību iespējamā ietekme uz vispārējās valdības budžeta bilanci un valsts parādu</w:t>
      </w:r>
      <w:r w:rsidR="00FD33F0" w:rsidRPr="00DB1FE8">
        <w:rPr>
          <w:rFonts w:ascii="Times New Roman" w:hAnsi="Times New Roman" w:cs="Times New Roman"/>
          <w:b/>
          <w:bCs/>
          <w:sz w:val="23"/>
          <w:szCs w:val="23"/>
        </w:rPr>
        <w:t>,</w:t>
      </w:r>
      <w:r w:rsidR="00F647C6" w:rsidRPr="00DB1FE8">
        <w:rPr>
          <w:rFonts w:ascii="Times New Roman" w:hAnsi="Times New Roman" w:cs="Times New Roman"/>
          <w:b/>
          <w:bCs/>
          <w:sz w:val="23"/>
          <w:szCs w:val="23"/>
        </w:rPr>
        <w:t xml:space="preserve"> </w:t>
      </w:r>
      <w:r w:rsidR="00F647C6" w:rsidRPr="00DB1FE8">
        <w:rPr>
          <w:rFonts w:ascii="Times New Roman" w:eastAsiaTheme="minorHAnsi" w:hAnsi="Times New Roman" w:cs="Times New Roman"/>
          <w:b/>
          <w:szCs w:val="20"/>
        </w:rPr>
        <w:t xml:space="preserve">milj. </w:t>
      </w:r>
      <w:r w:rsidR="00F647C6" w:rsidRPr="00DB1FE8">
        <w:rPr>
          <w:rFonts w:ascii="Times New Roman" w:eastAsiaTheme="minorHAnsi" w:hAnsi="Times New Roman" w:cs="Times New Roman"/>
          <w:b/>
          <w:i/>
          <w:szCs w:val="20"/>
        </w:rPr>
        <w:t>euro</w:t>
      </w:r>
      <w:r w:rsidR="00B34278" w:rsidRPr="005B11C2">
        <w:rPr>
          <w:rFonts w:eastAsia="Times New Roman" w:cs="Times New Roman"/>
          <w:color w:val="000000" w:themeColor="text1"/>
          <w:sz w:val="22"/>
        </w:rPr>
        <w:t>*</w:t>
      </w:r>
    </w:p>
    <w:tbl>
      <w:tblPr>
        <w:tblStyle w:val="GridTable6Colorful-Accent11"/>
        <w:tblW w:w="9898" w:type="dxa"/>
        <w:tblLayout w:type="fixed"/>
        <w:tblLook w:val="04A0" w:firstRow="1" w:lastRow="0" w:firstColumn="1" w:lastColumn="0" w:noHBand="0" w:noVBand="1"/>
      </w:tblPr>
      <w:tblGrid>
        <w:gridCol w:w="3221"/>
        <w:gridCol w:w="743"/>
        <w:gridCol w:w="743"/>
        <w:gridCol w:w="743"/>
        <w:gridCol w:w="744"/>
        <w:gridCol w:w="746"/>
        <w:gridCol w:w="744"/>
        <w:gridCol w:w="744"/>
        <w:gridCol w:w="744"/>
        <w:gridCol w:w="720"/>
        <w:gridCol w:w="6"/>
      </w:tblGrid>
      <w:tr w:rsidR="00445AD6" w:rsidRPr="00B57D0A" w14:paraId="6A6E6773" w14:textId="7C0EAABF" w:rsidTr="007440C4">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221" w:type="dxa"/>
            <w:vMerge w:val="restart"/>
            <w:vAlign w:val="center"/>
            <w:hideMark/>
          </w:tcPr>
          <w:p w14:paraId="2B6BE385" w14:textId="77777777" w:rsidR="00445AD6" w:rsidRPr="00902640" w:rsidRDefault="00445AD6" w:rsidP="469479B5">
            <w:pPr>
              <w:jc w:val="center"/>
              <w:rPr>
                <w:rFonts w:eastAsia="Times New Roman" w:cs="Times New Roman"/>
                <w:color w:val="000000" w:themeColor="text1"/>
                <w:sz w:val="20"/>
                <w:szCs w:val="20"/>
                <w:lang w:eastAsia="lv-LV"/>
              </w:rPr>
            </w:pPr>
            <w:r w:rsidRPr="00902640">
              <w:rPr>
                <w:rFonts w:eastAsia="Times New Roman" w:cs="Times New Roman"/>
                <w:color w:val="000000" w:themeColor="text1"/>
                <w:sz w:val="20"/>
                <w:szCs w:val="20"/>
                <w:lang w:eastAsia="lv-LV"/>
              </w:rPr>
              <w:t>PPP projekts</w:t>
            </w:r>
          </w:p>
        </w:tc>
        <w:tc>
          <w:tcPr>
            <w:tcW w:w="6677" w:type="dxa"/>
            <w:gridSpan w:val="10"/>
            <w:vAlign w:val="center"/>
          </w:tcPr>
          <w:p w14:paraId="650420E2" w14:textId="5A50003E" w:rsidR="00445AD6" w:rsidRPr="00902640" w:rsidRDefault="00445AD6"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902640">
              <w:rPr>
                <w:rFonts w:eastAsia="Times New Roman" w:cs="Times New Roman"/>
                <w:color w:val="000000" w:themeColor="text1"/>
                <w:sz w:val="20"/>
                <w:szCs w:val="20"/>
                <w:lang w:eastAsia="lv-LV"/>
              </w:rPr>
              <w:t>Potenciālā ietekme</w:t>
            </w:r>
            <w:r w:rsidRPr="00902640">
              <w:rPr>
                <w:rFonts w:eastAsia="Times New Roman" w:cs="Times New Roman"/>
                <w:i/>
                <w:iCs/>
                <w:color w:val="000000" w:themeColor="text1"/>
                <w:sz w:val="20"/>
                <w:szCs w:val="20"/>
                <w:lang w:eastAsia="lv-LV"/>
              </w:rPr>
              <w:t>**</w:t>
            </w:r>
          </w:p>
        </w:tc>
      </w:tr>
      <w:tr w:rsidR="00445AD6" w:rsidRPr="00B57D0A" w14:paraId="7D665427" w14:textId="36048512" w:rsidTr="007440C4">
        <w:trPr>
          <w:gridAfter w:val="1"/>
          <w:cnfStyle w:val="000000100000" w:firstRow="0" w:lastRow="0" w:firstColumn="0" w:lastColumn="0" w:oddVBand="0" w:evenVBand="0" w:oddHBand="1" w:evenHBand="0" w:firstRowFirstColumn="0" w:firstRowLastColumn="0" w:lastRowFirstColumn="0" w:lastRowLastColumn="0"/>
          <w:wAfter w:w="6" w:type="dxa"/>
          <w:trHeight w:val="252"/>
        </w:trPr>
        <w:tc>
          <w:tcPr>
            <w:cnfStyle w:val="001000000000" w:firstRow="0" w:lastRow="0" w:firstColumn="1" w:lastColumn="0" w:oddVBand="0" w:evenVBand="0" w:oddHBand="0" w:evenHBand="0" w:firstRowFirstColumn="0" w:firstRowLastColumn="0" w:lastRowFirstColumn="0" w:lastRowLastColumn="0"/>
            <w:tcW w:w="3221" w:type="dxa"/>
            <w:vMerge/>
            <w:vAlign w:val="center"/>
          </w:tcPr>
          <w:p w14:paraId="28838F74" w14:textId="77777777" w:rsidR="00445AD6" w:rsidRPr="00B60C80" w:rsidRDefault="00445AD6" w:rsidP="000775DE">
            <w:pPr>
              <w:jc w:val="center"/>
              <w:rPr>
                <w:rFonts w:eastAsia="Times New Roman" w:cs="Times New Roman"/>
                <w:b w:val="0"/>
                <w:color w:val="000000" w:themeColor="text1"/>
                <w:sz w:val="20"/>
                <w:szCs w:val="20"/>
                <w:lang w:eastAsia="lv-LV"/>
              </w:rPr>
            </w:pPr>
          </w:p>
        </w:tc>
        <w:tc>
          <w:tcPr>
            <w:tcW w:w="743" w:type="dxa"/>
            <w:vAlign w:val="center"/>
          </w:tcPr>
          <w:p w14:paraId="621EA0AA" w14:textId="2B0E9909"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2018</w:t>
            </w:r>
          </w:p>
        </w:tc>
        <w:tc>
          <w:tcPr>
            <w:tcW w:w="743" w:type="dxa"/>
            <w:vAlign w:val="center"/>
          </w:tcPr>
          <w:p w14:paraId="1F7632A1" w14:textId="0B56FF69"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2019</w:t>
            </w:r>
          </w:p>
        </w:tc>
        <w:tc>
          <w:tcPr>
            <w:tcW w:w="743" w:type="dxa"/>
            <w:vAlign w:val="center"/>
          </w:tcPr>
          <w:p w14:paraId="2C02FE4E" w14:textId="6EF09AF9"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2020</w:t>
            </w:r>
          </w:p>
        </w:tc>
        <w:tc>
          <w:tcPr>
            <w:tcW w:w="744" w:type="dxa"/>
            <w:vAlign w:val="center"/>
          </w:tcPr>
          <w:p w14:paraId="7A09CEC0" w14:textId="2D9E467D"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2021</w:t>
            </w:r>
          </w:p>
        </w:tc>
        <w:tc>
          <w:tcPr>
            <w:tcW w:w="746" w:type="dxa"/>
            <w:vAlign w:val="center"/>
          </w:tcPr>
          <w:p w14:paraId="654D9641" w14:textId="77777777"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2022</w:t>
            </w:r>
          </w:p>
        </w:tc>
        <w:tc>
          <w:tcPr>
            <w:tcW w:w="744" w:type="dxa"/>
            <w:vAlign w:val="center"/>
          </w:tcPr>
          <w:p w14:paraId="6C8A3B37" w14:textId="77777777"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2023</w:t>
            </w:r>
          </w:p>
        </w:tc>
        <w:tc>
          <w:tcPr>
            <w:tcW w:w="744" w:type="dxa"/>
            <w:vAlign w:val="center"/>
          </w:tcPr>
          <w:p w14:paraId="0E0E93A3" w14:textId="77777777"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2024</w:t>
            </w:r>
          </w:p>
        </w:tc>
        <w:tc>
          <w:tcPr>
            <w:tcW w:w="744" w:type="dxa"/>
            <w:vAlign w:val="center"/>
          </w:tcPr>
          <w:p w14:paraId="604281FF" w14:textId="77777777"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2025</w:t>
            </w:r>
          </w:p>
        </w:tc>
        <w:tc>
          <w:tcPr>
            <w:tcW w:w="720" w:type="dxa"/>
            <w:vAlign w:val="center"/>
          </w:tcPr>
          <w:p w14:paraId="7281ECCC" w14:textId="77777777" w:rsidR="00445AD6" w:rsidRPr="00B60C80"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B60C80">
              <w:rPr>
                <w:rFonts w:eastAsia="Times New Roman" w:cs="Times New Roman"/>
                <w:b/>
                <w:bCs/>
                <w:color w:val="000000" w:themeColor="text1"/>
                <w:sz w:val="20"/>
                <w:szCs w:val="20"/>
                <w:lang w:eastAsia="lv-LV"/>
              </w:rPr>
              <w:t>2026</w:t>
            </w:r>
          </w:p>
        </w:tc>
      </w:tr>
      <w:tr w:rsidR="00445AD6" w:rsidRPr="00B57D0A" w14:paraId="2856D308" w14:textId="394983C8" w:rsidTr="007440C4">
        <w:trPr>
          <w:gridAfter w:val="1"/>
          <w:wAfter w:w="6" w:type="dxa"/>
          <w:trHeight w:val="223"/>
        </w:trPr>
        <w:tc>
          <w:tcPr>
            <w:cnfStyle w:val="001000000000" w:firstRow="0" w:lastRow="0" w:firstColumn="1" w:lastColumn="0" w:oddVBand="0" w:evenVBand="0" w:oddHBand="0" w:evenHBand="0" w:firstRowFirstColumn="0" w:firstRowLastColumn="0" w:lastRowFirstColumn="0" w:lastRowLastColumn="0"/>
            <w:tcW w:w="3221" w:type="dxa"/>
            <w:vAlign w:val="center"/>
            <w:hideMark/>
          </w:tcPr>
          <w:p w14:paraId="59B75AB8" w14:textId="1D282D69" w:rsidR="00445AD6" w:rsidRPr="00B60C80" w:rsidRDefault="00445AD6" w:rsidP="469479B5">
            <w:pPr>
              <w:jc w:val="center"/>
              <w:rPr>
                <w:rFonts w:eastAsia="Times New Roman" w:cs="Times New Roman"/>
                <w:b w:val="0"/>
                <w:bCs w:val="0"/>
                <w:color w:val="000000" w:themeColor="text1"/>
                <w:sz w:val="20"/>
                <w:szCs w:val="20"/>
                <w:lang w:eastAsia="lv-LV"/>
              </w:rPr>
            </w:pPr>
            <w:r w:rsidRPr="00B60C80">
              <w:rPr>
                <w:rFonts w:eastAsia="Times New Roman" w:cs="Times New Roman"/>
                <w:color w:val="000000" w:themeColor="text1"/>
                <w:sz w:val="20"/>
                <w:szCs w:val="20"/>
              </w:rPr>
              <w:t>Pirmsskolas izglītības iestāžu būvniecība un apsaimniekošana</w:t>
            </w:r>
          </w:p>
        </w:tc>
        <w:tc>
          <w:tcPr>
            <w:tcW w:w="743" w:type="dxa"/>
            <w:vAlign w:val="center"/>
          </w:tcPr>
          <w:p w14:paraId="301FF426" w14:textId="683DF4C9"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5</w:t>
            </w:r>
          </w:p>
        </w:tc>
        <w:tc>
          <w:tcPr>
            <w:tcW w:w="743" w:type="dxa"/>
            <w:vAlign w:val="center"/>
          </w:tcPr>
          <w:p w14:paraId="332303D6" w14:textId="3619E785"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4</w:t>
            </w:r>
          </w:p>
        </w:tc>
        <w:tc>
          <w:tcPr>
            <w:tcW w:w="743" w:type="dxa"/>
            <w:vAlign w:val="center"/>
          </w:tcPr>
          <w:p w14:paraId="5C310D57" w14:textId="3D399E6E"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4</w:t>
            </w:r>
          </w:p>
        </w:tc>
        <w:tc>
          <w:tcPr>
            <w:tcW w:w="744" w:type="dxa"/>
            <w:vAlign w:val="center"/>
          </w:tcPr>
          <w:p w14:paraId="495E3440" w14:textId="09E2C876"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3</w:t>
            </w:r>
          </w:p>
        </w:tc>
        <w:tc>
          <w:tcPr>
            <w:tcW w:w="746" w:type="dxa"/>
            <w:vAlign w:val="center"/>
          </w:tcPr>
          <w:p w14:paraId="3E0766EC" w14:textId="77777777"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3</w:t>
            </w:r>
          </w:p>
        </w:tc>
        <w:tc>
          <w:tcPr>
            <w:tcW w:w="744" w:type="dxa"/>
            <w:vAlign w:val="center"/>
          </w:tcPr>
          <w:p w14:paraId="3D044640" w14:textId="77777777"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2</w:t>
            </w:r>
          </w:p>
        </w:tc>
        <w:tc>
          <w:tcPr>
            <w:tcW w:w="744" w:type="dxa"/>
            <w:vAlign w:val="center"/>
          </w:tcPr>
          <w:p w14:paraId="6807C8E8" w14:textId="77777777"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2</w:t>
            </w:r>
          </w:p>
        </w:tc>
        <w:tc>
          <w:tcPr>
            <w:tcW w:w="744" w:type="dxa"/>
            <w:vAlign w:val="center"/>
          </w:tcPr>
          <w:p w14:paraId="0DB36D50" w14:textId="77777777"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2</w:t>
            </w:r>
          </w:p>
        </w:tc>
        <w:tc>
          <w:tcPr>
            <w:tcW w:w="720" w:type="dxa"/>
            <w:vAlign w:val="center"/>
          </w:tcPr>
          <w:p w14:paraId="3775414C" w14:textId="117FACD9" w:rsidR="00445AD6" w:rsidRPr="00B60C80" w:rsidRDefault="00445AD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60C80">
              <w:rPr>
                <w:rFonts w:eastAsia="Times New Roman" w:cs="Times New Roman"/>
                <w:color w:val="000000" w:themeColor="text1"/>
                <w:sz w:val="20"/>
                <w:szCs w:val="20"/>
                <w:lang w:eastAsia="lv-LV"/>
              </w:rPr>
              <w:t>1</w:t>
            </w:r>
          </w:p>
        </w:tc>
      </w:tr>
      <w:tr w:rsidR="00445AD6" w:rsidRPr="00B57D0A" w14:paraId="08C3473C" w14:textId="5199A6B2" w:rsidTr="007440C4">
        <w:trPr>
          <w:gridAfter w:val="1"/>
          <w:cnfStyle w:val="000000100000" w:firstRow="0" w:lastRow="0" w:firstColumn="0" w:lastColumn="0" w:oddVBand="0" w:evenVBand="0" w:oddHBand="1" w:evenHBand="0" w:firstRowFirstColumn="0" w:firstRowLastColumn="0" w:lastRowFirstColumn="0" w:lastRowLastColumn="0"/>
          <w:wAfter w:w="6" w:type="dxa"/>
          <w:trHeight w:val="223"/>
        </w:trPr>
        <w:tc>
          <w:tcPr>
            <w:cnfStyle w:val="001000000000" w:firstRow="0" w:lastRow="0" w:firstColumn="1" w:lastColumn="0" w:oddVBand="0" w:evenVBand="0" w:oddHBand="0" w:evenHBand="0" w:firstRowFirstColumn="0" w:firstRowLastColumn="0" w:lastRowFirstColumn="0" w:lastRowLastColumn="0"/>
            <w:tcW w:w="3221" w:type="dxa"/>
            <w:vAlign w:val="center"/>
          </w:tcPr>
          <w:p w14:paraId="25EAAC41" w14:textId="77777777" w:rsidR="00445AD6" w:rsidRPr="007440C4" w:rsidRDefault="00445AD6" w:rsidP="469479B5">
            <w:pPr>
              <w:jc w:val="center"/>
              <w:rPr>
                <w:rFonts w:eastAsia="Times New Roman" w:cs="Times New Roman"/>
                <w:color w:val="000000" w:themeColor="text1"/>
                <w:sz w:val="20"/>
                <w:szCs w:val="20"/>
              </w:rPr>
            </w:pPr>
            <w:r w:rsidRPr="007440C4">
              <w:rPr>
                <w:rFonts w:eastAsia="Times New Roman" w:cs="Times New Roman"/>
                <w:color w:val="000000" w:themeColor="text1"/>
                <w:sz w:val="20"/>
                <w:szCs w:val="20"/>
              </w:rPr>
              <w:t>Ķekavas apvedceļa PPP</w:t>
            </w:r>
          </w:p>
        </w:tc>
        <w:tc>
          <w:tcPr>
            <w:tcW w:w="743" w:type="dxa"/>
            <w:vAlign w:val="center"/>
          </w:tcPr>
          <w:p w14:paraId="1D73E1FA" w14:textId="540F290B"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w:t>
            </w:r>
          </w:p>
        </w:tc>
        <w:tc>
          <w:tcPr>
            <w:tcW w:w="743" w:type="dxa"/>
            <w:vAlign w:val="center"/>
          </w:tcPr>
          <w:p w14:paraId="5F2B00E8" w14:textId="162A058E"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w:t>
            </w:r>
          </w:p>
        </w:tc>
        <w:tc>
          <w:tcPr>
            <w:tcW w:w="743" w:type="dxa"/>
            <w:vAlign w:val="center"/>
          </w:tcPr>
          <w:p w14:paraId="17A12F99" w14:textId="37D36979"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w:t>
            </w:r>
          </w:p>
        </w:tc>
        <w:tc>
          <w:tcPr>
            <w:tcW w:w="744" w:type="dxa"/>
            <w:vAlign w:val="center"/>
          </w:tcPr>
          <w:p w14:paraId="36847E30" w14:textId="2962E5B2"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11</w:t>
            </w:r>
          </w:p>
        </w:tc>
        <w:tc>
          <w:tcPr>
            <w:tcW w:w="746" w:type="dxa"/>
            <w:vAlign w:val="center"/>
          </w:tcPr>
          <w:p w14:paraId="13E9B675" w14:textId="52129B41"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77</w:t>
            </w:r>
          </w:p>
        </w:tc>
        <w:tc>
          <w:tcPr>
            <w:tcW w:w="744" w:type="dxa"/>
            <w:vAlign w:val="center"/>
          </w:tcPr>
          <w:p w14:paraId="080950C4" w14:textId="2EDAF24B"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255</w:t>
            </w:r>
          </w:p>
        </w:tc>
        <w:tc>
          <w:tcPr>
            <w:tcW w:w="744" w:type="dxa"/>
            <w:vAlign w:val="center"/>
          </w:tcPr>
          <w:p w14:paraId="686C33C3" w14:textId="208DED62"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242</w:t>
            </w:r>
          </w:p>
        </w:tc>
        <w:tc>
          <w:tcPr>
            <w:tcW w:w="744" w:type="dxa"/>
            <w:vAlign w:val="center"/>
          </w:tcPr>
          <w:p w14:paraId="1A0AA166" w14:textId="7FD87CAC"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229</w:t>
            </w:r>
          </w:p>
        </w:tc>
        <w:tc>
          <w:tcPr>
            <w:tcW w:w="720" w:type="dxa"/>
            <w:vAlign w:val="center"/>
          </w:tcPr>
          <w:p w14:paraId="24DE8C90" w14:textId="2F33DBE7" w:rsidR="00445AD6" w:rsidRPr="007440C4" w:rsidRDefault="00445AD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7440C4">
              <w:rPr>
                <w:rFonts w:eastAsia="Times New Roman" w:cs="Times New Roman"/>
                <w:color w:val="000000" w:themeColor="text1"/>
                <w:sz w:val="20"/>
                <w:szCs w:val="20"/>
                <w:lang w:eastAsia="lv-LV"/>
              </w:rPr>
              <w:t>216</w:t>
            </w:r>
          </w:p>
        </w:tc>
      </w:tr>
    </w:tbl>
    <w:p w14:paraId="7BB011CA" w14:textId="77777777" w:rsidR="00430F09" w:rsidRDefault="00430F09" w:rsidP="00940337">
      <w:pPr>
        <w:spacing w:after="0" w:line="240" w:lineRule="auto"/>
        <w:rPr>
          <w:rFonts w:ascii="Times New Roman" w:eastAsiaTheme="minorHAnsi" w:hAnsi="Times New Roman"/>
          <w:i/>
          <w:sz w:val="20"/>
          <w:szCs w:val="20"/>
        </w:rPr>
      </w:pPr>
      <w:r w:rsidRPr="00DB1FE8">
        <w:rPr>
          <w:rFonts w:ascii="Times New Roman" w:eastAsiaTheme="minorHAnsi" w:hAnsi="Times New Roman"/>
          <w:i/>
          <w:sz w:val="20"/>
          <w:szCs w:val="20"/>
        </w:rPr>
        <w:t>* FM novērtējums.</w:t>
      </w:r>
      <w:r w:rsidRPr="00430F09">
        <w:rPr>
          <w:rFonts w:ascii="Times New Roman" w:eastAsiaTheme="minorHAnsi" w:hAnsi="Times New Roman"/>
          <w:i/>
          <w:sz w:val="20"/>
          <w:szCs w:val="20"/>
        </w:rPr>
        <w:t xml:space="preserve"> </w:t>
      </w:r>
    </w:p>
    <w:p w14:paraId="56FA4DA0" w14:textId="245F6B9C" w:rsidR="00261582" w:rsidRPr="00DB1FE8" w:rsidRDefault="00430F09" w:rsidP="00940337">
      <w:pPr>
        <w:spacing w:after="0" w:line="240" w:lineRule="auto"/>
        <w:rPr>
          <w:rFonts w:ascii="Times New Roman" w:hAnsi="Times New Roman"/>
          <w:i/>
          <w:iCs/>
          <w:sz w:val="20"/>
          <w:szCs w:val="20"/>
        </w:rPr>
      </w:pPr>
      <w:r w:rsidRPr="00DB1FE8">
        <w:rPr>
          <w:rFonts w:ascii="Times New Roman" w:eastAsiaTheme="minorHAnsi" w:hAnsi="Times New Roman"/>
          <w:i/>
          <w:sz w:val="20"/>
          <w:szCs w:val="20"/>
        </w:rPr>
        <w:t>*</w:t>
      </w:r>
      <w:r w:rsidR="3F990138" w:rsidRPr="469479B5">
        <w:rPr>
          <w:rFonts w:ascii="Times New Roman" w:hAnsi="Times New Roman"/>
          <w:i/>
          <w:iCs/>
          <w:sz w:val="20"/>
          <w:szCs w:val="20"/>
        </w:rPr>
        <w:t>* Novērtētā ietekme norāda negatīvo fiskālo ietekmi, kas potenciāli rastos, ja projekts pilnā apmērā tiktu attiecināts publiskā partnera bilancē kādā no attiecīgajiem gadiem.</w:t>
      </w:r>
    </w:p>
    <w:bookmarkEnd w:id="111"/>
    <w:p w14:paraId="7815C7F5" w14:textId="77777777" w:rsidR="00261582" w:rsidRPr="006E3148" w:rsidRDefault="00261582" w:rsidP="00810AFB">
      <w:pPr>
        <w:spacing w:after="0" w:line="240" w:lineRule="auto"/>
        <w:jc w:val="both"/>
        <w:rPr>
          <w:rFonts w:ascii="Times New Roman" w:eastAsiaTheme="minorHAnsi" w:hAnsi="Times New Roman" w:cs="Times New Roman"/>
          <w:sz w:val="16"/>
          <w:szCs w:val="12"/>
        </w:rPr>
      </w:pPr>
    </w:p>
    <w:p w14:paraId="5E560C4B" w14:textId="17CAC994" w:rsidR="005962CD" w:rsidRPr="00980D91" w:rsidRDefault="005962CD" w:rsidP="0058124B">
      <w:pPr>
        <w:pStyle w:val="Heading2"/>
        <w:numPr>
          <w:ilvl w:val="1"/>
          <w:numId w:val="4"/>
        </w:numPr>
        <w:spacing w:before="120" w:after="120" w:line="240" w:lineRule="auto"/>
        <w:ind w:left="0" w:firstLine="0"/>
        <w:rPr>
          <w:rFonts w:cs="Times New Roman"/>
          <w:bCs w:val="0"/>
          <w:szCs w:val="24"/>
        </w:rPr>
      </w:pPr>
      <w:bookmarkStart w:id="115" w:name="_Toc121870862"/>
      <w:bookmarkStart w:id="116" w:name="_Toc125316306"/>
      <w:bookmarkStart w:id="117" w:name="_Toc125316667"/>
      <w:bookmarkStart w:id="118" w:name="_Toc125362728"/>
      <w:bookmarkStart w:id="119" w:name="_Toc125382149"/>
      <w:bookmarkStart w:id="120" w:name="_Toc125399741"/>
      <w:bookmarkStart w:id="121" w:name="_Toc121870863"/>
      <w:bookmarkStart w:id="122" w:name="_Toc125316307"/>
      <w:bookmarkStart w:id="123" w:name="_Toc125316668"/>
      <w:bookmarkStart w:id="124" w:name="_Toc125362729"/>
      <w:bookmarkStart w:id="125" w:name="_Toc125382150"/>
      <w:bookmarkStart w:id="126" w:name="_Toc125399742"/>
      <w:bookmarkStart w:id="127" w:name="_Toc80106057"/>
      <w:bookmarkStart w:id="128" w:name="_Toc205554425"/>
      <w:bookmarkEnd w:id="115"/>
      <w:bookmarkEnd w:id="116"/>
      <w:bookmarkEnd w:id="117"/>
      <w:bookmarkEnd w:id="118"/>
      <w:bookmarkEnd w:id="119"/>
      <w:bookmarkEnd w:id="120"/>
      <w:bookmarkEnd w:id="121"/>
      <w:bookmarkEnd w:id="122"/>
      <w:bookmarkEnd w:id="123"/>
      <w:bookmarkEnd w:id="124"/>
      <w:bookmarkEnd w:id="125"/>
      <w:bookmarkEnd w:id="126"/>
      <w:bookmarkEnd w:id="127"/>
      <w:r w:rsidRPr="00980D91">
        <w:rPr>
          <w:rFonts w:cs="Times New Roman"/>
          <w:bCs w:val="0"/>
          <w:szCs w:val="24"/>
        </w:rPr>
        <w:t>Enerģijas publiskais tirgotājs</w:t>
      </w:r>
      <w:bookmarkEnd w:id="128"/>
    </w:p>
    <w:p w14:paraId="26227051" w14:textId="026325E0" w:rsidR="005962CD" w:rsidRPr="00BB661E" w:rsidRDefault="073CDFD1" w:rsidP="005962CD">
      <w:pPr>
        <w:spacing w:after="0" w:line="240" w:lineRule="auto"/>
        <w:ind w:firstLine="709"/>
        <w:jc w:val="both"/>
        <w:rPr>
          <w:rFonts w:ascii="Times New Roman" w:hAnsi="Times New Roman" w:cs="Times New Roman"/>
          <w:sz w:val="24"/>
          <w:szCs w:val="24"/>
        </w:rPr>
      </w:pPr>
      <w:r w:rsidRPr="00BB661E">
        <w:rPr>
          <w:rFonts w:ascii="Times New Roman" w:hAnsi="Times New Roman" w:cs="Times New Roman"/>
          <w:sz w:val="24"/>
          <w:szCs w:val="24"/>
        </w:rPr>
        <w:t>OIK tik</w:t>
      </w:r>
      <w:r w:rsidR="57595CEF" w:rsidRPr="00BB661E">
        <w:rPr>
          <w:rFonts w:ascii="Times New Roman" w:hAnsi="Times New Roman" w:cs="Times New Roman"/>
          <w:sz w:val="24"/>
          <w:szCs w:val="24"/>
        </w:rPr>
        <w:t>a</w:t>
      </w:r>
      <w:r w:rsidRPr="00BB661E">
        <w:rPr>
          <w:rFonts w:ascii="Times New Roman" w:hAnsi="Times New Roman" w:cs="Times New Roman"/>
          <w:sz w:val="24"/>
          <w:szCs w:val="24"/>
        </w:rPr>
        <w:t xml:space="preserve"> iekļauta rēķinā, ko klienti maksā</w:t>
      </w:r>
      <w:r w:rsidR="57595CEF" w:rsidRPr="00BB661E">
        <w:rPr>
          <w:rFonts w:ascii="Times New Roman" w:hAnsi="Times New Roman" w:cs="Times New Roman"/>
          <w:sz w:val="24"/>
          <w:szCs w:val="24"/>
        </w:rPr>
        <w:t>ja</w:t>
      </w:r>
      <w:r w:rsidRPr="00BB661E">
        <w:rPr>
          <w:rFonts w:ascii="Times New Roman" w:hAnsi="Times New Roman" w:cs="Times New Roman"/>
          <w:sz w:val="24"/>
          <w:szCs w:val="24"/>
        </w:rPr>
        <w:t xml:space="preserve"> par patērēto elektroenerģiju un sistēmas pakalpojumiem. Pienākums iekasēt OIK ieņēmumus no klientiem </w:t>
      </w:r>
      <w:r w:rsidR="57595CEF" w:rsidRPr="00BB661E">
        <w:rPr>
          <w:rFonts w:ascii="Times New Roman" w:hAnsi="Times New Roman" w:cs="Times New Roman"/>
          <w:sz w:val="24"/>
          <w:szCs w:val="24"/>
        </w:rPr>
        <w:t xml:space="preserve">bija </w:t>
      </w:r>
      <w:r w:rsidRPr="00BB661E">
        <w:rPr>
          <w:rFonts w:ascii="Times New Roman" w:hAnsi="Times New Roman" w:cs="Times New Roman"/>
          <w:sz w:val="24"/>
          <w:szCs w:val="24"/>
        </w:rPr>
        <w:t>sadales un pārvades sistēmas operatoriem</w:t>
      </w:r>
      <w:r w:rsidR="005962CD" w:rsidRPr="00BB661E">
        <w:rPr>
          <w:rStyle w:val="FootnoteReference"/>
          <w:rFonts w:ascii="Times New Roman" w:hAnsi="Times New Roman" w:cs="Times New Roman"/>
          <w:sz w:val="24"/>
          <w:szCs w:val="24"/>
        </w:rPr>
        <w:footnoteReference w:id="44"/>
      </w:r>
      <w:r w:rsidRPr="00BB661E">
        <w:rPr>
          <w:rFonts w:ascii="Times New Roman" w:hAnsi="Times New Roman" w:cs="Times New Roman"/>
          <w:sz w:val="24"/>
          <w:szCs w:val="24"/>
        </w:rPr>
        <w:t>, kas tālāk šos ieņēmumus pārskait</w:t>
      </w:r>
      <w:r w:rsidR="57595CEF" w:rsidRPr="00BB661E">
        <w:rPr>
          <w:rFonts w:ascii="Times New Roman" w:hAnsi="Times New Roman" w:cs="Times New Roman"/>
          <w:sz w:val="24"/>
          <w:szCs w:val="24"/>
        </w:rPr>
        <w:t>īja</w:t>
      </w:r>
      <w:r w:rsidR="6FDFE83E" w:rsidRPr="00BB661E">
        <w:rPr>
          <w:rFonts w:ascii="Times New Roman" w:hAnsi="Times New Roman" w:cs="Times New Roman"/>
          <w:sz w:val="24"/>
          <w:szCs w:val="24"/>
        </w:rPr>
        <w:t xml:space="preserve"> </w:t>
      </w:r>
      <w:r w:rsidR="006434E1">
        <w:rPr>
          <w:rFonts w:ascii="Times New Roman" w:hAnsi="Times New Roman" w:cs="Times New Roman"/>
          <w:sz w:val="24"/>
          <w:szCs w:val="24"/>
        </w:rPr>
        <w:t>EPT</w:t>
      </w:r>
      <w:r w:rsidRPr="00BB661E">
        <w:rPr>
          <w:rFonts w:ascii="Times New Roman" w:hAnsi="Times New Roman" w:cs="Times New Roman"/>
          <w:sz w:val="24"/>
          <w:szCs w:val="24"/>
        </w:rPr>
        <w:t xml:space="preserve">. </w:t>
      </w:r>
      <w:r w:rsidR="48A57984" w:rsidRPr="00BB661E">
        <w:rPr>
          <w:rFonts w:ascii="Times New Roman" w:hAnsi="Times New Roman" w:cs="Times New Roman"/>
          <w:sz w:val="24"/>
          <w:szCs w:val="24"/>
        </w:rPr>
        <w:t xml:space="preserve">Vēsturiski </w:t>
      </w:r>
      <w:r w:rsidRPr="00BB661E">
        <w:rPr>
          <w:rFonts w:ascii="Times New Roman" w:hAnsi="Times New Roman" w:cs="Times New Roman"/>
          <w:sz w:val="24"/>
          <w:szCs w:val="24"/>
        </w:rPr>
        <w:t>OIK apmēru, kuru maksā</w:t>
      </w:r>
      <w:r w:rsidR="008B0132">
        <w:rPr>
          <w:rFonts w:ascii="Times New Roman" w:hAnsi="Times New Roman" w:cs="Times New Roman"/>
          <w:sz w:val="24"/>
          <w:szCs w:val="24"/>
        </w:rPr>
        <w:t>ja</w:t>
      </w:r>
      <w:r w:rsidRPr="00BB661E">
        <w:rPr>
          <w:rFonts w:ascii="Times New Roman" w:hAnsi="Times New Roman" w:cs="Times New Roman"/>
          <w:sz w:val="24"/>
          <w:szCs w:val="24"/>
        </w:rPr>
        <w:t xml:space="preserve"> gala patērētāji, ierobežo</w:t>
      </w:r>
      <w:r w:rsidR="48A57984" w:rsidRPr="00BB661E">
        <w:rPr>
          <w:rFonts w:ascii="Times New Roman" w:hAnsi="Times New Roman" w:cs="Times New Roman"/>
          <w:sz w:val="24"/>
          <w:szCs w:val="24"/>
        </w:rPr>
        <w:t>ja</w:t>
      </w:r>
      <w:r w:rsidRPr="00BB661E">
        <w:rPr>
          <w:rFonts w:ascii="Times New Roman" w:hAnsi="Times New Roman" w:cs="Times New Roman"/>
          <w:sz w:val="24"/>
          <w:szCs w:val="24"/>
        </w:rPr>
        <w:t xml:space="preserve"> ar atsevišķiem tiesību aktiem, paredzot, ka visu to apjomu, ko nesedz gala lietotāju maksājumi, sedz valsts budžeta līdzfinansējums.</w:t>
      </w:r>
    </w:p>
    <w:p w14:paraId="257B0E34" w14:textId="7D1FDA9A" w:rsidR="0079427B" w:rsidRPr="00BB661E" w:rsidRDefault="5A45F9FA" w:rsidP="00D42975">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MK</w:t>
      </w:r>
      <w:r w:rsidR="78585727" w:rsidRPr="469479B5">
        <w:rPr>
          <w:rFonts w:ascii="Times New Roman" w:hAnsi="Times New Roman" w:cs="Times New Roman"/>
          <w:sz w:val="24"/>
          <w:szCs w:val="24"/>
        </w:rPr>
        <w:t xml:space="preserve"> 2022.</w:t>
      </w:r>
      <w:r w:rsidR="489E3FEF" w:rsidRPr="469479B5">
        <w:rPr>
          <w:rFonts w:ascii="Times New Roman" w:hAnsi="Times New Roman" w:cs="Times New Roman"/>
          <w:b/>
          <w:bCs/>
          <w:sz w:val="24"/>
          <w:szCs w:val="24"/>
        </w:rPr>
        <w:t xml:space="preserve"> </w:t>
      </w:r>
      <w:r w:rsidR="78585727" w:rsidRPr="469479B5">
        <w:rPr>
          <w:rFonts w:ascii="Times New Roman" w:hAnsi="Times New Roman" w:cs="Times New Roman"/>
          <w:sz w:val="24"/>
          <w:szCs w:val="24"/>
        </w:rPr>
        <w:t>gada 30.</w:t>
      </w:r>
      <w:r w:rsidR="3252FCAE" w:rsidRPr="469479B5">
        <w:rPr>
          <w:rFonts w:ascii="Times New Roman" w:hAnsi="Times New Roman" w:cs="Times New Roman"/>
          <w:b/>
          <w:bCs/>
          <w:sz w:val="24"/>
          <w:szCs w:val="24"/>
        </w:rPr>
        <w:t xml:space="preserve"> </w:t>
      </w:r>
      <w:r w:rsidR="78585727" w:rsidRPr="469479B5">
        <w:rPr>
          <w:rFonts w:ascii="Times New Roman" w:hAnsi="Times New Roman" w:cs="Times New Roman"/>
          <w:sz w:val="24"/>
          <w:szCs w:val="24"/>
        </w:rPr>
        <w:t xml:space="preserve">augusta sēdē tika izskatīts </w:t>
      </w:r>
      <w:r w:rsidR="00B0405A">
        <w:rPr>
          <w:rFonts w:ascii="Times New Roman" w:hAnsi="Times New Roman" w:cs="Times New Roman"/>
          <w:sz w:val="24"/>
          <w:szCs w:val="24"/>
        </w:rPr>
        <w:t>EM</w:t>
      </w:r>
      <w:r w:rsidR="78585727" w:rsidRPr="469479B5">
        <w:rPr>
          <w:rFonts w:ascii="Times New Roman" w:hAnsi="Times New Roman" w:cs="Times New Roman"/>
          <w:sz w:val="24"/>
          <w:szCs w:val="24"/>
        </w:rPr>
        <w:t xml:space="preserve"> sagatavotais</w:t>
      </w:r>
      <w:r w:rsidR="67749BB2" w:rsidRPr="469479B5">
        <w:rPr>
          <w:rFonts w:ascii="Times New Roman" w:hAnsi="Times New Roman" w:cs="Times New Roman"/>
          <w:sz w:val="24"/>
          <w:szCs w:val="24"/>
        </w:rPr>
        <w:t xml:space="preserve"> </w:t>
      </w:r>
      <w:r w:rsidR="78585727" w:rsidRPr="469479B5">
        <w:rPr>
          <w:rFonts w:ascii="Times New Roman" w:hAnsi="Times New Roman" w:cs="Times New Roman"/>
          <w:sz w:val="24"/>
          <w:szCs w:val="24"/>
        </w:rPr>
        <w:t>konceptuālais</w:t>
      </w:r>
      <w:r w:rsidR="06F2B042" w:rsidRPr="469479B5">
        <w:rPr>
          <w:rFonts w:ascii="Times New Roman" w:hAnsi="Times New Roman" w:cs="Times New Roman"/>
          <w:sz w:val="24"/>
          <w:szCs w:val="24"/>
        </w:rPr>
        <w:t xml:space="preserve"> </w:t>
      </w:r>
      <w:r w:rsidR="78585727" w:rsidRPr="469479B5">
        <w:rPr>
          <w:rFonts w:ascii="Times New Roman" w:hAnsi="Times New Roman" w:cs="Times New Roman"/>
          <w:sz w:val="24"/>
          <w:szCs w:val="24"/>
        </w:rPr>
        <w:t>ziņojums</w:t>
      </w:r>
      <w:r w:rsidR="41AB8F16" w:rsidRPr="469479B5">
        <w:rPr>
          <w:rFonts w:ascii="Times New Roman" w:hAnsi="Times New Roman" w:cs="Times New Roman"/>
          <w:sz w:val="24"/>
          <w:szCs w:val="24"/>
        </w:rPr>
        <w:t xml:space="preserve"> “</w:t>
      </w:r>
      <w:r w:rsidR="78585727" w:rsidRPr="469479B5">
        <w:rPr>
          <w:rFonts w:ascii="Times New Roman" w:hAnsi="Times New Roman" w:cs="Times New Roman"/>
          <w:sz w:val="24"/>
          <w:szCs w:val="24"/>
        </w:rPr>
        <w:t xml:space="preserve">Kompleksi pasākumi </w:t>
      </w:r>
      <w:r w:rsidR="78B72E90" w:rsidRPr="469479B5">
        <w:rPr>
          <w:rFonts w:ascii="Times New Roman" w:hAnsi="Times New Roman" w:cs="Times New Roman"/>
          <w:color w:val="000000" w:themeColor="text1"/>
          <w:sz w:val="24"/>
          <w:szCs w:val="24"/>
        </w:rPr>
        <w:t>OIK</w:t>
      </w:r>
      <w:r w:rsidR="78B72E90" w:rsidRPr="469479B5">
        <w:rPr>
          <w:rFonts w:ascii="Times New Roman" w:hAnsi="Times New Roman" w:cs="Times New Roman"/>
          <w:sz w:val="24"/>
          <w:szCs w:val="24"/>
        </w:rPr>
        <w:t xml:space="preserve"> </w:t>
      </w:r>
      <w:r w:rsidR="78585727" w:rsidRPr="469479B5">
        <w:rPr>
          <w:rFonts w:ascii="Times New Roman" w:hAnsi="Times New Roman" w:cs="Times New Roman"/>
          <w:sz w:val="24"/>
          <w:szCs w:val="24"/>
        </w:rPr>
        <w:t>problemātikas risināšanai un elektroenerģijas tirgus attīstībai</w:t>
      </w:r>
      <w:r w:rsidR="19E099FC" w:rsidRPr="469479B5">
        <w:rPr>
          <w:rFonts w:ascii="Times New Roman" w:hAnsi="Times New Roman" w:cs="Times New Roman"/>
          <w:sz w:val="24"/>
          <w:szCs w:val="24"/>
        </w:rPr>
        <w:t>”</w:t>
      </w:r>
      <w:r w:rsidR="78585727" w:rsidRPr="469479B5">
        <w:rPr>
          <w:rFonts w:ascii="Times New Roman" w:hAnsi="Times New Roman" w:cs="Times New Roman"/>
          <w:sz w:val="24"/>
          <w:szCs w:val="24"/>
        </w:rPr>
        <w:t>, un </w:t>
      </w:r>
      <w:r w:rsidR="78585727" w:rsidRPr="469479B5">
        <w:rPr>
          <w:rFonts w:ascii="Times New Roman" w:hAnsi="Times New Roman"/>
          <w:sz w:val="24"/>
          <w:szCs w:val="24"/>
        </w:rPr>
        <w:t>valdība atbalstīja</w:t>
      </w:r>
      <w:r w:rsidR="78585727" w:rsidRPr="469479B5">
        <w:rPr>
          <w:rFonts w:ascii="Times New Roman" w:hAnsi="Times New Roman" w:cs="Times New Roman"/>
          <w:sz w:val="24"/>
          <w:szCs w:val="24"/>
        </w:rPr>
        <w:t xml:space="preserve">, ka </w:t>
      </w:r>
      <w:r w:rsidR="78585727" w:rsidRPr="469479B5">
        <w:rPr>
          <w:rFonts w:ascii="Times New Roman" w:hAnsi="Times New Roman"/>
          <w:sz w:val="24"/>
          <w:szCs w:val="24"/>
        </w:rPr>
        <w:t>no 2022.</w:t>
      </w:r>
      <w:r w:rsidR="0CFAF3D0" w:rsidRPr="469479B5">
        <w:rPr>
          <w:rFonts w:ascii="Times New Roman" w:hAnsi="Times New Roman" w:cs="Times New Roman"/>
          <w:b/>
          <w:bCs/>
          <w:sz w:val="24"/>
          <w:szCs w:val="24"/>
        </w:rPr>
        <w:t xml:space="preserve"> </w:t>
      </w:r>
      <w:r w:rsidR="78585727" w:rsidRPr="469479B5">
        <w:rPr>
          <w:rFonts w:ascii="Times New Roman" w:hAnsi="Times New Roman"/>
          <w:sz w:val="24"/>
          <w:szCs w:val="24"/>
        </w:rPr>
        <w:t>gada 1.</w:t>
      </w:r>
      <w:r w:rsidR="28F15528" w:rsidRPr="469479B5">
        <w:rPr>
          <w:rFonts w:ascii="Times New Roman" w:hAnsi="Times New Roman" w:cs="Times New Roman"/>
          <w:b/>
          <w:bCs/>
          <w:sz w:val="24"/>
          <w:szCs w:val="24"/>
        </w:rPr>
        <w:t xml:space="preserve"> </w:t>
      </w:r>
      <w:r w:rsidR="78585727" w:rsidRPr="469479B5">
        <w:rPr>
          <w:rFonts w:ascii="Times New Roman" w:hAnsi="Times New Roman"/>
          <w:sz w:val="24"/>
          <w:szCs w:val="24"/>
        </w:rPr>
        <w:t>septembra līdz 2025.</w:t>
      </w:r>
      <w:r w:rsidR="0E7C84C7" w:rsidRPr="469479B5">
        <w:rPr>
          <w:rFonts w:ascii="Times New Roman" w:hAnsi="Times New Roman" w:cs="Times New Roman"/>
          <w:b/>
          <w:bCs/>
          <w:sz w:val="24"/>
          <w:szCs w:val="24"/>
        </w:rPr>
        <w:t xml:space="preserve"> </w:t>
      </w:r>
      <w:r w:rsidR="78585727" w:rsidRPr="469479B5">
        <w:rPr>
          <w:rFonts w:ascii="Times New Roman" w:hAnsi="Times New Roman"/>
          <w:sz w:val="24"/>
          <w:szCs w:val="24"/>
        </w:rPr>
        <w:t>gada 31.</w:t>
      </w:r>
      <w:r w:rsidR="5B8CA1A3" w:rsidRPr="469479B5">
        <w:rPr>
          <w:rFonts w:ascii="Times New Roman" w:hAnsi="Times New Roman" w:cs="Times New Roman"/>
          <w:b/>
          <w:bCs/>
          <w:sz w:val="24"/>
          <w:szCs w:val="24"/>
        </w:rPr>
        <w:t xml:space="preserve"> </w:t>
      </w:r>
      <w:r w:rsidR="78585727" w:rsidRPr="469479B5">
        <w:rPr>
          <w:rFonts w:ascii="Times New Roman" w:hAnsi="Times New Roman"/>
          <w:sz w:val="24"/>
          <w:szCs w:val="24"/>
        </w:rPr>
        <w:t>decembrim OIK vidēj</w:t>
      </w:r>
      <w:r w:rsidR="78585727" w:rsidRPr="469479B5">
        <w:rPr>
          <w:rFonts w:ascii="Times New Roman" w:hAnsi="Times New Roman" w:cs="Times New Roman"/>
          <w:sz w:val="24"/>
          <w:szCs w:val="24"/>
        </w:rPr>
        <w:t>ā</w:t>
      </w:r>
      <w:r w:rsidR="78585727" w:rsidRPr="469479B5">
        <w:rPr>
          <w:rFonts w:ascii="Times New Roman" w:hAnsi="Times New Roman"/>
          <w:sz w:val="24"/>
          <w:szCs w:val="24"/>
        </w:rPr>
        <w:t xml:space="preserve"> likm</w:t>
      </w:r>
      <w:r w:rsidR="78585727" w:rsidRPr="469479B5">
        <w:rPr>
          <w:rFonts w:ascii="Times New Roman" w:hAnsi="Times New Roman" w:cs="Times New Roman"/>
          <w:sz w:val="24"/>
          <w:szCs w:val="24"/>
        </w:rPr>
        <w:t xml:space="preserve">e tiek </w:t>
      </w:r>
      <w:r w:rsidR="78585727" w:rsidRPr="469479B5">
        <w:rPr>
          <w:rFonts w:ascii="Times New Roman" w:hAnsi="Times New Roman"/>
          <w:sz w:val="24"/>
          <w:szCs w:val="24"/>
        </w:rPr>
        <w:t>noteikt</w:t>
      </w:r>
      <w:r w:rsidR="78585727" w:rsidRPr="469479B5">
        <w:rPr>
          <w:rFonts w:ascii="Times New Roman" w:hAnsi="Times New Roman" w:cs="Times New Roman"/>
          <w:sz w:val="24"/>
          <w:szCs w:val="24"/>
        </w:rPr>
        <w:t>a</w:t>
      </w:r>
      <w:r w:rsidR="78585727" w:rsidRPr="469479B5">
        <w:rPr>
          <w:rFonts w:ascii="Times New Roman" w:hAnsi="Times New Roman"/>
          <w:sz w:val="24"/>
          <w:szCs w:val="24"/>
        </w:rPr>
        <w:t xml:space="preserve"> 0 </w:t>
      </w:r>
      <w:r w:rsidR="78585727" w:rsidRPr="469479B5">
        <w:rPr>
          <w:rFonts w:ascii="Times New Roman" w:hAnsi="Times New Roman" w:cs="Times New Roman"/>
          <w:i/>
          <w:iCs/>
          <w:sz w:val="24"/>
          <w:szCs w:val="24"/>
        </w:rPr>
        <w:t>euro</w:t>
      </w:r>
      <w:r w:rsidR="78585727" w:rsidRPr="469479B5">
        <w:rPr>
          <w:rFonts w:ascii="Times New Roman" w:hAnsi="Times New Roman"/>
          <w:sz w:val="24"/>
          <w:szCs w:val="24"/>
        </w:rPr>
        <w:t>/MWh</w:t>
      </w:r>
      <w:r w:rsidR="78585727" w:rsidRPr="469479B5">
        <w:rPr>
          <w:rFonts w:ascii="Times New Roman" w:hAnsi="Times New Roman" w:cs="Times New Roman"/>
          <w:sz w:val="24"/>
          <w:szCs w:val="24"/>
        </w:rPr>
        <w:t xml:space="preserve">. </w:t>
      </w:r>
      <w:r w:rsidR="003E2E49">
        <w:rPr>
          <w:rFonts w:ascii="Times New Roman" w:hAnsi="Times New Roman" w:cs="Times New Roman"/>
          <w:sz w:val="24"/>
          <w:szCs w:val="24"/>
        </w:rPr>
        <w:t xml:space="preserve">Savukārt, </w:t>
      </w:r>
      <w:r w:rsidR="25D4689B" w:rsidRPr="469479B5">
        <w:rPr>
          <w:rFonts w:ascii="Times New Roman" w:hAnsi="Times New Roman" w:cs="Times New Roman"/>
          <w:sz w:val="24"/>
          <w:szCs w:val="24"/>
        </w:rPr>
        <w:t>2022.</w:t>
      </w:r>
      <w:r w:rsidR="52C70D35" w:rsidRPr="469479B5">
        <w:rPr>
          <w:rFonts w:ascii="Times New Roman" w:hAnsi="Times New Roman" w:cs="Times New Roman"/>
          <w:b/>
          <w:bCs/>
          <w:sz w:val="24"/>
          <w:szCs w:val="24"/>
        </w:rPr>
        <w:t xml:space="preserve"> </w:t>
      </w:r>
      <w:r w:rsidR="25D4689B" w:rsidRPr="469479B5">
        <w:rPr>
          <w:rFonts w:ascii="Times New Roman" w:hAnsi="Times New Roman" w:cs="Times New Roman"/>
          <w:sz w:val="24"/>
          <w:szCs w:val="24"/>
        </w:rPr>
        <w:t>gada 20.</w:t>
      </w:r>
      <w:r w:rsidR="52B995C5" w:rsidRPr="469479B5">
        <w:rPr>
          <w:rFonts w:ascii="Times New Roman" w:hAnsi="Times New Roman" w:cs="Times New Roman"/>
          <w:b/>
          <w:bCs/>
          <w:sz w:val="24"/>
          <w:szCs w:val="24"/>
        </w:rPr>
        <w:t xml:space="preserve"> </w:t>
      </w:r>
      <w:r w:rsidR="25D4689B" w:rsidRPr="469479B5">
        <w:rPr>
          <w:rFonts w:ascii="Times New Roman" w:hAnsi="Times New Roman" w:cs="Times New Roman"/>
          <w:sz w:val="24"/>
          <w:szCs w:val="24"/>
        </w:rPr>
        <w:t xml:space="preserve">decembrī </w:t>
      </w:r>
      <w:r w:rsidR="003E2E49" w:rsidRPr="469479B5">
        <w:rPr>
          <w:rFonts w:ascii="Times New Roman" w:hAnsi="Times New Roman" w:cs="Times New Roman"/>
          <w:sz w:val="24"/>
          <w:szCs w:val="24"/>
        </w:rPr>
        <w:t xml:space="preserve">MK </w:t>
      </w:r>
      <w:r w:rsidR="25D4689B" w:rsidRPr="469479B5">
        <w:rPr>
          <w:rFonts w:ascii="Times New Roman" w:hAnsi="Times New Roman" w:cs="Times New Roman"/>
          <w:sz w:val="24"/>
          <w:szCs w:val="24"/>
        </w:rPr>
        <w:t>a</w:t>
      </w:r>
      <w:r w:rsidR="6574E479" w:rsidRPr="469479B5">
        <w:rPr>
          <w:rFonts w:ascii="Times New Roman" w:hAnsi="Times New Roman" w:cs="Times New Roman"/>
          <w:sz w:val="24"/>
          <w:szCs w:val="24"/>
        </w:rPr>
        <w:t>pstiprinā</w:t>
      </w:r>
      <w:r w:rsidR="25D4689B" w:rsidRPr="469479B5">
        <w:rPr>
          <w:rFonts w:ascii="Times New Roman" w:hAnsi="Times New Roman" w:cs="Times New Roman"/>
          <w:sz w:val="24"/>
          <w:szCs w:val="24"/>
        </w:rPr>
        <w:t>ja</w:t>
      </w:r>
      <w:r w:rsidR="6574E479" w:rsidRPr="469479B5">
        <w:rPr>
          <w:rFonts w:ascii="Times New Roman" w:hAnsi="Times New Roman" w:cs="Times New Roman"/>
          <w:sz w:val="24"/>
          <w:szCs w:val="24"/>
        </w:rPr>
        <w:t xml:space="preserve"> </w:t>
      </w:r>
      <w:r w:rsidR="004D0718">
        <w:rPr>
          <w:rFonts w:ascii="Times New Roman" w:hAnsi="Times New Roman" w:cs="Times New Roman"/>
          <w:sz w:val="24"/>
          <w:szCs w:val="24"/>
        </w:rPr>
        <w:t xml:space="preserve">MK uzdevumā sagatavotus </w:t>
      </w:r>
      <w:r w:rsidR="00B0405A">
        <w:rPr>
          <w:rFonts w:ascii="Times New Roman" w:hAnsi="Times New Roman" w:cs="Times New Roman"/>
          <w:sz w:val="24"/>
          <w:szCs w:val="24"/>
        </w:rPr>
        <w:t>EM</w:t>
      </w:r>
      <w:r w:rsidR="6574E479" w:rsidRPr="469479B5">
        <w:rPr>
          <w:rFonts w:ascii="Times New Roman" w:hAnsi="Times New Roman" w:cs="Times New Roman"/>
          <w:sz w:val="24"/>
          <w:szCs w:val="24"/>
        </w:rPr>
        <w:t xml:space="preserve"> izstrādāt</w:t>
      </w:r>
      <w:r w:rsidR="25D4689B" w:rsidRPr="469479B5">
        <w:rPr>
          <w:rFonts w:ascii="Times New Roman" w:hAnsi="Times New Roman" w:cs="Times New Roman"/>
          <w:sz w:val="24"/>
          <w:szCs w:val="24"/>
        </w:rPr>
        <w:t>os</w:t>
      </w:r>
      <w:r w:rsidR="6574E479" w:rsidRPr="469479B5">
        <w:rPr>
          <w:rFonts w:ascii="Times New Roman" w:hAnsi="Times New Roman" w:cs="Times New Roman"/>
          <w:sz w:val="24"/>
          <w:szCs w:val="24"/>
        </w:rPr>
        <w:t> grozījum</w:t>
      </w:r>
      <w:r w:rsidR="25D4689B" w:rsidRPr="469479B5">
        <w:rPr>
          <w:rFonts w:ascii="Times New Roman" w:hAnsi="Times New Roman" w:cs="Times New Roman"/>
          <w:sz w:val="24"/>
          <w:szCs w:val="24"/>
        </w:rPr>
        <w:t>us</w:t>
      </w:r>
      <w:r w:rsidR="6574E479" w:rsidRPr="469479B5">
        <w:rPr>
          <w:rFonts w:ascii="Times New Roman" w:hAnsi="Times New Roman" w:cs="Times New Roman"/>
          <w:sz w:val="24"/>
          <w:szCs w:val="24"/>
        </w:rPr>
        <w:t xml:space="preserve"> Elektroenerģijas tirgus likumā, paredz</w:t>
      </w:r>
      <w:r w:rsidR="003E2E49">
        <w:rPr>
          <w:rFonts w:ascii="Times New Roman" w:hAnsi="Times New Roman" w:cs="Times New Roman"/>
          <w:sz w:val="24"/>
          <w:szCs w:val="24"/>
        </w:rPr>
        <w:t>ot</w:t>
      </w:r>
      <w:r w:rsidR="6574E479" w:rsidRPr="469479B5">
        <w:rPr>
          <w:rFonts w:ascii="Times New Roman" w:hAnsi="Times New Roman" w:cs="Times New Roman"/>
          <w:sz w:val="24"/>
          <w:szCs w:val="24"/>
        </w:rPr>
        <w:t>, ka elektroenerģijas lietotājiem turpmāk vairs nebūs jāsedz obligātā iepirkuma izmaksas, t.i. elektroenerģijas rēķinos vairs neparādīsies aile “</w:t>
      </w:r>
      <w:r w:rsidR="78B72E90" w:rsidRPr="469479B5">
        <w:rPr>
          <w:rFonts w:ascii="Times New Roman" w:hAnsi="Times New Roman" w:cs="Times New Roman"/>
          <w:color w:val="000000" w:themeColor="text1"/>
          <w:sz w:val="24"/>
          <w:szCs w:val="24"/>
        </w:rPr>
        <w:t>OIK</w:t>
      </w:r>
      <w:r w:rsidR="6574E479" w:rsidRPr="469479B5">
        <w:rPr>
          <w:rFonts w:ascii="Times New Roman" w:hAnsi="Times New Roman" w:cs="Times New Roman"/>
          <w:sz w:val="24"/>
          <w:szCs w:val="24"/>
        </w:rPr>
        <w:t>”</w:t>
      </w:r>
      <w:r w:rsidR="008B0132">
        <w:rPr>
          <w:rFonts w:ascii="Times New Roman" w:hAnsi="Times New Roman" w:cs="Times New Roman"/>
          <w:sz w:val="24"/>
          <w:szCs w:val="24"/>
        </w:rPr>
        <w:t>, at</w:t>
      </w:r>
      <w:r w:rsidR="003E2E49">
        <w:rPr>
          <w:rFonts w:ascii="Times New Roman" w:hAnsi="Times New Roman" w:cs="Times New Roman"/>
          <w:sz w:val="24"/>
          <w:szCs w:val="24"/>
        </w:rPr>
        <w:t>bilstoši</w:t>
      </w:r>
      <w:r w:rsidR="008B0132">
        <w:rPr>
          <w:rFonts w:ascii="Times New Roman" w:hAnsi="Times New Roman" w:cs="Times New Roman"/>
          <w:sz w:val="24"/>
          <w:szCs w:val="24"/>
        </w:rPr>
        <w:t xml:space="preserve"> no 2023. gada 1. maija OIK maksājumi galalietotājiem ir atcelti</w:t>
      </w:r>
      <w:r w:rsidR="6574E479" w:rsidRPr="469479B5">
        <w:rPr>
          <w:rFonts w:ascii="Times New Roman" w:hAnsi="Times New Roman" w:cs="Times New Roman"/>
          <w:sz w:val="24"/>
          <w:szCs w:val="24"/>
        </w:rPr>
        <w:t>.</w:t>
      </w:r>
      <w:r w:rsidR="25D4689B" w:rsidRPr="469479B5">
        <w:rPr>
          <w:rFonts w:ascii="Times New Roman" w:hAnsi="Times New Roman" w:cs="Times New Roman"/>
          <w:sz w:val="24"/>
          <w:szCs w:val="24"/>
        </w:rPr>
        <w:t xml:space="preserve"> </w:t>
      </w:r>
      <w:r w:rsidR="2E2E4369" w:rsidRPr="469479B5">
        <w:rPr>
          <w:rFonts w:ascii="Times New Roman" w:hAnsi="Times New Roman" w:cs="Times New Roman"/>
          <w:sz w:val="24"/>
          <w:szCs w:val="24"/>
        </w:rPr>
        <w:t xml:space="preserve">Šāds risinājums </w:t>
      </w:r>
      <w:r w:rsidR="789892F9" w:rsidRPr="469479B5">
        <w:rPr>
          <w:rFonts w:ascii="Times New Roman" w:hAnsi="Times New Roman" w:cs="Times New Roman"/>
          <w:sz w:val="24"/>
          <w:szCs w:val="24"/>
        </w:rPr>
        <w:t>paredz, ka EPT darbības nesegtie izdevumi ti</w:t>
      </w:r>
      <w:r w:rsidR="00410C06">
        <w:rPr>
          <w:rFonts w:ascii="Times New Roman" w:hAnsi="Times New Roman" w:cs="Times New Roman"/>
          <w:sz w:val="24"/>
          <w:szCs w:val="24"/>
        </w:rPr>
        <w:t>ek</w:t>
      </w:r>
      <w:r w:rsidR="2E2E4369" w:rsidRPr="469479B5">
        <w:rPr>
          <w:rFonts w:ascii="Times New Roman" w:hAnsi="Times New Roman" w:cs="Times New Roman"/>
          <w:sz w:val="24"/>
          <w:szCs w:val="24"/>
        </w:rPr>
        <w:t xml:space="preserve"> </w:t>
      </w:r>
      <w:r w:rsidR="789892F9" w:rsidRPr="469479B5">
        <w:rPr>
          <w:rFonts w:ascii="Times New Roman" w:hAnsi="Times New Roman" w:cs="Times New Roman"/>
          <w:sz w:val="24"/>
          <w:szCs w:val="24"/>
        </w:rPr>
        <w:t>kompensēti ar</w:t>
      </w:r>
      <w:r w:rsidR="2E2E4369" w:rsidRPr="469479B5">
        <w:rPr>
          <w:rFonts w:ascii="Times New Roman" w:hAnsi="Times New Roman" w:cs="Times New Roman"/>
          <w:sz w:val="24"/>
          <w:szCs w:val="24"/>
        </w:rPr>
        <w:t xml:space="preserve"> valsts budžet</w:t>
      </w:r>
      <w:r w:rsidR="789892F9" w:rsidRPr="469479B5">
        <w:rPr>
          <w:rFonts w:ascii="Times New Roman" w:hAnsi="Times New Roman" w:cs="Times New Roman"/>
          <w:sz w:val="24"/>
          <w:szCs w:val="24"/>
        </w:rPr>
        <w:t>ā</w:t>
      </w:r>
      <w:r w:rsidR="2E2E4369" w:rsidRPr="469479B5">
        <w:rPr>
          <w:rFonts w:ascii="Times New Roman" w:hAnsi="Times New Roman" w:cs="Times New Roman"/>
          <w:sz w:val="24"/>
          <w:szCs w:val="24"/>
        </w:rPr>
        <w:t xml:space="preserve"> ieskaitāmajām AS “Latvenergo” dividendēm.</w:t>
      </w:r>
    </w:p>
    <w:p w14:paraId="26A24671" w14:textId="60AE6580" w:rsidR="006E2632" w:rsidRDefault="073CDFD1" w:rsidP="00FD15B7">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 xml:space="preserve">Atbilstoši CSP izveidotajam un uzturētajam institucionālo vienību klasifikācijas sarakstam EPT </w:t>
      </w:r>
      <w:r w:rsidR="0C98864E" w:rsidRPr="469479B5">
        <w:rPr>
          <w:rFonts w:ascii="Times New Roman" w:hAnsi="Times New Roman" w:cs="Times New Roman"/>
          <w:sz w:val="24"/>
          <w:szCs w:val="24"/>
        </w:rPr>
        <w:t xml:space="preserve">(AS “Latvenergo” meitas sabiedrība) </w:t>
      </w:r>
      <w:r w:rsidRPr="469479B5">
        <w:rPr>
          <w:rFonts w:ascii="Times New Roman" w:hAnsi="Times New Roman" w:cs="Times New Roman"/>
          <w:sz w:val="24"/>
          <w:szCs w:val="24"/>
        </w:rPr>
        <w:t xml:space="preserve">ir klasificēts vispārējās valdības sektorā, turklāt tā administrētās </w:t>
      </w:r>
      <w:r w:rsidR="5A45F9FA" w:rsidRPr="469479B5">
        <w:rPr>
          <w:rFonts w:ascii="Times New Roman" w:hAnsi="Times New Roman" w:cs="Times New Roman"/>
          <w:sz w:val="24"/>
          <w:szCs w:val="24"/>
        </w:rPr>
        <w:t xml:space="preserve">obligātā iepirkuma </w:t>
      </w:r>
      <w:r w:rsidRPr="469479B5">
        <w:rPr>
          <w:rFonts w:ascii="Times New Roman" w:hAnsi="Times New Roman" w:cs="Times New Roman"/>
          <w:sz w:val="24"/>
          <w:szCs w:val="24"/>
        </w:rPr>
        <w:t>plūsmas tiek attiecinātas uz vispārējās valdības fiskālajiem rādītājiem.</w:t>
      </w:r>
      <w:r w:rsidR="273EBCD8" w:rsidRPr="469479B5">
        <w:rPr>
          <w:rFonts w:ascii="Times New Roman" w:hAnsi="Times New Roman" w:cs="Times New Roman"/>
          <w:sz w:val="24"/>
          <w:szCs w:val="24"/>
        </w:rPr>
        <w:t xml:space="preserve"> Tādējādi, neskatoties uz obligātā iepirkuma finansēšanas reformu, kas no dotā fiskālā riska izslēdz OIK (t.i. EPT ieņēmumi no elektroenerģijas patērētājiem) svārstību efektu, fiskālais risks saistībā ar EPT citu izdevumu un ieņēmumu novirzēm no plānotā apmērā saglabājas. </w:t>
      </w:r>
      <w:r w:rsidR="00FD15B7" w:rsidRPr="0011073C">
        <w:rPr>
          <w:rFonts w:ascii="Times New Roman" w:hAnsi="Times New Roman" w:cs="Times New Roman"/>
          <w:sz w:val="24"/>
          <w:szCs w:val="24"/>
        </w:rPr>
        <w:t>Tomēr, vienlaicīgi jāatzīmē, ka pēdējos gados (un jo īpaši 2022.</w:t>
      </w:r>
      <w:r w:rsidR="006434E1">
        <w:rPr>
          <w:rFonts w:ascii="Times New Roman" w:hAnsi="Times New Roman" w:cs="Times New Roman"/>
          <w:sz w:val="24"/>
          <w:szCs w:val="24"/>
        </w:rPr>
        <w:t xml:space="preserve"> </w:t>
      </w:r>
      <w:r w:rsidR="00FD15B7" w:rsidRPr="0011073C">
        <w:rPr>
          <w:rFonts w:ascii="Times New Roman" w:hAnsi="Times New Roman" w:cs="Times New Roman"/>
          <w:sz w:val="24"/>
          <w:szCs w:val="24"/>
        </w:rPr>
        <w:t xml:space="preserve">gada pirmajā pusgadā saistībā ar augstajām elektroenerģijas cenām </w:t>
      </w:r>
      <w:r w:rsidR="00FD15B7" w:rsidRPr="0011073C">
        <w:rPr>
          <w:rFonts w:ascii="Times New Roman" w:hAnsi="Times New Roman" w:cs="Times New Roman"/>
          <w:i/>
          <w:iCs/>
          <w:sz w:val="24"/>
          <w:szCs w:val="24"/>
        </w:rPr>
        <w:t>NordPool</w:t>
      </w:r>
      <w:r w:rsidR="00FD15B7" w:rsidRPr="0011073C">
        <w:rPr>
          <w:rFonts w:ascii="Times New Roman" w:hAnsi="Times New Roman" w:cs="Times New Roman"/>
          <w:sz w:val="24"/>
          <w:szCs w:val="24"/>
        </w:rPr>
        <w:t xml:space="preserve"> biržā) ir ievērojami samazinājies obligātā iepirkuma sistēmas dalībnieku skaits. </w:t>
      </w:r>
    </w:p>
    <w:p w14:paraId="14622F13" w14:textId="519B2B74" w:rsidR="00FD15B7" w:rsidRDefault="00FD15B7" w:rsidP="006E2632">
      <w:pPr>
        <w:spacing w:after="0" w:line="240" w:lineRule="auto"/>
        <w:ind w:firstLine="709"/>
        <w:jc w:val="both"/>
        <w:rPr>
          <w:rFonts w:ascii="Times New Roman" w:hAnsi="Times New Roman" w:cs="Times New Roman"/>
          <w:sz w:val="24"/>
          <w:szCs w:val="24"/>
        </w:rPr>
      </w:pPr>
      <w:r w:rsidRPr="0011073C">
        <w:rPr>
          <w:rFonts w:ascii="Times New Roman" w:hAnsi="Times New Roman" w:cs="Times New Roman"/>
          <w:sz w:val="24"/>
          <w:szCs w:val="24"/>
        </w:rPr>
        <w:t>Saska</w:t>
      </w:r>
      <w:r w:rsidRPr="0011073C">
        <w:rPr>
          <w:rFonts w:ascii="Times New Roman" w:hAnsi="Times New Roman" w:cs="Times New Roman" w:hint="eastAsia"/>
          <w:sz w:val="24"/>
          <w:szCs w:val="24"/>
        </w:rPr>
        <w:t>ņā</w:t>
      </w:r>
      <w:r w:rsidRPr="0011073C">
        <w:rPr>
          <w:rFonts w:ascii="Times New Roman" w:hAnsi="Times New Roman" w:cs="Times New Roman"/>
          <w:sz w:val="24"/>
          <w:szCs w:val="24"/>
        </w:rPr>
        <w:t xml:space="preserve"> ar B</w:t>
      </w:r>
      <w:r w:rsidRPr="0011073C">
        <w:rPr>
          <w:rFonts w:ascii="Times New Roman" w:hAnsi="Times New Roman" w:cs="Times New Roman" w:hint="eastAsia"/>
          <w:sz w:val="24"/>
          <w:szCs w:val="24"/>
        </w:rPr>
        <w:t>ū</w:t>
      </w:r>
      <w:r w:rsidRPr="0011073C">
        <w:rPr>
          <w:rFonts w:ascii="Times New Roman" w:hAnsi="Times New Roman" w:cs="Times New Roman"/>
          <w:sz w:val="24"/>
          <w:szCs w:val="24"/>
        </w:rPr>
        <w:t>vniec</w:t>
      </w:r>
      <w:r w:rsidRPr="0011073C">
        <w:rPr>
          <w:rFonts w:ascii="Times New Roman" w:hAnsi="Times New Roman" w:cs="Times New Roman" w:hint="eastAsia"/>
          <w:sz w:val="24"/>
          <w:szCs w:val="24"/>
        </w:rPr>
        <w:t>ī</w:t>
      </w:r>
      <w:r w:rsidRPr="0011073C">
        <w:rPr>
          <w:rFonts w:ascii="Times New Roman" w:hAnsi="Times New Roman" w:cs="Times New Roman"/>
          <w:sz w:val="24"/>
          <w:szCs w:val="24"/>
        </w:rPr>
        <w:t xml:space="preserve">bas valsts kontroles biroja datiem </w:t>
      </w:r>
      <w:r w:rsidR="00644C23" w:rsidRPr="00644C23">
        <w:rPr>
          <w:rFonts w:ascii="Times New Roman" w:hAnsi="Times New Roman" w:cs="Times New Roman"/>
          <w:sz w:val="24"/>
          <w:szCs w:val="24"/>
        </w:rPr>
        <w:t>2022.</w:t>
      </w:r>
      <w:r w:rsidR="002E49B0">
        <w:rPr>
          <w:rFonts w:ascii="Times New Roman" w:hAnsi="Times New Roman" w:cs="Times New Roman"/>
          <w:sz w:val="24"/>
          <w:szCs w:val="24"/>
        </w:rPr>
        <w:t xml:space="preserve"> </w:t>
      </w:r>
      <w:r w:rsidR="00644C23" w:rsidRPr="00644C23">
        <w:rPr>
          <w:rFonts w:ascii="Times New Roman" w:hAnsi="Times New Roman" w:cs="Times New Roman"/>
          <w:sz w:val="24"/>
          <w:szCs w:val="24"/>
        </w:rPr>
        <w:t>gada 1.</w:t>
      </w:r>
      <w:r w:rsidR="002E49B0">
        <w:rPr>
          <w:rFonts w:ascii="Times New Roman" w:hAnsi="Times New Roman" w:cs="Times New Roman"/>
          <w:sz w:val="24"/>
          <w:szCs w:val="24"/>
        </w:rPr>
        <w:t xml:space="preserve"> </w:t>
      </w:r>
      <w:r w:rsidR="00644C23" w:rsidRPr="00644C23">
        <w:rPr>
          <w:rFonts w:ascii="Times New Roman" w:hAnsi="Times New Roman" w:cs="Times New Roman"/>
          <w:sz w:val="24"/>
          <w:szCs w:val="24"/>
        </w:rPr>
        <w:t>janvārī spēkā esošas tiesības pārdot saražoto elektroenerģiju obligātā iepirkuma ietvaros bija 257 elektrostacijām</w:t>
      </w:r>
      <w:r w:rsidR="00644C23">
        <w:rPr>
          <w:rFonts w:ascii="Times New Roman" w:hAnsi="Times New Roman" w:cs="Times New Roman"/>
          <w:sz w:val="24"/>
          <w:szCs w:val="24"/>
        </w:rPr>
        <w:t>,</w:t>
      </w:r>
      <w:r w:rsidR="00644C23" w:rsidRPr="00644C23">
        <w:t xml:space="preserve"> </w:t>
      </w:r>
      <w:r w:rsidR="00644C23" w:rsidRPr="00644C23">
        <w:rPr>
          <w:rFonts w:ascii="Times New Roman" w:hAnsi="Times New Roman" w:cs="Times New Roman"/>
          <w:sz w:val="24"/>
          <w:szCs w:val="24"/>
        </w:rPr>
        <w:t>savukārt 3 koģenerācijas stacijās komersantiem bija tiesības saņemt garantētu maksu par koģenerācijas stacijā uzstādīto elektrisko jaudu</w:t>
      </w:r>
      <w:r w:rsidR="00C441F0">
        <w:rPr>
          <w:rStyle w:val="FootnoteReference"/>
          <w:rFonts w:ascii="Times New Roman" w:hAnsi="Times New Roman" w:cs="Times New Roman"/>
          <w:sz w:val="24"/>
          <w:szCs w:val="24"/>
        </w:rPr>
        <w:footnoteReference w:id="45"/>
      </w:r>
      <w:r w:rsidR="002F70F0">
        <w:rPr>
          <w:rFonts w:ascii="Times New Roman" w:hAnsi="Times New Roman" w:cs="Times New Roman"/>
          <w:sz w:val="24"/>
          <w:szCs w:val="24"/>
        </w:rPr>
        <w:t>.</w:t>
      </w:r>
      <w:r w:rsidR="00644C23" w:rsidRPr="00644C23">
        <w:rPr>
          <w:rFonts w:ascii="Times New Roman" w:hAnsi="Times New Roman" w:cs="Times New Roman"/>
          <w:sz w:val="24"/>
          <w:szCs w:val="24"/>
        </w:rPr>
        <w:t xml:space="preserve"> </w:t>
      </w:r>
      <w:r w:rsidR="00644C23">
        <w:rPr>
          <w:rFonts w:ascii="Times New Roman" w:hAnsi="Times New Roman" w:cs="Times New Roman"/>
          <w:sz w:val="24"/>
          <w:szCs w:val="24"/>
        </w:rPr>
        <w:t>U</w:t>
      </w:r>
      <w:r w:rsidR="00644C23" w:rsidRPr="00644C23">
        <w:rPr>
          <w:rFonts w:ascii="Times New Roman" w:hAnsi="Times New Roman" w:cs="Times New Roman"/>
          <w:sz w:val="24"/>
          <w:szCs w:val="24"/>
        </w:rPr>
        <w:t>z 2023. gada 1. janvāri elektroenerģijas obligātā iepirkuma vai garantētās maksas par elektrostacijā uzstādīto elektrisko jaudu</w:t>
      </w:r>
      <w:r w:rsidR="00644C23">
        <w:rPr>
          <w:rFonts w:ascii="Times New Roman" w:hAnsi="Times New Roman" w:cs="Times New Roman"/>
          <w:sz w:val="24"/>
          <w:szCs w:val="24"/>
        </w:rPr>
        <w:t xml:space="preserve"> </w:t>
      </w:r>
      <w:r w:rsidR="00644C23" w:rsidRPr="00644C23">
        <w:rPr>
          <w:rFonts w:ascii="Times New Roman" w:hAnsi="Times New Roman" w:cs="Times New Roman"/>
          <w:sz w:val="24"/>
          <w:szCs w:val="24"/>
        </w:rPr>
        <w:t>tiesības bija 17 elektrostacijām</w:t>
      </w:r>
      <w:r w:rsidR="00C441F0">
        <w:rPr>
          <w:rStyle w:val="FootnoteReference"/>
          <w:rFonts w:ascii="Times New Roman" w:hAnsi="Times New Roman" w:cs="Times New Roman"/>
          <w:sz w:val="24"/>
          <w:szCs w:val="24"/>
        </w:rPr>
        <w:footnoteReference w:id="46"/>
      </w:r>
      <w:r w:rsidR="009229F2">
        <w:rPr>
          <w:rFonts w:ascii="Times New Roman" w:hAnsi="Times New Roman" w:cs="Times New Roman"/>
          <w:sz w:val="24"/>
          <w:szCs w:val="24"/>
        </w:rPr>
        <w:t>.</w:t>
      </w:r>
      <w:r w:rsidR="00F036C4">
        <w:rPr>
          <w:rFonts w:ascii="Times New Roman" w:hAnsi="Times New Roman" w:cs="Times New Roman"/>
          <w:sz w:val="24"/>
          <w:szCs w:val="24"/>
        </w:rPr>
        <w:t xml:space="preserve"> </w:t>
      </w:r>
      <w:r w:rsidR="00F036C4" w:rsidRPr="00F036C4">
        <w:rPr>
          <w:rFonts w:ascii="Times New Roman" w:hAnsi="Times New Roman" w:cs="Times New Roman"/>
          <w:sz w:val="24"/>
          <w:szCs w:val="24"/>
        </w:rPr>
        <w:t>2025. gadā elektroenerģijas obligātā iepirkuma atbalsta sistēmā darbojas deviņas elektrostacij</w:t>
      </w:r>
      <w:r w:rsidR="00C505C9">
        <w:rPr>
          <w:rFonts w:ascii="Times New Roman" w:hAnsi="Times New Roman" w:cs="Times New Roman"/>
          <w:sz w:val="24"/>
          <w:szCs w:val="24"/>
        </w:rPr>
        <w:t>a</w:t>
      </w:r>
      <w:r w:rsidR="00F036C4" w:rsidRPr="00F036C4">
        <w:rPr>
          <w:rFonts w:ascii="Times New Roman" w:hAnsi="Times New Roman" w:cs="Times New Roman"/>
          <w:sz w:val="24"/>
          <w:szCs w:val="24"/>
        </w:rPr>
        <w:t>s.</w:t>
      </w:r>
      <w:r w:rsidR="00F036C4">
        <w:rPr>
          <w:rFonts w:ascii="Times New Roman" w:hAnsi="Times New Roman" w:cs="Times New Roman"/>
          <w:sz w:val="24"/>
          <w:szCs w:val="24"/>
        </w:rPr>
        <w:t xml:space="preserve"> </w:t>
      </w:r>
      <w:r w:rsidRPr="0011073C">
        <w:rPr>
          <w:rFonts w:ascii="Times New Roman" w:hAnsi="Times New Roman" w:cs="Times New Roman"/>
          <w:sz w:val="24"/>
          <w:szCs w:val="24"/>
        </w:rPr>
        <w:t>OIK atbalstu sa</w:t>
      </w:r>
      <w:r w:rsidRPr="0011073C">
        <w:rPr>
          <w:rFonts w:ascii="Times New Roman" w:hAnsi="Times New Roman" w:cs="Times New Roman" w:hint="eastAsia"/>
          <w:sz w:val="24"/>
          <w:szCs w:val="24"/>
        </w:rPr>
        <w:t>ņ</w:t>
      </w:r>
      <w:r w:rsidRPr="0011073C">
        <w:rPr>
          <w:rFonts w:ascii="Times New Roman" w:hAnsi="Times New Roman" w:cs="Times New Roman"/>
          <w:sz w:val="24"/>
          <w:szCs w:val="24"/>
        </w:rPr>
        <w:t>emo</w:t>
      </w:r>
      <w:r w:rsidRPr="0011073C">
        <w:rPr>
          <w:rFonts w:ascii="Times New Roman" w:hAnsi="Times New Roman" w:cs="Times New Roman" w:hint="eastAsia"/>
          <w:sz w:val="24"/>
          <w:szCs w:val="24"/>
        </w:rPr>
        <w:t>š</w:t>
      </w:r>
      <w:r w:rsidRPr="0011073C">
        <w:rPr>
          <w:rFonts w:ascii="Times New Roman" w:hAnsi="Times New Roman" w:cs="Times New Roman"/>
          <w:sz w:val="24"/>
          <w:szCs w:val="24"/>
        </w:rPr>
        <w:t>o ko</w:t>
      </w:r>
      <w:r w:rsidRPr="0011073C">
        <w:rPr>
          <w:rFonts w:ascii="Times New Roman" w:hAnsi="Times New Roman" w:cs="Times New Roman" w:hint="eastAsia"/>
          <w:sz w:val="24"/>
          <w:szCs w:val="24"/>
        </w:rPr>
        <w:t>ģ</w:t>
      </w:r>
      <w:r w:rsidRPr="0011073C">
        <w:rPr>
          <w:rFonts w:ascii="Times New Roman" w:hAnsi="Times New Roman" w:cs="Times New Roman"/>
          <w:sz w:val="24"/>
          <w:szCs w:val="24"/>
        </w:rPr>
        <w:t>ener</w:t>
      </w:r>
      <w:r w:rsidRPr="0011073C">
        <w:rPr>
          <w:rFonts w:ascii="Times New Roman" w:hAnsi="Times New Roman" w:cs="Times New Roman" w:hint="eastAsia"/>
          <w:sz w:val="24"/>
          <w:szCs w:val="24"/>
        </w:rPr>
        <w:t>ā</w:t>
      </w:r>
      <w:r w:rsidRPr="0011073C">
        <w:rPr>
          <w:rFonts w:ascii="Times New Roman" w:hAnsi="Times New Roman" w:cs="Times New Roman"/>
          <w:sz w:val="24"/>
          <w:szCs w:val="24"/>
        </w:rPr>
        <w:t>cijas staciju skait</w:t>
      </w:r>
      <w:r w:rsidR="00736500">
        <w:rPr>
          <w:rFonts w:ascii="Times New Roman" w:hAnsi="Times New Roman" w:cs="Times New Roman"/>
          <w:sz w:val="24"/>
          <w:szCs w:val="24"/>
        </w:rPr>
        <w:t>a</w:t>
      </w:r>
      <w:r w:rsidRPr="0011073C">
        <w:rPr>
          <w:rFonts w:ascii="Times New Roman" w:hAnsi="Times New Roman" w:cs="Times New Roman"/>
          <w:sz w:val="24"/>
          <w:szCs w:val="24"/>
        </w:rPr>
        <w:t xml:space="preserve"> pak</w:t>
      </w:r>
      <w:r w:rsidRPr="0011073C">
        <w:rPr>
          <w:rFonts w:ascii="Times New Roman" w:hAnsi="Times New Roman" w:cs="Times New Roman" w:hint="eastAsia"/>
          <w:sz w:val="24"/>
          <w:szCs w:val="24"/>
        </w:rPr>
        <w:t>ā</w:t>
      </w:r>
      <w:r w:rsidRPr="0011073C">
        <w:rPr>
          <w:rFonts w:ascii="Times New Roman" w:hAnsi="Times New Roman" w:cs="Times New Roman"/>
          <w:sz w:val="24"/>
          <w:szCs w:val="24"/>
        </w:rPr>
        <w:t>penisk</w:t>
      </w:r>
      <w:r w:rsidR="00736500">
        <w:rPr>
          <w:rFonts w:ascii="Times New Roman" w:hAnsi="Times New Roman" w:cs="Times New Roman"/>
          <w:sz w:val="24"/>
          <w:szCs w:val="24"/>
        </w:rPr>
        <w:t>a</w:t>
      </w:r>
      <w:r w:rsidRPr="0011073C">
        <w:rPr>
          <w:rFonts w:ascii="Times New Roman" w:hAnsi="Times New Roman" w:cs="Times New Roman"/>
          <w:sz w:val="24"/>
          <w:szCs w:val="24"/>
        </w:rPr>
        <w:t xml:space="preserve"> samazin</w:t>
      </w:r>
      <w:r w:rsidR="00736500">
        <w:rPr>
          <w:rFonts w:ascii="Times New Roman" w:hAnsi="Times New Roman" w:cs="Times New Roman"/>
          <w:sz w:val="24"/>
          <w:szCs w:val="24"/>
        </w:rPr>
        <w:t>āšanās</w:t>
      </w:r>
      <w:r w:rsidRPr="0011073C">
        <w:rPr>
          <w:rFonts w:ascii="Times New Roman" w:hAnsi="Times New Roman" w:cs="Times New Roman"/>
          <w:sz w:val="24"/>
          <w:szCs w:val="24"/>
        </w:rPr>
        <w:t xml:space="preserve"> ar</w:t>
      </w:r>
      <w:r w:rsidRPr="0011073C">
        <w:rPr>
          <w:rFonts w:ascii="Times New Roman" w:hAnsi="Times New Roman" w:cs="Times New Roman" w:hint="eastAsia"/>
          <w:sz w:val="24"/>
          <w:szCs w:val="24"/>
        </w:rPr>
        <w:t>ī</w:t>
      </w:r>
      <w:r w:rsidRPr="0011073C">
        <w:rPr>
          <w:rFonts w:ascii="Times New Roman" w:hAnsi="Times New Roman" w:cs="Times New Roman"/>
          <w:sz w:val="24"/>
          <w:szCs w:val="24"/>
        </w:rPr>
        <w:t xml:space="preserve"> turpm</w:t>
      </w:r>
      <w:r w:rsidRPr="0011073C">
        <w:rPr>
          <w:rFonts w:ascii="Times New Roman" w:hAnsi="Times New Roman" w:cs="Times New Roman" w:hint="eastAsia"/>
          <w:sz w:val="24"/>
          <w:szCs w:val="24"/>
        </w:rPr>
        <w:t>ā</w:t>
      </w:r>
      <w:r w:rsidRPr="0011073C">
        <w:rPr>
          <w:rFonts w:ascii="Times New Roman" w:hAnsi="Times New Roman" w:cs="Times New Roman"/>
          <w:sz w:val="24"/>
          <w:szCs w:val="24"/>
        </w:rPr>
        <w:t>k,</w:t>
      </w:r>
      <w:r w:rsidR="00736500">
        <w:rPr>
          <w:rFonts w:ascii="Times New Roman" w:hAnsi="Times New Roman" w:cs="Times New Roman"/>
          <w:sz w:val="24"/>
          <w:szCs w:val="24"/>
        </w:rPr>
        <w:t xml:space="preserve"> </w:t>
      </w:r>
      <w:r w:rsidR="009229F2">
        <w:rPr>
          <w:rFonts w:ascii="Times New Roman" w:hAnsi="Times New Roman" w:cs="Times New Roman"/>
          <w:sz w:val="24"/>
          <w:szCs w:val="24"/>
        </w:rPr>
        <w:t>mazin</w:t>
      </w:r>
      <w:r w:rsidR="00736500">
        <w:rPr>
          <w:rFonts w:ascii="Times New Roman" w:hAnsi="Times New Roman" w:cs="Times New Roman"/>
          <w:sz w:val="24"/>
          <w:szCs w:val="24"/>
        </w:rPr>
        <w:t>ātu</w:t>
      </w:r>
      <w:r w:rsidRPr="0011073C">
        <w:rPr>
          <w:rFonts w:ascii="Times New Roman" w:hAnsi="Times New Roman" w:cs="Times New Roman"/>
          <w:sz w:val="24"/>
          <w:szCs w:val="24"/>
        </w:rPr>
        <w:t xml:space="preserve"> oblig</w:t>
      </w:r>
      <w:r w:rsidRPr="0011073C">
        <w:rPr>
          <w:rFonts w:ascii="Times New Roman" w:hAnsi="Times New Roman" w:cs="Times New Roman" w:hint="eastAsia"/>
          <w:sz w:val="24"/>
          <w:szCs w:val="24"/>
        </w:rPr>
        <w:t>ā</w:t>
      </w:r>
      <w:r w:rsidRPr="0011073C">
        <w:rPr>
          <w:rFonts w:ascii="Times New Roman" w:hAnsi="Times New Roman" w:cs="Times New Roman"/>
          <w:sz w:val="24"/>
          <w:szCs w:val="24"/>
        </w:rPr>
        <w:t>t</w:t>
      </w:r>
      <w:r w:rsidRPr="0011073C">
        <w:rPr>
          <w:rFonts w:ascii="Times New Roman" w:hAnsi="Times New Roman" w:cs="Times New Roman" w:hint="eastAsia"/>
          <w:sz w:val="24"/>
          <w:szCs w:val="24"/>
        </w:rPr>
        <w:t>ā</w:t>
      </w:r>
      <w:r w:rsidRPr="0011073C">
        <w:rPr>
          <w:rFonts w:ascii="Times New Roman" w:hAnsi="Times New Roman" w:cs="Times New Roman"/>
          <w:sz w:val="24"/>
          <w:szCs w:val="24"/>
        </w:rPr>
        <w:t xml:space="preserve"> iepirkuma kop</w:t>
      </w:r>
      <w:r w:rsidRPr="0011073C">
        <w:rPr>
          <w:rFonts w:ascii="Times New Roman" w:hAnsi="Times New Roman" w:cs="Times New Roman" w:hint="eastAsia"/>
          <w:sz w:val="24"/>
          <w:szCs w:val="24"/>
        </w:rPr>
        <w:t>ē</w:t>
      </w:r>
      <w:r w:rsidRPr="0011073C">
        <w:rPr>
          <w:rFonts w:ascii="Times New Roman" w:hAnsi="Times New Roman" w:cs="Times New Roman"/>
          <w:sz w:val="24"/>
          <w:szCs w:val="24"/>
        </w:rPr>
        <w:t>j</w:t>
      </w:r>
      <w:r w:rsidRPr="0011073C">
        <w:rPr>
          <w:rFonts w:ascii="Times New Roman" w:hAnsi="Times New Roman" w:cs="Times New Roman" w:hint="eastAsia"/>
          <w:sz w:val="24"/>
          <w:szCs w:val="24"/>
        </w:rPr>
        <w:t>ā</w:t>
      </w:r>
      <w:r w:rsidRPr="0011073C">
        <w:rPr>
          <w:rFonts w:ascii="Times New Roman" w:hAnsi="Times New Roman" w:cs="Times New Roman"/>
          <w:sz w:val="24"/>
          <w:szCs w:val="24"/>
        </w:rPr>
        <w:t xml:space="preserve">s izmaksas, kā arī salīdzinoši ieņēmumus un šo abu rādītāju starpības svārstību absolūto amplitūdu. Šādu norišu kontekstā paredzama fiskālā riska potenciālās ietekmes būtiska mazināšanās. </w:t>
      </w:r>
    </w:p>
    <w:p w14:paraId="24BCDA82" w14:textId="76DADCE9" w:rsidR="00644C23" w:rsidRDefault="00644C23" w:rsidP="00644C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Pr="00380324">
        <w:rPr>
          <w:rFonts w:ascii="Times New Roman" w:hAnsi="Times New Roman" w:cs="Times New Roman"/>
          <w:sz w:val="24"/>
          <w:szCs w:val="24"/>
        </w:rPr>
        <w:t>lektroenerģijas obligātā iepirkuma uzraudzību</w:t>
      </w:r>
      <w:r>
        <w:rPr>
          <w:rFonts w:ascii="Times New Roman" w:hAnsi="Times New Roman" w:cs="Times New Roman"/>
          <w:sz w:val="24"/>
          <w:szCs w:val="24"/>
        </w:rPr>
        <w:t xml:space="preserve"> iepriekš veica</w:t>
      </w:r>
      <w:r w:rsidRPr="00380324">
        <w:rPr>
          <w:rFonts w:ascii="Times New Roman" w:hAnsi="Times New Roman" w:cs="Times New Roman"/>
          <w:sz w:val="24"/>
          <w:szCs w:val="24"/>
        </w:rPr>
        <w:t> Būvniecības valsts kontroles birojs</w:t>
      </w:r>
      <w:r>
        <w:rPr>
          <w:rFonts w:ascii="Times New Roman" w:hAnsi="Times New Roman" w:cs="Times New Roman"/>
          <w:sz w:val="24"/>
          <w:szCs w:val="24"/>
        </w:rPr>
        <w:t>, savukārt</w:t>
      </w:r>
      <w:r w:rsidRPr="00380324">
        <w:rPr>
          <w:rFonts w:ascii="Times New Roman" w:hAnsi="Times New Roman" w:cs="Times New Roman"/>
          <w:sz w:val="24"/>
          <w:szCs w:val="24"/>
        </w:rPr>
        <w:t xml:space="preserve"> </w:t>
      </w:r>
      <w:r>
        <w:rPr>
          <w:rFonts w:ascii="Times New Roman" w:hAnsi="Times New Roman" w:cs="Times New Roman"/>
          <w:sz w:val="24"/>
          <w:szCs w:val="24"/>
        </w:rPr>
        <w:t>reorganizācijas ietvaros n</w:t>
      </w:r>
      <w:r w:rsidRPr="00380324">
        <w:rPr>
          <w:rFonts w:ascii="Times New Roman" w:hAnsi="Times New Roman" w:cs="Times New Roman"/>
          <w:sz w:val="24"/>
          <w:szCs w:val="24"/>
        </w:rPr>
        <w:t>o 2025. gada 1. februāra enerģētikas</w:t>
      </w:r>
      <w:r>
        <w:rPr>
          <w:rFonts w:ascii="Times New Roman" w:hAnsi="Times New Roman" w:cs="Times New Roman"/>
          <w:sz w:val="24"/>
          <w:szCs w:val="24"/>
        </w:rPr>
        <w:t xml:space="preserve"> </w:t>
      </w:r>
      <w:r w:rsidRPr="00380324">
        <w:rPr>
          <w:rFonts w:ascii="Times New Roman" w:hAnsi="Times New Roman" w:cs="Times New Roman"/>
          <w:sz w:val="24"/>
          <w:szCs w:val="24"/>
        </w:rPr>
        <w:t xml:space="preserve">politikas </w:t>
      </w:r>
      <w:r>
        <w:rPr>
          <w:rFonts w:ascii="Times New Roman" w:hAnsi="Times New Roman" w:cs="Times New Roman"/>
          <w:sz w:val="24"/>
          <w:szCs w:val="24"/>
        </w:rPr>
        <w:t>administrēšanas</w:t>
      </w:r>
      <w:r w:rsidRPr="00380324">
        <w:rPr>
          <w:rFonts w:ascii="Times New Roman" w:hAnsi="Times New Roman" w:cs="Times New Roman"/>
          <w:sz w:val="24"/>
          <w:szCs w:val="24"/>
        </w:rPr>
        <w:t xml:space="preserve"> funkcijas tiek nodotas</w:t>
      </w:r>
      <w:r>
        <w:rPr>
          <w:rFonts w:ascii="Times New Roman" w:hAnsi="Times New Roman" w:cs="Times New Roman"/>
          <w:sz w:val="24"/>
          <w:szCs w:val="24"/>
        </w:rPr>
        <w:t xml:space="preserve"> jaunizveidotajai</w:t>
      </w:r>
      <w:r w:rsidRPr="00380324">
        <w:rPr>
          <w:rFonts w:ascii="Times New Roman" w:hAnsi="Times New Roman" w:cs="Times New Roman"/>
          <w:sz w:val="24"/>
          <w:szCs w:val="24"/>
        </w:rPr>
        <w:t> Enerģētikas un vides aģentūrai, kas darbo</w:t>
      </w:r>
      <w:r w:rsidR="00D00EC9">
        <w:rPr>
          <w:rFonts w:ascii="Times New Roman" w:hAnsi="Times New Roman" w:cs="Times New Roman"/>
          <w:sz w:val="24"/>
          <w:szCs w:val="24"/>
        </w:rPr>
        <w:t>jas</w:t>
      </w:r>
      <w:r w:rsidRPr="00380324">
        <w:rPr>
          <w:rFonts w:ascii="Times New Roman" w:hAnsi="Times New Roman" w:cs="Times New Roman"/>
          <w:sz w:val="24"/>
          <w:szCs w:val="24"/>
        </w:rPr>
        <w:t xml:space="preserve"> </w:t>
      </w:r>
      <w:r w:rsidR="00B0405A">
        <w:rPr>
          <w:rFonts w:ascii="Times New Roman" w:hAnsi="Times New Roman" w:cs="Times New Roman"/>
          <w:sz w:val="24"/>
          <w:szCs w:val="24"/>
        </w:rPr>
        <w:t>KEM</w:t>
      </w:r>
      <w:r w:rsidRPr="00380324">
        <w:rPr>
          <w:rFonts w:ascii="Times New Roman" w:hAnsi="Times New Roman" w:cs="Times New Roman"/>
          <w:sz w:val="24"/>
          <w:szCs w:val="24"/>
        </w:rPr>
        <w:t xml:space="preserve"> pārraudzībā</w:t>
      </w:r>
      <w:r>
        <w:rPr>
          <w:rFonts w:ascii="Times New Roman" w:hAnsi="Times New Roman" w:cs="Times New Roman"/>
          <w:sz w:val="24"/>
          <w:szCs w:val="24"/>
        </w:rPr>
        <w:t xml:space="preserve">. </w:t>
      </w:r>
    </w:p>
    <w:p w14:paraId="04058445" w14:textId="5C50FF53" w:rsidR="0011073C" w:rsidRPr="0011073C" w:rsidRDefault="0011073C" w:rsidP="0011073C">
      <w:pPr>
        <w:spacing w:after="0" w:line="240" w:lineRule="auto"/>
        <w:ind w:firstLine="709"/>
        <w:jc w:val="both"/>
        <w:rPr>
          <w:rFonts w:ascii="Times New Roman" w:hAnsi="Times New Roman"/>
          <w:sz w:val="24"/>
          <w:szCs w:val="24"/>
        </w:rPr>
      </w:pPr>
      <w:r w:rsidRPr="0011073C">
        <w:rPr>
          <w:rFonts w:ascii="Times New Roman" w:hAnsi="Times New Roman"/>
          <w:sz w:val="24"/>
          <w:szCs w:val="24"/>
        </w:rPr>
        <w:t xml:space="preserve">Obligātā iepirkuma ieņēmumus un izmaksas var ietekmēt gan elektroenerģijas cena </w:t>
      </w:r>
      <w:r w:rsidRPr="0011073C">
        <w:rPr>
          <w:rFonts w:ascii="Times New Roman" w:hAnsi="Times New Roman"/>
          <w:i/>
          <w:iCs/>
          <w:sz w:val="24"/>
          <w:szCs w:val="24"/>
        </w:rPr>
        <w:t>Nordpool</w:t>
      </w:r>
      <w:r w:rsidRPr="0011073C">
        <w:rPr>
          <w:rFonts w:ascii="Times New Roman" w:hAnsi="Times New Roman"/>
          <w:sz w:val="24"/>
          <w:szCs w:val="24"/>
        </w:rPr>
        <w:t xml:space="preserve"> biržā, elektroenerģijas gala patēriņa izmaiņas, gan arī citi riska faktori, t.sk., piemēram, bet ne tikai obligātā iepirkuma atļauju atjaunošana pārsūdzības tiesā rezultātā u.c. </w:t>
      </w:r>
    </w:p>
    <w:p w14:paraId="67DD1386" w14:textId="4D6CFCBF" w:rsidR="005962CD" w:rsidRPr="00BB661E" w:rsidRDefault="005962CD" w:rsidP="00FD15B7">
      <w:pPr>
        <w:spacing w:after="0" w:line="240" w:lineRule="auto"/>
        <w:ind w:firstLine="709"/>
        <w:jc w:val="both"/>
        <w:rPr>
          <w:rFonts w:ascii="Times New Roman" w:hAnsi="Times New Roman"/>
          <w:sz w:val="24"/>
          <w:szCs w:val="24"/>
        </w:rPr>
      </w:pPr>
      <w:r w:rsidRPr="00BB661E">
        <w:rPr>
          <w:rFonts w:ascii="Times New Roman" w:hAnsi="Times New Roman"/>
          <w:sz w:val="24"/>
          <w:szCs w:val="24"/>
        </w:rPr>
        <w:t>Atbilstoši pašreizējam juridiskajam regulējumam risku nav iespējams ierobežot citādi kā veicot stingrāku atbalsta saņēmēju uzraudzību un cenšoties veikt pēc iespējas ticamāku prognozēšanu</w:t>
      </w:r>
      <w:r w:rsidR="003D0D2F" w:rsidRPr="00BB661E">
        <w:rPr>
          <w:rFonts w:ascii="Times New Roman" w:hAnsi="Times New Roman"/>
          <w:sz w:val="24"/>
          <w:szCs w:val="24"/>
        </w:rPr>
        <w:t>.</w:t>
      </w:r>
    </w:p>
    <w:p w14:paraId="2742FD02" w14:textId="336F2B8C" w:rsidR="005962CD" w:rsidRPr="00BB661E" w:rsidRDefault="005962CD" w:rsidP="006E3148">
      <w:pPr>
        <w:spacing w:after="100" w:afterAutospacing="1" w:line="240" w:lineRule="auto"/>
        <w:ind w:firstLine="709"/>
        <w:jc w:val="both"/>
        <w:rPr>
          <w:rFonts w:ascii="Times New Roman" w:hAnsi="Times New Roman"/>
          <w:sz w:val="24"/>
          <w:szCs w:val="24"/>
        </w:rPr>
      </w:pPr>
      <w:r w:rsidRPr="00BB661E">
        <w:rPr>
          <w:rFonts w:ascii="Times New Roman" w:hAnsi="Times New Roman"/>
          <w:sz w:val="24"/>
          <w:szCs w:val="24"/>
        </w:rPr>
        <w:t xml:space="preserve">Lai veidotu pēc iespējas ticamākas prognozes par pārējo ar </w:t>
      </w:r>
      <w:r w:rsidR="003D0D2F" w:rsidRPr="00BB661E">
        <w:rPr>
          <w:rFonts w:ascii="Times New Roman" w:hAnsi="Times New Roman"/>
          <w:sz w:val="24"/>
          <w:szCs w:val="24"/>
        </w:rPr>
        <w:t xml:space="preserve">obligātā iepirkuma </w:t>
      </w:r>
      <w:r w:rsidRPr="00BB661E">
        <w:rPr>
          <w:rFonts w:ascii="Times New Roman" w:hAnsi="Times New Roman"/>
          <w:sz w:val="24"/>
          <w:szCs w:val="24"/>
        </w:rPr>
        <w:t xml:space="preserve">sistēmu saistīto fiskālo risku ietekmi un šos riskus vadītu, tiek </w:t>
      </w:r>
      <w:r w:rsidR="00212563" w:rsidRPr="00BB661E">
        <w:rPr>
          <w:rFonts w:ascii="Times New Roman" w:hAnsi="Times New Roman"/>
          <w:sz w:val="24"/>
          <w:szCs w:val="24"/>
        </w:rPr>
        <w:t>uzraudzīti</w:t>
      </w:r>
      <w:r w:rsidRPr="00BB661E">
        <w:rPr>
          <w:rFonts w:ascii="Times New Roman" w:hAnsi="Times New Roman"/>
          <w:sz w:val="24"/>
          <w:szCs w:val="24"/>
        </w:rPr>
        <w:t xml:space="preserve"> un regulāri apzināti riskus ietekmējošie faktori, uzturēta komunikācija ar iesaistītajām pusēm un uzturēti dažādi aprēķinu modeļi, tomēr riska faktoru ietekmes ierobežošana lielā mērā ir </w:t>
      </w:r>
      <w:r w:rsidR="00811751" w:rsidRPr="00BB661E">
        <w:rPr>
          <w:rFonts w:ascii="Times New Roman" w:hAnsi="Times New Roman"/>
          <w:sz w:val="24"/>
          <w:szCs w:val="24"/>
        </w:rPr>
        <w:t>ierobežota</w:t>
      </w:r>
      <w:r w:rsidRPr="00BB661E">
        <w:rPr>
          <w:rFonts w:ascii="Times New Roman" w:hAnsi="Times New Roman"/>
          <w:sz w:val="24"/>
          <w:szCs w:val="24"/>
        </w:rPr>
        <w:t>.</w:t>
      </w:r>
    </w:p>
    <w:p w14:paraId="6B205FAD" w14:textId="234EF914" w:rsidR="005962CD" w:rsidRPr="00DB1FE8" w:rsidRDefault="005962CD" w:rsidP="005962CD">
      <w:pPr>
        <w:autoSpaceDE w:val="0"/>
        <w:autoSpaceDN w:val="0"/>
        <w:adjustRightInd w:val="0"/>
        <w:spacing w:line="240" w:lineRule="auto"/>
        <w:jc w:val="right"/>
        <w:rPr>
          <w:rFonts w:ascii="Times New Roman" w:hAnsi="Times New Roman" w:cs="Times New Roman"/>
          <w:color w:val="000000"/>
          <w:sz w:val="24"/>
          <w:szCs w:val="24"/>
        </w:rPr>
      </w:pPr>
      <w:bookmarkStart w:id="129" w:name="_Hlk168647050"/>
      <w:r w:rsidRPr="00DB1FE8">
        <w:rPr>
          <w:rFonts w:ascii="Times New Roman" w:eastAsiaTheme="minorHAnsi" w:hAnsi="Times New Roman" w:cs="Times New Roman"/>
          <w:b/>
          <w:color w:val="000000"/>
          <w:sz w:val="24"/>
          <w:szCs w:val="20"/>
        </w:rPr>
        <w:t>Tabula Nr.</w:t>
      </w:r>
      <w:r w:rsidR="0077673B" w:rsidRPr="00DB1FE8">
        <w:rPr>
          <w:rFonts w:ascii="Times New Roman" w:eastAsiaTheme="minorHAnsi" w:hAnsi="Times New Roman" w:cs="Times New Roman"/>
          <w:b/>
          <w:color w:val="000000"/>
          <w:sz w:val="24"/>
          <w:szCs w:val="20"/>
        </w:rPr>
        <w:t>2.1</w:t>
      </w:r>
      <w:r w:rsidR="00061917">
        <w:rPr>
          <w:rFonts w:ascii="Times New Roman" w:eastAsiaTheme="minorHAnsi" w:hAnsi="Times New Roman" w:cs="Times New Roman"/>
          <w:b/>
          <w:color w:val="000000"/>
          <w:sz w:val="24"/>
          <w:szCs w:val="20"/>
        </w:rPr>
        <w:t>4</w:t>
      </w:r>
      <w:r w:rsidR="0077673B" w:rsidRPr="00DB1FE8">
        <w:rPr>
          <w:rFonts w:ascii="Times New Roman" w:eastAsiaTheme="minorHAnsi" w:hAnsi="Times New Roman" w:cs="Times New Roman"/>
          <w:b/>
          <w:color w:val="000000"/>
          <w:sz w:val="24"/>
          <w:szCs w:val="20"/>
        </w:rPr>
        <w:t>.1</w:t>
      </w:r>
      <w:r w:rsidRPr="00DB1FE8">
        <w:rPr>
          <w:rFonts w:ascii="Times New Roman" w:eastAsiaTheme="minorHAnsi" w:hAnsi="Times New Roman" w:cs="Times New Roman"/>
          <w:b/>
          <w:color w:val="000000"/>
          <w:sz w:val="24"/>
          <w:szCs w:val="20"/>
        </w:rPr>
        <w:t xml:space="preserve"> </w:t>
      </w:r>
      <w:bookmarkEnd w:id="129"/>
      <w:r w:rsidRPr="00DB1FE8">
        <w:rPr>
          <w:rFonts w:ascii="Times New Roman" w:eastAsiaTheme="minorHAnsi" w:hAnsi="Times New Roman" w:cs="Times New Roman"/>
          <w:b/>
          <w:color w:val="000000"/>
          <w:sz w:val="24"/>
          <w:szCs w:val="20"/>
        </w:rPr>
        <w:t>EPT ietekme uz vispārējās valdības budžeta bilanci</w:t>
      </w:r>
      <w:r w:rsidR="00FD33F0" w:rsidRPr="00DB1FE8">
        <w:rPr>
          <w:rFonts w:ascii="Times New Roman" w:eastAsiaTheme="minorHAnsi" w:hAnsi="Times New Roman" w:cs="Times New Roman"/>
          <w:b/>
          <w:color w:val="000000"/>
          <w:sz w:val="24"/>
          <w:szCs w:val="20"/>
        </w:rPr>
        <w:t>,</w:t>
      </w:r>
      <w:r w:rsidRPr="00DB1FE8">
        <w:rPr>
          <w:rFonts w:ascii="Times New Roman" w:eastAsiaTheme="minorHAnsi" w:hAnsi="Times New Roman" w:cs="Times New Roman"/>
          <w:b/>
          <w:color w:val="000000"/>
          <w:sz w:val="24"/>
          <w:szCs w:val="20"/>
        </w:rPr>
        <w:t xml:space="preserve"> milj. </w:t>
      </w:r>
      <w:r w:rsidRPr="00DB1FE8">
        <w:rPr>
          <w:rFonts w:ascii="Times New Roman" w:eastAsiaTheme="minorHAnsi" w:hAnsi="Times New Roman" w:cs="Times New Roman"/>
          <w:b/>
          <w:i/>
          <w:color w:val="000000"/>
          <w:sz w:val="24"/>
          <w:szCs w:val="20"/>
        </w:rPr>
        <w:t>euro</w:t>
      </w:r>
      <w:r w:rsidRPr="00DB1FE8">
        <w:rPr>
          <w:rFonts w:ascii="Times New Roman" w:eastAsiaTheme="minorHAnsi" w:hAnsi="Times New Roman" w:cs="Times New Roman"/>
          <w:b/>
          <w:color w:val="000000"/>
          <w:sz w:val="24"/>
          <w:szCs w:val="20"/>
        </w:rPr>
        <w:t xml:space="preserve"> </w:t>
      </w:r>
    </w:p>
    <w:tbl>
      <w:tblPr>
        <w:tblStyle w:val="GridTable6Colorful-Accent11"/>
        <w:tblW w:w="9851" w:type="dxa"/>
        <w:jc w:val="center"/>
        <w:tblLayout w:type="fixed"/>
        <w:tblLook w:val="04A0" w:firstRow="1" w:lastRow="0" w:firstColumn="1" w:lastColumn="0" w:noHBand="0" w:noVBand="1"/>
      </w:tblPr>
      <w:tblGrid>
        <w:gridCol w:w="3084"/>
        <w:gridCol w:w="845"/>
        <w:gridCol w:w="846"/>
        <w:gridCol w:w="846"/>
        <w:gridCol w:w="846"/>
        <w:gridCol w:w="846"/>
        <w:gridCol w:w="846"/>
        <w:gridCol w:w="846"/>
        <w:gridCol w:w="846"/>
      </w:tblGrid>
      <w:tr w:rsidR="0047484F" w:rsidRPr="00B57D0A" w14:paraId="614FC2C9" w14:textId="67ACAFE2" w:rsidTr="00BB1154">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75" w:type="dxa"/>
            <w:vAlign w:val="center"/>
          </w:tcPr>
          <w:p w14:paraId="54036A0E" w14:textId="77777777" w:rsidR="00391ABB" w:rsidRPr="002E49B0" w:rsidRDefault="00391ABB" w:rsidP="0047484F">
            <w:pPr>
              <w:jc w:val="right"/>
              <w:rPr>
                <w:rFonts w:eastAsia="Times New Roman" w:cs="Times New Roman"/>
                <w:b w:val="0"/>
                <w:bCs w:val="0"/>
                <w:color w:val="000000" w:themeColor="text1"/>
                <w:sz w:val="20"/>
                <w:szCs w:val="20"/>
              </w:rPr>
            </w:pPr>
          </w:p>
        </w:tc>
        <w:tc>
          <w:tcPr>
            <w:tcW w:w="865" w:type="dxa"/>
            <w:vAlign w:val="center"/>
          </w:tcPr>
          <w:p w14:paraId="07562BE6" w14:textId="40069FDF" w:rsidR="00391ABB" w:rsidRPr="002E49B0" w:rsidRDefault="00391ABB"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2017</w:t>
            </w:r>
          </w:p>
        </w:tc>
        <w:tc>
          <w:tcPr>
            <w:tcW w:w="865" w:type="dxa"/>
            <w:vAlign w:val="center"/>
          </w:tcPr>
          <w:p w14:paraId="0FDEC011" w14:textId="77777777" w:rsidR="00391ABB" w:rsidRPr="002E49B0" w:rsidRDefault="00391ABB"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2018</w:t>
            </w:r>
          </w:p>
        </w:tc>
        <w:tc>
          <w:tcPr>
            <w:tcW w:w="865" w:type="dxa"/>
            <w:vAlign w:val="center"/>
          </w:tcPr>
          <w:p w14:paraId="6F7B17C7" w14:textId="77777777" w:rsidR="00391ABB" w:rsidRPr="002E49B0" w:rsidRDefault="00391ABB"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2019</w:t>
            </w:r>
          </w:p>
        </w:tc>
        <w:tc>
          <w:tcPr>
            <w:tcW w:w="865" w:type="dxa"/>
            <w:vAlign w:val="center"/>
          </w:tcPr>
          <w:p w14:paraId="604C11B2" w14:textId="454F3911" w:rsidR="00391ABB" w:rsidRPr="002E49B0" w:rsidRDefault="00391ABB"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2020</w:t>
            </w:r>
          </w:p>
        </w:tc>
        <w:tc>
          <w:tcPr>
            <w:tcW w:w="865" w:type="dxa"/>
            <w:vAlign w:val="center"/>
          </w:tcPr>
          <w:p w14:paraId="4F4BA500" w14:textId="04EC4944" w:rsidR="00391ABB" w:rsidRPr="002E49B0" w:rsidRDefault="00391ABB"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2021</w:t>
            </w:r>
          </w:p>
        </w:tc>
        <w:tc>
          <w:tcPr>
            <w:tcW w:w="865" w:type="dxa"/>
            <w:vAlign w:val="center"/>
          </w:tcPr>
          <w:p w14:paraId="690D18B0" w14:textId="0385065F" w:rsidR="00391ABB" w:rsidRPr="002E49B0" w:rsidRDefault="00391ABB"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2022</w:t>
            </w:r>
          </w:p>
        </w:tc>
        <w:tc>
          <w:tcPr>
            <w:tcW w:w="865" w:type="dxa"/>
            <w:vAlign w:val="center"/>
          </w:tcPr>
          <w:p w14:paraId="051CC9C0" w14:textId="326ED40D" w:rsidR="00391ABB" w:rsidRPr="002E49B0" w:rsidRDefault="00391ABB"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2023</w:t>
            </w:r>
          </w:p>
        </w:tc>
        <w:tc>
          <w:tcPr>
            <w:tcW w:w="865" w:type="dxa"/>
            <w:vAlign w:val="center"/>
          </w:tcPr>
          <w:p w14:paraId="66E464A4" w14:textId="2A03FC65" w:rsidR="00391ABB" w:rsidRPr="002E49B0" w:rsidRDefault="00391ABB"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2024*</w:t>
            </w:r>
          </w:p>
        </w:tc>
      </w:tr>
      <w:tr w:rsidR="0047484F" w:rsidRPr="00B57D0A" w14:paraId="79869B33" w14:textId="62F5C4DD" w:rsidTr="00BB115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75" w:type="dxa"/>
          </w:tcPr>
          <w:p w14:paraId="4BF09327" w14:textId="422D7418" w:rsidR="00224654" w:rsidRPr="002E49B0" w:rsidRDefault="00224654" w:rsidP="0047484F">
            <w:pPr>
              <w:jc w:val="right"/>
              <w:rPr>
                <w:rFonts w:eastAsia="Times New Roman" w:cs="Times New Roman"/>
                <w:b w:val="0"/>
                <w:bCs w:val="0"/>
                <w:color w:val="000000" w:themeColor="text1"/>
                <w:sz w:val="20"/>
                <w:szCs w:val="20"/>
                <w:lang w:eastAsia="lv-LV"/>
              </w:rPr>
            </w:pPr>
            <w:r w:rsidRPr="002E49B0">
              <w:rPr>
                <w:rFonts w:eastAsia="Times New Roman" w:cs="Times New Roman"/>
                <w:color w:val="000000" w:themeColor="text1"/>
                <w:sz w:val="20"/>
                <w:szCs w:val="20"/>
                <w:lang w:eastAsia="lv-LV"/>
              </w:rPr>
              <w:t>Vispārējās valdības sektorā klasificēto</w:t>
            </w:r>
            <w:r w:rsidR="0047484F" w:rsidRPr="002E49B0">
              <w:rPr>
                <w:rFonts w:eastAsia="Times New Roman" w:cs="Times New Roman"/>
                <w:color w:val="000000" w:themeColor="text1"/>
                <w:sz w:val="20"/>
                <w:szCs w:val="20"/>
                <w:lang w:eastAsia="lv-LV"/>
              </w:rPr>
              <w:t xml:space="preserve"> </w:t>
            </w:r>
            <w:r w:rsidRPr="002E49B0">
              <w:rPr>
                <w:rFonts w:eastAsia="Times New Roman" w:cs="Times New Roman"/>
                <w:color w:val="000000" w:themeColor="text1"/>
                <w:sz w:val="20"/>
                <w:szCs w:val="20"/>
                <w:lang w:eastAsia="lv-LV"/>
              </w:rPr>
              <w:t>komercsabiedrību bilance (izpilde)</w:t>
            </w:r>
          </w:p>
        </w:tc>
        <w:tc>
          <w:tcPr>
            <w:tcW w:w="865" w:type="dxa"/>
            <w:vAlign w:val="center"/>
          </w:tcPr>
          <w:p w14:paraId="11027F5B" w14:textId="22EF04C4"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lang w:eastAsia="lv-LV"/>
              </w:rPr>
              <w:t>-63,1</w:t>
            </w:r>
          </w:p>
        </w:tc>
        <w:tc>
          <w:tcPr>
            <w:tcW w:w="865" w:type="dxa"/>
            <w:vAlign w:val="center"/>
          </w:tcPr>
          <w:p w14:paraId="27DC8261" w14:textId="3CED84B0"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-16,9</w:t>
            </w:r>
          </w:p>
        </w:tc>
        <w:tc>
          <w:tcPr>
            <w:tcW w:w="865" w:type="dxa"/>
            <w:vAlign w:val="center"/>
          </w:tcPr>
          <w:p w14:paraId="51827F2E" w14:textId="152FB713"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-14,0</w:t>
            </w:r>
          </w:p>
        </w:tc>
        <w:tc>
          <w:tcPr>
            <w:tcW w:w="865" w:type="dxa"/>
            <w:vAlign w:val="center"/>
          </w:tcPr>
          <w:p w14:paraId="1655ED8B" w14:textId="5CF2C876"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+14,2</w:t>
            </w:r>
          </w:p>
        </w:tc>
        <w:tc>
          <w:tcPr>
            <w:tcW w:w="865" w:type="dxa"/>
            <w:vAlign w:val="center"/>
          </w:tcPr>
          <w:p w14:paraId="0E182236" w14:textId="4BDEE699"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-14,1</w:t>
            </w:r>
          </w:p>
        </w:tc>
        <w:tc>
          <w:tcPr>
            <w:tcW w:w="865" w:type="dxa"/>
            <w:vAlign w:val="center"/>
          </w:tcPr>
          <w:p w14:paraId="5C136C1B" w14:textId="6F1B5CD7"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-38,7</w:t>
            </w:r>
          </w:p>
        </w:tc>
        <w:tc>
          <w:tcPr>
            <w:tcW w:w="865" w:type="dxa"/>
            <w:vAlign w:val="center"/>
          </w:tcPr>
          <w:p w14:paraId="59A2E531" w14:textId="56FB95E8"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-162,9</w:t>
            </w:r>
          </w:p>
        </w:tc>
        <w:tc>
          <w:tcPr>
            <w:tcW w:w="865" w:type="dxa"/>
            <w:vAlign w:val="center"/>
          </w:tcPr>
          <w:p w14:paraId="098E3199" w14:textId="5CB2C664"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-81,7</w:t>
            </w:r>
          </w:p>
        </w:tc>
      </w:tr>
      <w:tr w:rsidR="0047484F" w:rsidRPr="00B57D0A" w14:paraId="606DAC29" w14:textId="2F116FDB" w:rsidTr="00BB1154">
        <w:trPr>
          <w:trHeight w:val="284"/>
          <w:jc w:val="center"/>
        </w:trPr>
        <w:tc>
          <w:tcPr>
            <w:cnfStyle w:val="001000000000" w:firstRow="0" w:lastRow="0" w:firstColumn="1" w:lastColumn="0" w:oddVBand="0" w:evenVBand="0" w:oddHBand="0" w:evenHBand="0" w:firstRowFirstColumn="0" w:firstRowLastColumn="0" w:lastRowFirstColumn="0" w:lastRowLastColumn="0"/>
            <w:tcW w:w="3175" w:type="dxa"/>
            <w:vAlign w:val="center"/>
          </w:tcPr>
          <w:p w14:paraId="3BFCEC16" w14:textId="77777777" w:rsidR="00224654" w:rsidRPr="002E49B0" w:rsidRDefault="00224654" w:rsidP="0047484F">
            <w:pPr>
              <w:jc w:val="right"/>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t.sk. EPT bilance</w:t>
            </w:r>
          </w:p>
        </w:tc>
        <w:tc>
          <w:tcPr>
            <w:tcW w:w="865" w:type="dxa"/>
            <w:vAlign w:val="center"/>
          </w:tcPr>
          <w:p w14:paraId="7B831C09" w14:textId="1A1537BA" w:rsidR="00224654" w:rsidRPr="002E49B0" w:rsidRDefault="00224654" w:rsidP="002E49B0">
            <w:pPr>
              <w:ind w:right="-55" w:hanging="34"/>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-22,2</w:t>
            </w:r>
          </w:p>
        </w:tc>
        <w:tc>
          <w:tcPr>
            <w:tcW w:w="865" w:type="dxa"/>
            <w:vAlign w:val="center"/>
          </w:tcPr>
          <w:p w14:paraId="6FD778A8" w14:textId="19528B83"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+48,6</w:t>
            </w:r>
          </w:p>
        </w:tc>
        <w:tc>
          <w:tcPr>
            <w:tcW w:w="865" w:type="dxa"/>
            <w:vAlign w:val="center"/>
          </w:tcPr>
          <w:p w14:paraId="383CBABF" w14:textId="18131482"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-41,8</w:t>
            </w:r>
          </w:p>
        </w:tc>
        <w:tc>
          <w:tcPr>
            <w:tcW w:w="865" w:type="dxa"/>
            <w:vAlign w:val="center"/>
          </w:tcPr>
          <w:p w14:paraId="0CD4F2A7" w14:textId="0EBED8B7"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-43,6</w:t>
            </w:r>
          </w:p>
        </w:tc>
        <w:tc>
          <w:tcPr>
            <w:tcW w:w="865" w:type="dxa"/>
            <w:vAlign w:val="center"/>
          </w:tcPr>
          <w:p w14:paraId="480658CE" w14:textId="0EF64072"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-0,6</w:t>
            </w:r>
          </w:p>
        </w:tc>
        <w:tc>
          <w:tcPr>
            <w:tcW w:w="865" w:type="dxa"/>
            <w:vAlign w:val="center"/>
          </w:tcPr>
          <w:p w14:paraId="2A67B647" w14:textId="4A8C99D4"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-4,6</w:t>
            </w:r>
          </w:p>
        </w:tc>
        <w:tc>
          <w:tcPr>
            <w:tcW w:w="865" w:type="dxa"/>
            <w:vAlign w:val="center"/>
          </w:tcPr>
          <w:p w14:paraId="734A161F" w14:textId="7876D749"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-43,0</w:t>
            </w:r>
          </w:p>
        </w:tc>
        <w:tc>
          <w:tcPr>
            <w:tcW w:w="865" w:type="dxa"/>
            <w:vAlign w:val="center"/>
          </w:tcPr>
          <w:p w14:paraId="4AFD0404" w14:textId="5171C12B"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lang w:eastAsia="lv-LV"/>
              </w:rPr>
              <w:t>-44,4</w:t>
            </w:r>
          </w:p>
        </w:tc>
      </w:tr>
      <w:tr w:rsidR="0047484F" w:rsidRPr="00B57D0A" w14:paraId="21E310D1" w14:textId="678FF706" w:rsidTr="00BB115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175" w:type="dxa"/>
            <w:vAlign w:val="center"/>
          </w:tcPr>
          <w:p w14:paraId="5DE0A982" w14:textId="36826514" w:rsidR="00224654" w:rsidRPr="002E49B0" w:rsidRDefault="00224654" w:rsidP="0047484F">
            <w:pPr>
              <w:jc w:val="right"/>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EPT prognoze</w:t>
            </w:r>
          </w:p>
        </w:tc>
        <w:tc>
          <w:tcPr>
            <w:tcW w:w="865" w:type="dxa"/>
            <w:vAlign w:val="center"/>
          </w:tcPr>
          <w:p w14:paraId="7B0778FE" w14:textId="2E599795" w:rsidR="00224654" w:rsidRPr="002E49B0" w:rsidRDefault="00224654" w:rsidP="00224654">
            <w:pPr>
              <w:ind w:right="-55" w:hanging="34"/>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w:t>
            </w:r>
          </w:p>
        </w:tc>
        <w:tc>
          <w:tcPr>
            <w:tcW w:w="865" w:type="dxa"/>
            <w:vAlign w:val="center"/>
          </w:tcPr>
          <w:p w14:paraId="68B9918C" w14:textId="6B23A49C"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w:t>
            </w:r>
          </w:p>
        </w:tc>
        <w:tc>
          <w:tcPr>
            <w:tcW w:w="865" w:type="dxa"/>
            <w:vAlign w:val="center"/>
          </w:tcPr>
          <w:p w14:paraId="3211952E" w14:textId="4C096625"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-27,1</w:t>
            </w:r>
          </w:p>
        </w:tc>
        <w:tc>
          <w:tcPr>
            <w:tcW w:w="865" w:type="dxa"/>
            <w:vAlign w:val="center"/>
          </w:tcPr>
          <w:p w14:paraId="6794E013" w14:textId="1AA1A14B"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-14,1</w:t>
            </w:r>
          </w:p>
        </w:tc>
        <w:tc>
          <w:tcPr>
            <w:tcW w:w="865" w:type="dxa"/>
            <w:vAlign w:val="center"/>
          </w:tcPr>
          <w:p w14:paraId="556514FD" w14:textId="6628D3EE"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-24,5</w:t>
            </w:r>
          </w:p>
        </w:tc>
        <w:tc>
          <w:tcPr>
            <w:tcW w:w="865" w:type="dxa"/>
            <w:vAlign w:val="center"/>
          </w:tcPr>
          <w:p w14:paraId="12FF4A72" w14:textId="1828F97D"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+8,8</w:t>
            </w:r>
          </w:p>
        </w:tc>
        <w:tc>
          <w:tcPr>
            <w:tcW w:w="865" w:type="dxa"/>
            <w:vAlign w:val="center"/>
          </w:tcPr>
          <w:p w14:paraId="2F71E95C" w14:textId="2CEA0EA8"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-43,5</w:t>
            </w:r>
          </w:p>
        </w:tc>
        <w:tc>
          <w:tcPr>
            <w:tcW w:w="865" w:type="dxa"/>
            <w:vAlign w:val="center"/>
          </w:tcPr>
          <w:p w14:paraId="19049EC3" w14:textId="140C7C78" w:rsidR="00224654" w:rsidRPr="002E49B0" w:rsidRDefault="00224654" w:rsidP="0022465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lang w:eastAsia="lv-LV"/>
              </w:rPr>
              <w:t>-17,1</w:t>
            </w:r>
          </w:p>
        </w:tc>
      </w:tr>
      <w:tr w:rsidR="0047484F" w:rsidRPr="00B57D0A" w14:paraId="4B5A21E3" w14:textId="614B62CC" w:rsidTr="00BB1154">
        <w:trPr>
          <w:trHeight w:val="284"/>
          <w:jc w:val="center"/>
        </w:trPr>
        <w:tc>
          <w:tcPr>
            <w:cnfStyle w:val="001000000000" w:firstRow="0" w:lastRow="0" w:firstColumn="1" w:lastColumn="0" w:oddVBand="0" w:evenVBand="0" w:oddHBand="0" w:evenHBand="0" w:firstRowFirstColumn="0" w:firstRowLastColumn="0" w:lastRowFirstColumn="0" w:lastRowLastColumn="0"/>
            <w:tcW w:w="3175" w:type="dxa"/>
            <w:vAlign w:val="center"/>
          </w:tcPr>
          <w:p w14:paraId="3A9AF296" w14:textId="0CDD10BD" w:rsidR="00224654" w:rsidRPr="002E49B0" w:rsidRDefault="00224654" w:rsidP="0047484F">
            <w:pPr>
              <w:jc w:val="right"/>
              <w:rPr>
                <w:rFonts w:eastAsia="Times New Roman" w:cs="Times New Roman"/>
                <w:color w:val="000000" w:themeColor="text1"/>
                <w:sz w:val="20"/>
                <w:szCs w:val="20"/>
                <w:lang w:eastAsia="lv-LV"/>
              </w:rPr>
            </w:pPr>
            <w:r w:rsidRPr="002E49B0">
              <w:rPr>
                <w:rFonts w:eastAsia="Times New Roman" w:cs="Times New Roman"/>
                <w:color w:val="000000" w:themeColor="text1"/>
                <w:sz w:val="20"/>
                <w:szCs w:val="20"/>
                <w:lang w:eastAsia="lv-LV"/>
              </w:rPr>
              <w:t>EPT novirzes no prognozēm</w:t>
            </w:r>
          </w:p>
        </w:tc>
        <w:tc>
          <w:tcPr>
            <w:tcW w:w="865" w:type="dxa"/>
            <w:vAlign w:val="center"/>
          </w:tcPr>
          <w:p w14:paraId="78EB3FF4" w14:textId="5DC54E71" w:rsidR="00224654" w:rsidRPr="002E49B0" w:rsidRDefault="00224654" w:rsidP="00224654">
            <w:pPr>
              <w:ind w:right="-55" w:hanging="34"/>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w:t>
            </w:r>
          </w:p>
        </w:tc>
        <w:tc>
          <w:tcPr>
            <w:tcW w:w="865" w:type="dxa"/>
            <w:vAlign w:val="center"/>
          </w:tcPr>
          <w:p w14:paraId="7401732A" w14:textId="61813D3A"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w:t>
            </w:r>
          </w:p>
        </w:tc>
        <w:tc>
          <w:tcPr>
            <w:tcW w:w="865" w:type="dxa"/>
            <w:vAlign w:val="center"/>
          </w:tcPr>
          <w:p w14:paraId="76AC1874" w14:textId="5A438076"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-14,7</w:t>
            </w:r>
          </w:p>
        </w:tc>
        <w:tc>
          <w:tcPr>
            <w:tcW w:w="865" w:type="dxa"/>
            <w:vAlign w:val="center"/>
          </w:tcPr>
          <w:p w14:paraId="43330045" w14:textId="1C85F638"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-29,5</w:t>
            </w:r>
          </w:p>
        </w:tc>
        <w:tc>
          <w:tcPr>
            <w:tcW w:w="865" w:type="dxa"/>
            <w:vAlign w:val="center"/>
          </w:tcPr>
          <w:p w14:paraId="169E20B9" w14:textId="4342647C"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23,9</w:t>
            </w:r>
          </w:p>
        </w:tc>
        <w:tc>
          <w:tcPr>
            <w:tcW w:w="865" w:type="dxa"/>
            <w:vAlign w:val="center"/>
          </w:tcPr>
          <w:p w14:paraId="7AB83F04" w14:textId="6FAA9A0F"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-13,4</w:t>
            </w:r>
          </w:p>
        </w:tc>
        <w:tc>
          <w:tcPr>
            <w:tcW w:w="865" w:type="dxa"/>
            <w:vAlign w:val="center"/>
          </w:tcPr>
          <w:p w14:paraId="16431CD8" w14:textId="58142177"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rPr>
              <w:t>0,5</w:t>
            </w:r>
          </w:p>
        </w:tc>
        <w:tc>
          <w:tcPr>
            <w:tcW w:w="865" w:type="dxa"/>
            <w:vAlign w:val="center"/>
          </w:tcPr>
          <w:p w14:paraId="241A22A6" w14:textId="3E0FC602" w:rsidR="00224654" w:rsidRPr="002E49B0" w:rsidRDefault="00224654" w:rsidP="0022465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2E49B0">
              <w:rPr>
                <w:rFonts w:eastAsia="Times New Roman" w:cs="Times New Roman"/>
                <w:color w:val="000000" w:themeColor="text1"/>
                <w:sz w:val="20"/>
                <w:szCs w:val="20"/>
                <w:lang w:eastAsia="lv-LV"/>
              </w:rPr>
              <w:t>-27,3</w:t>
            </w:r>
          </w:p>
        </w:tc>
      </w:tr>
    </w:tbl>
    <w:p w14:paraId="3D81573A" w14:textId="332CE6F6" w:rsidR="005A07F4" w:rsidRPr="00DB1FE8" w:rsidRDefault="073CDFD1" w:rsidP="469479B5">
      <w:pPr>
        <w:spacing w:after="0" w:line="240" w:lineRule="auto"/>
        <w:rPr>
          <w:rFonts w:ascii="Times New Roman" w:hAnsi="Times New Roman" w:cs="Times New Roman"/>
          <w:sz w:val="20"/>
          <w:szCs w:val="20"/>
        </w:rPr>
      </w:pPr>
      <w:bookmarkStart w:id="130" w:name="_Hlk140266235"/>
      <w:r w:rsidRPr="469479B5">
        <w:rPr>
          <w:rFonts w:ascii="Times New Roman" w:hAnsi="Times New Roman" w:cs="Times New Roman"/>
          <w:sz w:val="20"/>
          <w:szCs w:val="20"/>
        </w:rPr>
        <w:t>*</w:t>
      </w:r>
      <w:r w:rsidR="55AF9935" w:rsidRPr="469479B5">
        <w:rPr>
          <w:rFonts w:ascii="Times New Roman" w:hAnsi="Times New Roman" w:cs="Times New Roman"/>
          <w:i/>
          <w:iCs/>
          <w:sz w:val="20"/>
          <w:szCs w:val="20"/>
        </w:rPr>
        <w:t xml:space="preserve"> saskaņā ar Eurostat </w:t>
      </w:r>
      <w:r w:rsidR="79CAB3B9" w:rsidRPr="469479B5">
        <w:rPr>
          <w:rFonts w:ascii="Times New Roman" w:hAnsi="Times New Roman" w:cs="Times New Roman"/>
          <w:i/>
          <w:iCs/>
          <w:sz w:val="20"/>
          <w:szCs w:val="20"/>
        </w:rPr>
        <w:t>202</w:t>
      </w:r>
      <w:r w:rsidR="00555142">
        <w:rPr>
          <w:rFonts w:ascii="Times New Roman" w:hAnsi="Times New Roman" w:cs="Times New Roman"/>
          <w:i/>
          <w:iCs/>
          <w:sz w:val="20"/>
          <w:szCs w:val="20"/>
        </w:rPr>
        <w:t>5</w:t>
      </w:r>
      <w:r w:rsidR="55AF9935" w:rsidRPr="469479B5">
        <w:rPr>
          <w:rFonts w:ascii="Times New Roman" w:hAnsi="Times New Roman" w:cs="Times New Roman"/>
          <w:i/>
          <w:iCs/>
          <w:sz w:val="20"/>
          <w:szCs w:val="20"/>
        </w:rPr>
        <w:t>.</w:t>
      </w:r>
      <w:r w:rsidR="003FFB5D" w:rsidRPr="469479B5">
        <w:rPr>
          <w:rFonts w:ascii="Times New Roman" w:hAnsi="Times New Roman" w:cs="Times New Roman"/>
          <w:b/>
          <w:bCs/>
          <w:sz w:val="24"/>
          <w:szCs w:val="24"/>
        </w:rPr>
        <w:t xml:space="preserve"> </w:t>
      </w:r>
      <w:r w:rsidR="55AF9935" w:rsidRPr="469479B5">
        <w:rPr>
          <w:rFonts w:ascii="Times New Roman" w:hAnsi="Times New Roman" w:cs="Times New Roman"/>
          <w:i/>
          <w:iCs/>
          <w:sz w:val="20"/>
          <w:szCs w:val="20"/>
        </w:rPr>
        <w:t>gada aprīļa vispārējās valdības budžeta notifikācijas datiem</w:t>
      </w:r>
      <w:r w:rsidR="55AF9935" w:rsidRPr="469479B5">
        <w:rPr>
          <w:rFonts w:ascii="Times New Roman" w:hAnsi="Times New Roman" w:cs="Times New Roman"/>
          <w:sz w:val="24"/>
          <w:szCs w:val="24"/>
        </w:rPr>
        <w:t xml:space="preserve"> </w:t>
      </w:r>
      <w:bookmarkEnd w:id="130"/>
    </w:p>
    <w:p w14:paraId="4623013A" w14:textId="77777777" w:rsidR="005962CD" w:rsidRPr="00883EE7" w:rsidRDefault="005962CD" w:rsidP="009F77D2">
      <w:pPr>
        <w:spacing w:after="0" w:line="240" w:lineRule="auto"/>
        <w:jc w:val="both"/>
        <w:rPr>
          <w:rFonts w:ascii="Times New Roman" w:hAnsi="Times New Roman" w:cs="Times New Roman"/>
          <w:sz w:val="24"/>
          <w:szCs w:val="24"/>
          <w:highlight w:val="yellow"/>
        </w:rPr>
      </w:pPr>
    </w:p>
    <w:p w14:paraId="2E605AC9" w14:textId="647343C3" w:rsidR="003A3F2C" w:rsidRPr="00335486" w:rsidRDefault="073CDFD1"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EPT ir iekļauts vispārējās valdības sektorā </w:t>
      </w:r>
      <w:r w:rsidR="3A3CA311" w:rsidRPr="469479B5">
        <w:rPr>
          <w:rFonts w:ascii="Times New Roman" w:hAnsi="Times New Roman"/>
          <w:sz w:val="24"/>
          <w:szCs w:val="24"/>
        </w:rPr>
        <w:t>tikai no 2018.</w:t>
      </w:r>
      <w:r w:rsidR="3A3CA311" w:rsidRPr="469479B5">
        <w:rPr>
          <w:rFonts w:ascii="Times New Roman" w:hAnsi="Times New Roman" w:cs="Times New Roman"/>
          <w:b/>
          <w:bCs/>
          <w:sz w:val="24"/>
          <w:szCs w:val="24"/>
        </w:rPr>
        <w:t xml:space="preserve"> </w:t>
      </w:r>
      <w:r w:rsidR="3A3CA311" w:rsidRPr="469479B5">
        <w:rPr>
          <w:rFonts w:ascii="Times New Roman" w:hAnsi="Times New Roman"/>
          <w:sz w:val="24"/>
          <w:szCs w:val="24"/>
        </w:rPr>
        <w:t xml:space="preserve">gada </w:t>
      </w:r>
      <w:r w:rsidRPr="469479B5">
        <w:rPr>
          <w:rFonts w:ascii="Times New Roman" w:hAnsi="Times New Roman"/>
          <w:sz w:val="24"/>
          <w:szCs w:val="24"/>
        </w:rPr>
        <w:t xml:space="preserve">un tikai no šī brīža publisko finanšu aspektā nozīmi iegūst EPT prognozētās un faktiskās bilances atšķirības. </w:t>
      </w:r>
      <w:r w:rsidR="36A0FDBD" w:rsidRPr="469479B5">
        <w:rPr>
          <w:rFonts w:ascii="Times New Roman" w:hAnsi="Times New Roman"/>
          <w:sz w:val="24"/>
          <w:szCs w:val="24"/>
        </w:rPr>
        <w:t>P</w:t>
      </w:r>
      <w:r w:rsidRPr="469479B5">
        <w:rPr>
          <w:rFonts w:ascii="Times New Roman" w:hAnsi="Times New Roman"/>
          <w:sz w:val="24"/>
          <w:szCs w:val="24"/>
        </w:rPr>
        <w:t xml:space="preserve">ašreizējā laika rinda ir </w:t>
      </w:r>
      <w:r w:rsidR="12D32E95" w:rsidRPr="469479B5">
        <w:rPr>
          <w:rFonts w:ascii="Times New Roman" w:hAnsi="Times New Roman"/>
          <w:sz w:val="24"/>
          <w:szCs w:val="24"/>
        </w:rPr>
        <w:t xml:space="preserve">salīdzinoši </w:t>
      </w:r>
      <w:r w:rsidR="0AA24CF1" w:rsidRPr="469479B5">
        <w:rPr>
          <w:rFonts w:ascii="Times New Roman" w:hAnsi="Times New Roman"/>
          <w:sz w:val="24"/>
          <w:szCs w:val="24"/>
        </w:rPr>
        <w:t>reprezentabla</w:t>
      </w:r>
      <w:r w:rsidR="00193487">
        <w:rPr>
          <w:rFonts w:ascii="Times New Roman" w:hAnsi="Times New Roman"/>
          <w:sz w:val="24"/>
          <w:szCs w:val="24"/>
        </w:rPr>
        <w:t>,</w:t>
      </w:r>
      <w:r w:rsidR="0AA24CF1" w:rsidRPr="469479B5">
        <w:rPr>
          <w:rFonts w:ascii="Times New Roman" w:hAnsi="Times New Roman"/>
          <w:sz w:val="24"/>
          <w:szCs w:val="24"/>
        </w:rPr>
        <w:t xml:space="preserve"> </w:t>
      </w:r>
      <w:r w:rsidR="0084332B">
        <w:rPr>
          <w:rFonts w:ascii="Times New Roman" w:hAnsi="Times New Roman"/>
          <w:sz w:val="24"/>
          <w:szCs w:val="24"/>
        </w:rPr>
        <w:t xml:space="preserve">tomēr </w:t>
      </w:r>
      <w:r w:rsidR="3755458F" w:rsidRPr="469479B5">
        <w:rPr>
          <w:rFonts w:ascii="Times New Roman" w:hAnsi="Times New Roman"/>
          <w:sz w:val="24"/>
          <w:szCs w:val="24"/>
        </w:rPr>
        <w:t xml:space="preserve">pieejamie </w:t>
      </w:r>
      <w:r w:rsidR="00391ABB">
        <w:rPr>
          <w:rFonts w:ascii="Times New Roman" w:hAnsi="Times New Roman"/>
          <w:sz w:val="24"/>
          <w:szCs w:val="24"/>
        </w:rPr>
        <w:t>sešu</w:t>
      </w:r>
      <w:r w:rsidR="00391ABB" w:rsidRPr="469479B5">
        <w:rPr>
          <w:rFonts w:ascii="Times New Roman" w:hAnsi="Times New Roman"/>
          <w:sz w:val="24"/>
          <w:szCs w:val="24"/>
        </w:rPr>
        <w:t xml:space="preserve"> </w:t>
      </w:r>
      <w:r w:rsidR="3755458F" w:rsidRPr="469479B5">
        <w:rPr>
          <w:rFonts w:ascii="Times New Roman" w:hAnsi="Times New Roman"/>
          <w:sz w:val="24"/>
          <w:szCs w:val="24"/>
        </w:rPr>
        <w:t>gadu novērojumi par EPT novirzēm no prognozēm</w:t>
      </w:r>
      <w:r w:rsidRPr="469479B5">
        <w:rPr>
          <w:rFonts w:ascii="Times New Roman" w:hAnsi="Times New Roman"/>
          <w:sz w:val="24"/>
          <w:szCs w:val="24"/>
        </w:rPr>
        <w:t xml:space="preserve"> </w:t>
      </w:r>
      <w:r w:rsidR="00146ECF">
        <w:rPr>
          <w:rFonts w:ascii="Times New Roman" w:hAnsi="Times New Roman"/>
          <w:sz w:val="24"/>
          <w:szCs w:val="24"/>
        </w:rPr>
        <w:t>ne</w:t>
      </w:r>
      <w:r w:rsidR="3755458F" w:rsidRPr="469479B5">
        <w:rPr>
          <w:rFonts w:ascii="Times New Roman" w:hAnsi="Times New Roman"/>
          <w:sz w:val="24"/>
          <w:szCs w:val="24"/>
        </w:rPr>
        <w:t xml:space="preserve">ļauj izvirzīt hipotēzi, ka risks pēc savas būtības ir simetriska rakstura. </w:t>
      </w:r>
    </w:p>
    <w:p w14:paraId="0A595D1B" w14:textId="757C6F94" w:rsidR="00316EA5" w:rsidRPr="00A67AD9" w:rsidRDefault="2FDBB4F5" w:rsidP="00A67AD9">
      <w:pPr>
        <w:spacing w:after="0" w:line="240" w:lineRule="auto"/>
        <w:ind w:firstLine="709"/>
        <w:jc w:val="both"/>
        <w:rPr>
          <w:rFonts w:ascii="Times New Roman" w:eastAsia="Calibri" w:hAnsi="Times New Roman" w:cs="Times New Roman"/>
          <w:sz w:val="24"/>
          <w:szCs w:val="24"/>
        </w:rPr>
      </w:pPr>
      <w:r w:rsidRPr="469479B5">
        <w:rPr>
          <w:rFonts w:ascii="Times New Roman" w:hAnsi="Times New Roman"/>
          <w:sz w:val="24"/>
          <w:szCs w:val="24"/>
        </w:rPr>
        <w:t>I</w:t>
      </w:r>
      <w:r w:rsidR="670155EF" w:rsidRPr="469479B5">
        <w:rPr>
          <w:rFonts w:ascii="Times New Roman" w:hAnsi="Times New Roman"/>
          <w:sz w:val="24"/>
          <w:szCs w:val="24"/>
        </w:rPr>
        <w:t xml:space="preserve">epriekšējo gadu EPT prognozētās un faktiskās bilances </w:t>
      </w:r>
      <w:r w:rsidR="4F9381D3" w:rsidRPr="469479B5">
        <w:rPr>
          <w:rFonts w:ascii="Times New Roman" w:hAnsi="Times New Roman"/>
          <w:sz w:val="24"/>
          <w:szCs w:val="24"/>
        </w:rPr>
        <w:t xml:space="preserve">ievērojamās </w:t>
      </w:r>
      <w:r w:rsidR="670155EF" w:rsidRPr="469479B5">
        <w:rPr>
          <w:rFonts w:ascii="Times New Roman" w:hAnsi="Times New Roman"/>
          <w:sz w:val="24"/>
          <w:szCs w:val="24"/>
        </w:rPr>
        <w:t xml:space="preserve">novirzes ir radušās </w:t>
      </w:r>
      <w:r w:rsidR="1CF4CA31" w:rsidRPr="469479B5">
        <w:rPr>
          <w:rFonts w:ascii="Times New Roman" w:hAnsi="Times New Roman"/>
          <w:sz w:val="24"/>
          <w:szCs w:val="24"/>
        </w:rPr>
        <w:t xml:space="preserve">galvenokārt </w:t>
      </w:r>
      <w:r w:rsidR="670155EF" w:rsidRPr="469479B5">
        <w:rPr>
          <w:rFonts w:ascii="Times New Roman" w:hAnsi="Times New Roman"/>
          <w:sz w:val="24"/>
          <w:szCs w:val="24"/>
        </w:rPr>
        <w:t xml:space="preserve">obligātā iepirkuma ietvaros īstenotā darījuma shēmas uzskaites maiņas rezultātā (atbilstoši </w:t>
      </w:r>
      <w:r w:rsidR="670155EF" w:rsidRPr="00940337">
        <w:rPr>
          <w:rFonts w:ascii="Times New Roman" w:hAnsi="Times New Roman"/>
          <w:i/>
          <w:iCs/>
          <w:sz w:val="24"/>
          <w:szCs w:val="24"/>
        </w:rPr>
        <w:t xml:space="preserve">Eurostat </w:t>
      </w:r>
      <w:r w:rsidR="670155EF" w:rsidRPr="469479B5">
        <w:rPr>
          <w:rFonts w:ascii="Times New Roman" w:hAnsi="Times New Roman"/>
          <w:sz w:val="24"/>
          <w:szCs w:val="24"/>
        </w:rPr>
        <w:t>oficiālajam viedoklim par obligātā iepirkuma shēmas statistisko uzskaiti</w:t>
      </w:r>
      <w:r w:rsidR="00175C1E">
        <w:rPr>
          <w:rStyle w:val="FootnoteReference"/>
          <w:rFonts w:ascii="Times New Roman" w:hAnsi="Times New Roman"/>
          <w:sz w:val="24"/>
          <w:szCs w:val="24"/>
        </w:rPr>
        <w:footnoteReference w:id="47"/>
      </w:r>
      <w:r w:rsidR="670155EF" w:rsidRPr="469479B5">
        <w:rPr>
          <w:rFonts w:ascii="Times New Roman" w:hAnsi="Times New Roman"/>
          <w:sz w:val="24"/>
          <w:szCs w:val="24"/>
        </w:rPr>
        <w:t>), bet sākot ar 2023. gadu šīs shēmas uzskaite ir iestrādāta budžeta ietvara fiskālajās prognozēs,</w:t>
      </w:r>
      <w:r w:rsidR="00146ECF">
        <w:rPr>
          <w:rFonts w:ascii="Times New Roman" w:hAnsi="Times New Roman"/>
          <w:sz w:val="24"/>
          <w:szCs w:val="24"/>
        </w:rPr>
        <w:t xml:space="preserve"> taču 2024. gada </w:t>
      </w:r>
      <w:r w:rsidR="00A4103C">
        <w:rPr>
          <w:rFonts w:ascii="Times New Roman" w:hAnsi="Times New Roman"/>
          <w:sz w:val="24"/>
          <w:szCs w:val="24"/>
        </w:rPr>
        <w:t xml:space="preserve">operatīvie </w:t>
      </w:r>
      <w:r w:rsidR="00146ECF">
        <w:rPr>
          <w:rFonts w:ascii="Times New Roman" w:hAnsi="Times New Roman"/>
          <w:sz w:val="24"/>
          <w:szCs w:val="24"/>
        </w:rPr>
        <w:t xml:space="preserve">EDP notifikācijas dati neliecina, ka simetriskuma princips tiek ievērots. Tabulā Nr.2.14.1 vidējā novirze 6 gadu periodā ir negatīvi 10,1 milj. </w:t>
      </w:r>
      <w:r w:rsidR="00146ECF" w:rsidRPr="00E9469F">
        <w:rPr>
          <w:rFonts w:ascii="Times New Roman" w:hAnsi="Times New Roman"/>
          <w:i/>
          <w:iCs/>
          <w:sz w:val="24"/>
          <w:szCs w:val="24"/>
        </w:rPr>
        <w:t>euro</w:t>
      </w:r>
      <w:r w:rsidR="00A4103C">
        <w:rPr>
          <w:rFonts w:ascii="Times New Roman" w:hAnsi="Times New Roman"/>
          <w:sz w:val="24"/>
          <w:szCs w:val="24"/>
        </w:rPr>
        <w:t xml:space="preserve"> un attiecīgi, </w:t>
      </w:r>
      <w:r w:rsidR="00A4103C" w:rsidRPr="00E9469F">
        <w:rPr>
          <w:rFonts w:ascii="Times New Roman" w:hAnsi="Times New Roman"/>
          <w:b/>
          <w:bCs/>
          <w:sz w:val="24"/>
          <w:szCs w:val="24"/>
        </w:rPr>
        <w:t xml:space="preserve">lai izvairītos no negatīvas ietekmes uz vispārējās valdības budžeta bilanci, fiskālā nodrošinājuma rezerve šim riskam tiek veidota vidējās novirzes apmērā, t.i., no 2026. gada līdz 2028. gadam 10,1 milj. </w:t>
      </w:r>
      <w:r w:rsidR="00A4103C" w:rsidRPr="00E9469F">
        <w:rPr>
          <w:rFonts w:ascii="Times New Roman" w:hAnsi="Times New Roman"/>
          <w:b/>
          <w:bCs/>
          <w:i/>
          <w:iCs/>
          <w:sz w:val="24"/>
          <w:szCs w:val="24"/>
        </w:rPr>
        <w:t>euro</w:t>
      </w:r>
      <w:r w:rsidR="00A4103C" w:rsidRPr="00E9469F">
        <w:rPr>
          <w:rFonts w:ascii="Times New Roman" w:hAnsi="Times New Roman"/>
          <w:b/>
          <w:bCs/>
          <w:sz w:val="24"/>
          <w:szCs w:val="24"/>
        </w:rPr>
        <w:t xml:space="preserve"> apmērā katru gadu</w:t>
      </w:r>
      <w:r w:rsidR="00A67AD9">
        <w:rPr>
          <w:rFonts w:ascii="Times New Roman" w:hAnsi="Times New Roman"/>
          <w:i/>
          <w:iCs/>
          <w:sz w:val="24"/>
          <w:szCs w:val="24"/>
        </w:rPr>
        <w:t>.</w:t>
      </w:r>
      <w:r w:rsidR="00A67AD9" w:rsidRPr="469479B5">
        <w:rPr>
          <w:rFonts w:ascii="Times New Roman" w:hAnsi="Times New Roman"/>
          <w:i/>
          <w:iCs/>
          <w:sz w:val="24"/>
          <w:szCs w:val="24"/>
        </w:rPr>
        <w:t xml:space="preserve"> </w:t>
      </w:r>
      <w:r w:rsidR="00A67AD9">
        <w:rPr>
          <w:rFonts w:ascii="Times New Roman" w:hAnsi="Times New Roman"/>
          <w:sz w:val="24"/>
          <w:szCs w:val="24"/>
        </w:rPr>
        <w:t xml:space="preserve">Atbilstoši </w:t>
      </w:r>
      <w:r w:rsidR="00A67AD9" w:rsidRPr="469479B5">
        <w:rPr>
          <w:rFonts w:ascii="Times New Roman" w:hAnsi="Times New Roman"/>
          <w:sz w:val="24"/>
          <w:szCs w:val="24"/>
        </w:rPr>
        <w:t>202</w:t>
      </w:r>
      <w:r w:rsidR="00A67AD9">
        <w:rPr>
          <w:rFonts w:ascii="Times New Roman" w:hAnsi="Times New Roman"/>
          <w:sz w:val="24"/>
          <w:szCs w:val="24"/>
        </w:rPr>
        <w:t>6</w:t>
      </w:r>
      <w:r w:rsidR="00A67AD9" w:rsidRPr="469479B5">
        <w:rPr>
          <w:rFonts w:ascii="Times New Roman" w:hAnsi="Times New Roman"/>
          <w:sz w:val="24"/>
          <w:szCs w:val="24"/>
        </w:rPr>
        <w:t>.</w:t>
      </w:r>
      <w:r w:rsidR="00A67AD9" w:rsidRPr="469479B5">
        <w:rPr>
          <w:rFonts w:ascii="Times New Roman" w:hAnsi="Times New Roman" w:cs="Times New Roman"/>
          <w:b/>
          <w:bCs/>
          <w:sz w:val="24"/>
          <w:szCs w:val="24"/>
        </w:rPr>
        <w:t xml:space="preserve"> </w:t>
      </w:r>
      <w:r w:rsidR="00A67AD9" w:rsidRPr="469479B5">
        <w:rPr>
          <w:rFonts w:ascii="Times New Roman" w:hAnsi="Times New Roman"/>
          <w:sz w:val="24"/>
          <w:szCs w:val="24"/>
        </w:rPr>
        <w:t xml:space="preserve">gadā </w:t>
      </w:r>
      <w:r w:rsidR="00A67AD9" w:rsidRPr="00E9469F">
        <w:rPr>
          <w:rFonts w:ascii="Times New Roman" w:hAnsi="Times New Roman"/>
          <w:sz w:val="24"/>
          <w:szCs w:val="24"/>
        </w:rPr>
        <w:t>fiskālā nodrošinājuma rezerve</w:t>
      </w:r>
      <w:r w:rsidR="00A67AD9" w:rsidRPr="469479B5">
        <w:rPr>
          <w:rFonts w:ascii="Times New Roman" w:hAnsi="Times New Roman"/>
          <w:sz w:val="24"/>
          <w:szCs w:val="24"/>
        </w:rPr>
        <w:t xml:space="preserve"> ir aprēķināta 0,</w:t>
      </w:r>
      <w:r w:rsidR="00A67AD9" w:rsidRPr="00F81AF8">
        <w:rPr>
          <w:rFonts w:ascii="Times New Roman" w:eastAsia="Calibri" w:hAnsi="Times New Roman"/>
          <w:sz w:val="24"/>
          <w:szCs w:val="24"/>
        </w:rPr>
        <w:t>0</w:t>
      </w:r>
      <w:r w:rsidR="00A67AD9">
        <w:rPr>
          <w:rFonts w:ascii="Times New Roman" w:eastAsia="Calibri" w:hAnsi="Times New Roman"/>
          <w:sz w:val="24"/>
          <w:szCs w:val="24"/>
        </w:rPr>
        <w:t>230</w:t>
      </w:r>
      <w:r w:rsidR="00A67AD9" w:rsidRPr="469479B5">
        <w:rPr>
          <w:rFonts w:ascii="Times New Roman" w:hAnsi="Times New Roman"/>
          <w:sz w:val="24"/>
          <w:szCs w:val="24"/>
        </w:rPr>
        <w:t>%, 202</w:t>
      </w:r>
      <w:r w:rsidR="00A67AD9">
        <w:rPr>
          <w:rFonts w:ascii="Times New Roman" w:hAnsi="Times New Roman"/>
          <w:sz w:val="24"/>
          <w:szCs w:val="24"/>
        </w:rPr>
        <w:t>7</w:t>
      </w:r>
      <w:r w:rsidR="00A67AD9" w:rsidRPr="469479B5">
        <w:rPr>
          <w:rFonts w:ascii="Times New Roman" w:hAnsi="Times New Roman"/>
          <w:sz w:val="24"/>
          <w:szCs w:val="24"/>
        </w:rPr>
        <w:t>.</w:t>
      </w:r>
      <w:r w:rsidR="00A67AD9" w:rsidRPr="469479B5">
        <w:rPr>
          <w:rFonts w:ascii="Times New Roman" w:hAnsi="Times New Roman" w:cs="Times New Roman"/>
          <w:b/>
          <w:bCs/>
          <w:sz w:val="24"/>
          <w:szCs w:val="24"/>
        </w:rPr>
        <w:t xml:space="preserve"> </w:t>
      </w:r>
      <w:r w:rsidR="00A67AD9" w:rsidRPr="469479B5">
        <w:rPr>
          <w:rFonts w:ascii="Times New Roman" w:hAnsi="Times New Roman"/>
          <w:sz w:val="24"/>
          <w:szCs w:val="24"/>
        </w:rPr>
        <w:t>gadā 0,0</w:t>
      </w:r>
      <w:r w:rsidR="00A67AD9">
        <w:rPr>
          <w:rFonts w:ascii="Times New Roman" w:hAnsi="Times New Roman"/>
          <w:sz w:val="24"/>
          <w:szCs w:val="24"/>
        </w:rPr>
        <w:t>219</w:t>
      </w:r>
      <w:r w:rsidR="00A67AD9" w:rsidRPr="469479B5">
        <w:rPr>
          <w:rFonts w:ascii="Times New Roman" w:hAnsi="Times New Roman"/>
          <w:sz w:val="24"/>
          <w:szCs w:val="24"/>
        </w:rPr>
        <w:t>% un 202</w:t>
      </w:r>
      <w:r w:rsidR="00A67AD9">
        <w:rPr>
          <w:rFonts w:ascii="Times New Roman" w:hAnsi="Times New Roman"/>
          <w:sz w:val="24"/>
          <w:szCs w:val="24"/>
        </w:rPr>
        <w:t>8</w:t>
      </w:r>
      <w:r w:rsidR="00A67AD9" w:rsidRPr="469479B5">
        <w:rPr>
          <w:rFonts w:ascii="Times New Roman" w:hAnsi="Times New Roman"/>
          <w:sz w:val="24"/>
          <w:szCs w:val="24"/>
        </w:rPr>
        <w:t>.</w:t>
      </w:r>
      <w:r w:rsidR="00A67AD9" w:rsidRPr="469479B5">
        <w:rPr>
          <w:rFonts w:ascii="Times New Roman" w:hAnsi="Times New Roman" w:cs="Times New Roman"/>
          <w:b/>
          <w:bCs/>
          <w:sz w:val="24"/>
          <w:szCs w:val="24"/>
        </w:rPr>
        <w:t xml:space="preserve"> </w:t>
      </w:r>
      <w:r w:rsidR="00A67AD9" w:rsidRPr="469479B5">
        <w:rPr>
          <w:rFonts w:ascii="Times New Roman" w:hAnsi="Times New Roman"/>
          <w:sz w:val="24"/>
          <w:szCs w:val="24"/>
        </w:rPr>
        <w:t>gadā 0,0</w:t>
      </w:r>
      <w:r w:rsidR="00A67AD9">
        <w:rPr>
          <w:rFonts w:ascii="Times New Roman" w:hAnsi="Times New Roman"/>
          <w:sz w:val="24"/>
          <w:szCs w:val="24"/>
        </w:rPr>
        <w:t>210</w:t>
      </w:r>
      <w:r w:rsidR="00A67AD9" w:rsidRPr="469479B5">
        <w:rPr>
          <w:rFonts w:ascii="Times New Roman" w:hAnsi="Times New Roman"/>
          <w:sz w:val="24"/>
          <w:szCs w:val="24"/>
        </w:rPr>
        <w:t>% apmērā no IKP</w:t>
      </w:r>
      <w:r w:rsidR="00A67AD9">
        <w:rPr>
          <w:rFonts w:ascii="Times New Roman" w:eastAsia="Calibri" w:hAnsi="Times New Roman" w:cs="Times New Roman"/>
          <w:sz w:val="24"/>
          <w:szCs w:val="24"/>
        </w:rPr>
        <w:t xml:space="preserve">. </w:t>
      </w:r>
      <w:r w:rsidR="005C2B0A">
        <w:rPr>
          <w:rFonts w:ascii="Times New Roman" w:hAnsi="Times New Roman"/>
          <w:sz w:val="24"/>
          <w:szCs w:val="24"/>
        </w:rPr>
        <w:t xml:space="preserve">Kā arī jānorāda, ka EPT ietekme uz vispārējās valdības budžeta bilanci sākot ar 2029. gadu būtiski samazināsies, jo to komersantu skaits no kuriem obligātā iepirkuma ietvaros tiek iepirkta </w:t>
      </w:r>
      <w:r w:rsidR="005C2B0A" w:rsidRPr="00644C23">
        <w:rPr>
          <w:rFonts w:ascii="Times New Roman" w:hAnsi="Times New Roman" w:cs="Times New Roman"/>
          <w:sz w:val="24"/>
          <w:szCs w:val="24"/>
        </w:rPr>
        <w:t>saražot</w:t>
      </w:r>
      <w:r w:rsidR="005C2B0A">
        <w:rPr>
          <w:rFonts w:ascii="Times New Roman" w:hAnsi="Times New Roman" w:cs="Times New Roman"/>
          <w:sz w:val="24"/>
          <w:szCs w:val="24"/>
        </w:rPr>
        <w:t>ā</w:t>
      </w:r>
      <w:r w:rsidR="005C2B0A" w:rsidRPr="00644C23">
        <w:rPr>
          <w:rFonts w:ascii="Times New Roman" w:hAnsi="Times New Roman" w:cs="Times New Roman"/>
          <w:sz w:val="24"/>
          <w:szCs w:val="24"/>
        </w:rPr>
        <w:t xml:space="preserve"> elektroenerģij</w:t>
      </w:r>
      <w:r w:rsidR="005C2B0A">
        <w:rPr>
          <w:rFonts w:ascii="Times New Roman" w:hAnsi="Times New Roman" w:cs="Times New Roman"/>
          <w:sz w:val="24"/>
          <w:szCs w:val="24"/>
        </w:rPr>
        <w:t>a</w:t>
      </w:r>
      <w:r w:rsidR="005C2B0A" w:rsidRPr="00644C23">
        <w:rPr>
          <w:rFonts w:ascii="Times New Roman" w:hAnsi="Times New Roman" w:cs="Times New Roman"/>
          <w:sz w:val="24"/>
          <w:szCs w:val="24"/>
        </w:rPr>
        <w:t xml:space="preserve"> </w:t>
      </w:r>
      <w:r w:rsidR="005C2B0A">
        <w:rPr>
          <w:rFonts w:ascii="Times New Roman" w:hAnsi="Times New Roman" w:cs="Times New Roman"/>
          <w:sz w:val="24"/>
          <w:szCs w:val="24"/>
        </w:rPr>
        <w:t>samazinās. Sagaidāms, ka pēc 2028. gada fiskālā nodrošinājuma rezerve šim riskam vairs netiks veidota un risks varētu netikt iekļauts turpmākajās deklarācijās.</w:t>
      </w:r>
    </w:p>
    <w:p w14:paraId="45D4C228" w14:textId="77777777" w:rsidR="001C210B" w:rsidRPr="00980D91" w:rsidRDefault="001C210B" w:rsidP="0058124B">
      <w:pPr>
        <w:pStyle w:val="Heading2"/>
        <w:numPr>
          <w:ilvl w:val="1"/>
          <w:numId w:val="4"/>
        </w:numPr>
        <w:spacing w:before="120" w:after="120" w:line="240" w:lineRule="auto"/>
        <w:ind w:left="0" w:firstLine="0"/>
        <w:rPr>
          <w:rFonts w:cs="Times New Roman"/>
          <w:bCs w:val="0"/>
          <w:szCs w:val="24"/>
        </w:rPr>
      </w:pPr>
      <w:bookmarkStart w:id="131" w:name="_Toc205554426"/>
      <w:r w:rsidRPr="00980D91">
        <w:rPr>
          <w:rFonts w:cs="Times New Roman"/>
          <w:bCs w:val="0"/>
          <w:szCs w:val="24"/>
        </w:rPr>
        <w:t>Finanšu sektors</w:t>
      </w:r>
      <w:bookmarkEnd w:id="131"/>
    </w:p>
    <w:p w14:paraId="3C707DCE" w14:textId="77777777" w:rsidR="006F6D64" w:rsidRDefault="006F6D64" w:rsidP="00775707">
      <w:pPr>
        <w:spacing w:after="0"/>
        <w:ind w:firstLine="720"/>
        <w:jc w:val="both"/>
        <w:rPr>
          <w:rFonts w:ascii="Times New Roman" w:hAnsi="Times New Roman"/>
          <w:sz w:val="24"/>
          <w:szCs w:val="24"/>
        </w:rPr>
      </w:pPr>
      <w:r w:rsidRPr="00775707">
        <w:rPr>
          <w:rFonts w:ascii="Times New Roman" w:hAnsi="Times New Roman"/>
          <w:sz w:val="24"/>
          <w:szCs w:val="24"/>
        </w:rPr>
        <w:t xml:space="preserve">Globālā finanšu krīze būtiski ietekmēja ES finanšu sistēmas stabilitāti un uzticēšanos tai, kā arī parādīja šādu notikumu negatīvos pārneses efektus uz publiskajām finansēm, kā rezultātā vairākām ES dalībvalstīm, tai skaitā Latvijai nācās lūgt finansiālo palīdzību starptautiskajiem partneriem. </w:t>
      </w:r>
    </w:p>
    <w:p w14:paraId="61E4B105" w14:textId="75E6389E" w:rsidR="006F6D64" w:rsidRDefault="006F6D64" w:rsidP="00775707">
      <w:pPr>
        <w:spacing w:after="0"/>
        <w:ind w:firstLine="720"/>
        <w:jc w:val="both"/>
        <w:rPr>
          <w:rFonts w:ascii="Times New Roman" w:hAnsi="Times New Roman"/>
          <w:sz w:val="24"/>
          <w:szCs w:val="24"/>
        </w:rPr>
      </w:pPr>
      <w:r w:rsidRPr="00775707">
        <w:rPr>
          <w:rFonts w:ascii="Times New Roman" w:hAnsi="Times New Roman"/>
          <w:sz w:val="24"/>
          <w:szCs w:val="24"/>
        </w:rPr>
        <w:t xml:space="preserve">Lai mazinātu iespējamu līdzīgu notikumu atkārtošanos nākotnē, bija nepieciešams veikt būtiskus ES līmeņa uzlabojumus </w:t>
      </w:r>
      <w:r w:rsidR="000D14AB">
        <w:rPr>
          <w:rFonts w:ascii="Times New Roman" w:hAnsi="Times New Roman"/>
          <w:sz w:val="24"/>
          <w:szCs w:val="24"/>
        </w:rPr>
        <w:t>kredītiestāžu</w:t>
      </w:r>
      <w:r w:rsidRPr="00775707">
        <w:rPr>
          <w:rFonts w:ascii="Times New Roman" w:hAnsi="Times New Roman"/>
          <w:sz w:val="24"/>
          <w:szCs w:val="24"/>
        </w:rPr>
        <w:t xml:space="preserve"> darbības regulējumā un uzraudzībā, kā arī mazināt </w:t>
      </w:r>
      <w:bookmarkStart w:id="132" w:name="_Hlk199854766"/>
      <w:r w:rsidR="000D14AB">
        <w:rPr>
          <w:rFonts w:ascii="Times New Roman" w:hAnsi="Times New Roman"/>
          <w:sz w:val="24"/>
          <w:szCs w:val="24"/>
        </w:rPr>
        <w:t>kredītiestāžu</w:t>
      </w:r>
      <w:bookmarkEnd w:id="132"/>
      <w:r w:rsidRPr="00775707">
        <w:rPr>
          <w:rFonts w:ascii="Times New Roman" w:hAnsi="Times New Roman"/>
          <w:sz w:val="24"/>
          <w:szCs w:val="24"/>
        </w:rPr>
        <w:t xml:space="preserve"> sektora un publiskā sektora savstarpējo atkarību. </w:t>
      </w:r>
    </w:p>
    <w:p w14:paraId="5B5F9D98" w14:textId="742EDA00" w:rsidR="001C210B" w:rsidRPr="00DB1FE8" w:rsidRDefault="006F6D64" w:rsidP="00775707">
      <w:pPr>
        <w:spacing w:after="0" w:line="240" w:lineRule="auto"/>
        <w:ind w:firstLine="720"/>
        <w:jc w:val="both"/>
        <w:rPr>
          <w:rFonts w:ascii="Times New Roman" w:hAnsi="Times New Roman"/>
          <w:sz w:val="24"/>
          <w:szCs w:val="24"/>
        </w:rPr>
      </w:pPr>
      <w:r w:rsidRPr="00590B4B">
        <w:rPr>
          <w:rFonts w:ascii="Times New Roman" w:hAnsi="Times New Roman"/>
          <w:sz w:val="24"/>
          <w:szCs w:val="24"/>
        </w:rPr>
        <w:t>Tādejādi</w:t>
      </w:r>
      <w:r w:rsidRPr="00DB1FE8">
        <w:rPr>
          <w:rFonts w:ascii="Times New Roman" w:hAnsi="Times New Roman"/>
          <w:sz w:val="24"/>
          <w:szCs w:val="24"/>
        </w:rPr>
        <w:t xml:space="preserve"> </w:t>
      </w:r>
      <w:r w:rsidR="001C210B" w:rsidRPr="00DB1FE8">
        <w:rPr>
          <w:rFonts w:ascii="Times New Roman" w:hAnsi="Times New Roman"/>
          <w:sz w:val="24"/>
          <w:szCs w:val="24"/>
        </w:rPr>
        <w:t xml:space="preserve">ES līmenī ir izveidota Banku savienība – uzraudzības un noregulējuma sistēma ar mērķi nodrošināt, ka </w:t>
      </w:r>
      <w:r w:rsidR="000D14AB">
        <w:rPr>
          <w:rFonts w:ascii="Times New Roman" w:hAnsi="Times New Roman"/>
          <w:sz w:val="24"/>
          <w:szCs w:val="24"/>
        </w:rPr>
        <w:t>kredītiestāžu</w:t>
      </w:r>
      <w:r w:rsidR="001C210B" w:rsidRPr="00DB1FE8">
        <w:rPr>
          <w:rFonts w:ascii="Times New Roman" w:hAnsi="Times New Roman"/>
          <w:sz w:val="24"/>
          <w:szCs w:val="24"/>
        </w:rPr>
        <w:t xml:space="preserve"> sektors ir drošs un ka kredītiestād</w:t>
      </w:r>
      <w:r w:rsidR="000D14AB">
        <w:rPr>
          <w:rFonts w:ascii="Times New Roman" w:hAnsi="Times New Roman"/>
          <w:sz w:val="24"/>
          <w:szCs w:val="24"/>
        </w:rPr>
        <w:t>ēm</w:t>
      </w:r>
      <w:r w:rsidR="001C210B" w:rsidRPr="00DB1FE8">
        <w:rPr>
          <w:rFonts w:ascii="Times New Roman" w:hAnsi="Times New Roman"/>
          <w:sz w:val="24"/>
          <w:szCs w:val="24"/>
        </w:rPr>
        <w:t xml:space="preserve"> tiek </w:t>
      </w:r>
      <w:r w:rsidR="000D14AB">
        <w:rPr>
          <w:rFonts w:ascii="Times New Roman" w:hAnsi="Times New Roman"/>
          <w:sz w:val="24"/>
          <w:szCs w:val="24"/>
        </w:rPr>
        <w:t>piemērots noregulējums</w:t>
      </w:r>
      <w:r w:rsidR="001C210B" w:rsidRPr="00DB1FE8">
        <w:rPr>
          <w:rFonts w:ascii="Times New Roman" w:hAnsi="Times New Roman"/>
          <w:sz w:val="24"/>
          <w:szCs w:val="24"/>
        </w:rPr>
        <w:t>, neizmantojot nodokļu maksātāju naudu un radot pēc iespējas mazāku negatīv</w:t>
      </w:r>
      <w:r w:rsidR="000D14AB">
        <w:rPr>
          <w:rFonts w:ascii="Times New Roman" w:hAnsi="Times New Roman"/>
          <w:sz w:val="24"/>
          <w:szCs w:val="24"/>
        </w:rPr>
        <w:t>u</w:t>
      </w:r>
      <w:r w:rsidR="001C210B" w:rsidRPr="00DB1FE8">
        <w:rPr>
          <w:rFonts w:ascii="Times New Roman" w:hAnsi="Times New Roman"/>
          <w:sz w:val="24"/>
          <w:szCs w:val="24"/>
        </w:rPr>
        <w:t xml:space="preserve"> ietekmi uz </w:t>
      </w:r>
      <w:r w:rsidR="000D14AB">
        <w:rPr>
          <w:rFonts w:ascii="Times New Roman" w:hAnsi="Times New Roman"/>
          <w:sz w:val="24"/>
          <w:szCs w:val="24"/>
        </w:rPr>
        <w:t>finanšu sistēmu</w:t>
      </w:r>
      <w:r w:rsidR="001C210B" w:rsidRPr="00DB1FE8">
        <w:rPr>
          <w:rFonts w:ascii="Times New Roman" w:hAnsi="Times New Roman"/>
          <w:sz w:val="24"/>
          <w:szCs w:val="24"/>
        </w:rPr>
        <w:t xml:space="preserve">. </w:t>
      </w:r>
    </w:p>
    <w:p w14:paraId="5F33F9C6" w14:textId="7469C88B" w:rsidR="007D3184" w:rsidRDefault="6273B60F" w:rsidP="007D3184">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Viens no Banku savienības veidojošajiem elementiem ir </w:t>
      </w:r>
      <w:r w:rsidRPr="469479B5">
        <w:rPr>
          <w:rFonts w:ascii="Times New Roman" w:hAnsi="Times New Roman"/>
          <w:b/>
          <w:bCs/>
          <w:sz w:val="24"/>
          <w:szCs w:val="24"/>
        </w:rPr>
        <w:t>Vienotais noregulējuma mehānisms</w:t>
      </w:r>
      <w:r w:rsidR="000D14AB">
        <w:rPr>
          <w:rFonts w:ascii="Times New Roman" w:hAnsi="Times New Roman"/>
          <w:b/>
          <w:bCs/>
          <w:sz w:val="24"/>
          <w:szCs w:val="24"/>
        </w:rPr>
        <w:t xml:space="preserve"> </w:t>
      </w:r>
      <w:r w:rsidR="000D14AB" w:rsidRPr="00C56137">
        <w:rPr>
          <w:rFonts w:ascii="Times New Roman" w:hAnsi="Times New Roman"/>
          <w:sz w:val="24"/>
          <w:szCs w:val="24"/>
        </w:rPr>
        <w:t>(</w:t>
      </w:r>
      <w:r w:rsidR="00E030B1" w:rsidRPr="00C56137">
        <w:rPr>
          <w:rFonts w:ascii="Times New Roman" w:hAnsi="Times New Roman"/>
          <w:sz w:val="24"/>
          <w:szCs w:val="24"/>
        </w:rPr>
        <w:t>turpmāk – VNM</w:t>
      </w:r>
      <w:r w:rsidR="000D14AB" w:rsidRPr="00C56137">
        <w:rPr>
          <w:rFonts w:ascii="Times New Roman" w:hAnsi="Times New Roman"/>
          <w:sz w:val="24"/>
          <w:szCs w:val="24"/>
        </w:rPr>
        <w:t>)</w:t>
      </w:r>
      <w:r w:rsidRPr="469479B5">
        <w:rPr>
          <w:rFonts w:ascii="Times New Roman" w:hAnsi="Times New Roman"/>
          <w:sz w:val="24"/>
          <w:szCs w:val="24"/>
        </w:rPr>
        <w:t xml:space="preserve">, kas sastāv no Vienotā noregulējuma valdes un Vienotā noregulējuma fonda. Vienotā noregulējuma fonda mērķis ir nodrošināt papildu atbalstu finansiālās </w:t>
      </w:r>
      <w:r w:rsidR="000D14AB">
        <w:rPr>
          <w:rFonts w:ascii="Times New Roman" w:hAnsi="Times New Roman"/>
          <w:sz w:val="24"/>
          <w:szCs w:val="24"/>
        </w:rPr>
        <w:t>grūtībās</w:t>
      </w:r>
      <w:r w:rsidR="000D14AB" w:rsidRPr="469479B5">
        <w:rPr>
          <w:rFonts w:ascii="Times New Roman" w:hAnsi="Times New Roman"/>
          <w:sz w:val="24"/>
          <w:szCs w:val="24"/>
        </w:rPr>
        <w:t xml:space="preserve"> </w:t>
      </w:r>
      <w:r w:rsidRPr="469479B5">
        <w:rPr>
          <w:rFonts w:ascii="Times New Roman" w:hAnsi="Times New Roman"/>
          <w:sz w:val="24"/>
          <w:szCs w:val="24"/>
        </w:rPr>
        <w:t xml:space="preserve">nonākušu </w:t>
      </w:r>
      <w:r w:rsidR="000D14AB">
        <w:rPr>
          <w:rFonts w:ascii="Times New Roman" w:hAnsi="Times New Roman"/>
          <w:sz w:val="24"/>
          <w:szCs w:val="24"/>
        </w:rPr>
        <w:t>kredītiestāžu</w:t>
      </w:r>
      <w:r w:rsidR="000D14AB" w:rsidRPr="469479B5">
        <w:rPr>
          <w:rFonts w:ascii="Times New Roman" w:hAnsi="Times New Roman"/>
          <w:sz w:val="24"/>
          <w:szCs w:val="24"/>
        </w:rPr>
        <w:t xml:space="preserve"> </w:t>
      </w:r>
      <w:r w:rsidRPr="469479B5">
        <w:rPr>
          <w:rFonts w:ascii="Times New Roman" w:hAnsi="Times New Roman"/>
          <w:sz w:val="24"/>
          <w:szCs w:val="24"/>
        </w:rPr>
        <w:t xml:space="preserve">reorganizācijai un plānveida noregulējumam, kad </w:t>
      </w:r>
      <w:r w:rsidR="000D14AB">
        <w:rPr>
          <w:rFonts w:ascii="Times New Roman" w:hAnsi="Times New Roman"/>
          <w:sz w:val="24"/>
          <w:szCs w:val="24"/>
        </w:rPr>
        <w:t>kredītiestāžu</w:t>
      </w:r>
      <w:r w:rsidRPr="469479B5">
        <w:rPr>
          <w:rFonts w:ascii="Times New Roman" w:hAnsi="Times New Roman"/>
          <w:sz w:val="24"/>
          <w:szCs w:val="24"/>
        </w:rPr>
        <w:t xml:space="preserve"> akcionāru un kreditoru dzēsto prasījumu apmērs nav pietiekams, lai novērstu tās maksātnespēju. Vienotais noregulējuma fonds ir izveidots un tā darbība pilnā apmērā noti</w:t>
      </w:r>
      <w:r w:rsidR="2E1F7710" w:rsidRPr="469479B5">
        <w:rPr>
          <w:rFonts w:ascii="Times New Roman" w:hAnsi="Times New Roman"/>
          <w:sz w:val="24"/>
          <w:szCs w:val="24"/>
        </w:rPr>
        <w:t>ek</w:t>
      </w:r>
      <w:r w:rsidRPr="469479B5">
        <w:rPr>
          <w:rFonts w:ascii="Times New Roman" w:hAnsi="Times New Roman"/>
          <w:sz w:val="24"/>
          <w:szCs w:val="24"/>
        </w:rPr>
        <w:t xml:space="preserve"> pēc pārejas perioda beigām</w:t>
      </w:r>
      <w:r w:rsidR="000D14AB">
        <w:rPr>
          <w:rFonts w:ascii="Times New Roman" w:hAnsi="Times New Roman"/>
          <w:sz w:val="24"/>
          <w:szCs w:val="24"/>
        </w:rPr>
        <w:t xml:space="preserve">, kas noslēdzās 2023. gada beigās sasniedzot 1% no segtajiem noguldījumiem visās kredītiestādēs visās ieskaitītajās dalībvalstīs, t.i. 78 mljrd. </w:t>
      </w:r>
      <w:r w:rsidR="000D14AB" w:rsidRPr="003402FF">
        <w:rPr>
          <w:rFonts w:ascii="Times New Roman" w:hAnsi="Times New Roman"/>
          <w:i/>
          <w:iCs/>
          <w:sz w:val="24"/>
          <w:szCs w:val="24"/>
        </w:rPr>
        <w:t>euro</w:t>
      </w:r>
      <w:r w:rsidR="000D14AB">
        <w:rPr>
          <w:rFonts w:ascii="Times New Roman" w:hAnsi="Times New Roman"/>
          <w:sz w:val="24"/>
          <w:szCs w:val="24"/>
        </w:rPr>
        <w:t xml:space="preserve"> apmērā</w:t>
      </w:r>
      <w:r w:rsidR="00D00EC9">
        <w:rPr>
          <w:rFonts w:ascii="Times New Roman" w:hAnsi="Times New Roman"/>
          <w:sz w:val="24"/>
          <w:szCs w:val="24"/>
        </w:rPr>
        <w:t>.</w:t>
      </w:r>
      <w:r w:rsidR="5031D270" w:rsidRPr="469479B5">
        <w:rPr>
          <w:rFonts w:ascii="Times New Roman" w:hAnsi="Times New Roman"/>
          <w:sz w:val="24"/>
          <w:szCs w:val="24"/>
        </w:rPr>
        <w:t xml:space="preserve"> </w:t>
      </w:r>
    </w:p>
    <w:p w14:paraId="24159AEC" w14:textId="76A2FCE5" w:rsidR="007D3184" w:rsidRPr="00475327" w:rsidRDefault="5031D270" w:rsidP="007D3184">
      <w:pPr>
        <w:spacing w:after="0" w:line="240" w:lineRule="auto"/>
        <w:ind w:firstLine="720"/>
        <w:jc w:val="both"/>
        <w:rPr>
          <w:rFonts w:ascii="Times New Roman" w:hAnsi="Times New Roman"/>
          <w:sz w:val="24"/>
          <w:szCs w:val="24"/>
        </w:rPr>
      </w:pPr>
      <w:r w:rsidRPr="006F6D64">
        <w:rPr>
          <w:rFonts w:ascii="Times New Roman" w:hAnsi="Times New Roman"/>
          <w:sz w:val="24"/>
          <w:szCs w:val="24"/>
        </w:rPr>
        <w:t>Vienotajā noregulējuma fondā pieejamie finanšu līdzekļi 202</w:t>
      </w:r>
      <w:r w:rsidR="000D14AB">
        <w:rPr>
          <w:rFonts w:ascii="Times New Roman" w:hAnsi="Times New Roman"/>
          <w:sz w:val="24"/>
          <w:szCs w:val="24"/>
        </w:rPr>
        <w:t>4</w:t>
      </w:r>
      <w:r w:rsidRPr="006F6D64">
        <w:rPr>
          <w:rFonts w:ascii="Times New Roman" w:hAnsi="Times New Roman"/>
          <w:sz w:val="24"/>
          <w:szCs w:val="24"/>
        </w:rPr>
        <w:t>. gada 31. decembrī</w:t>
      </w:r>
      <w:r w:rsidR="000D14AB">
        <w:rPr>
          <w:rFonts w:ascii="Times New Roman" w:hAnsi="Times New Roman"/>
          <w:sz w:val="24"/>
          <w:szCs w:val="24"/>
        </w:rPr>
        <w:t xml:space="preserve"> bija 80</w:t>
      </w:r>
      <w:r w:rsidRPr="006F6D64">
        <w:rPr>
          <w:rFonts w:ascii="Times New Roman" w:hAnsi="Times New Roman"/>
          <w:sz w:val="24"/>
          <w:szCs w:val="24"/>
        </w:rPr>
        <w:t xml:space="preserve"> m</w:t>
      </w:r>
      <w:r>
        <w:rPr>
          <w:rFonts w:ascii="Times New Roman" w:hAnsi="Times New Roman"/>
          <w:sz w:val="24"/>
          <w:szCs w:val="24"/>
        </w:rPr>
        <w:t>ljrd.</w:t>
      </w:r>
      <w:r w:rsidRPr="469479B5">
        <w:rPr>
          <w:rFonts w:ascii="Times New Roman" w:hAnsi="Times New Roman"/>
          <w:i/>
          <w:iCs/>
          <w:sz w:val="24"/>
          <w:szCs w:val="24"/>
        </w:rPr>
        <w:t xml:space="preserve"> euro</w:t>
      </w:r>
      <w:r w:rsidR="00EA09D3">
        <w:rPr>
          <w:rFonts w:ascii="Times New Roman" w:hAnsi="Times New Roman"/>
          <w:i/>
          <w:iCs/>
          <w:sz w:val="24"/>
          <w:szCs w:val="24"/>
        </w:rPr>
        <w:t>,</w:t>
      </w:r>
      <w:r w:rsidRPr="006F6D64">
        <w:rPr>
          <w:rFonts w:ascii="Times New Roman" w:hAnsi="Times New Roman"/>
          <w:sz w:val="24"/>
          <w:szCs w:val="24"/>
        </w:rPr>
        <w:t xml:space="preserve"> tādējādi</w:t>
      </w:r>
      <w:r w:rsidR="000D14AB">
        <w:rPr>
          <w:rFonts w:ascii="Times New Roman" w:hAnsi="Times New Roman"/>
          <w:sz w:val="24"/>
          <w:szCs w:val="24"/>
        </w:rPr>
        <w:t xml:space="preserve"> saglabājot sasniegto</w:t>
      </w:r>
      <w:r w:rsidRPr="006F6D64">
        <w:rPr>
          <w:rFonts w:ascii="Times New Roman" w:hAnsi="Times New Roman"/>
          <w:sz w:val="24"/>
          <w:szCs w:val="24"/>
        </w:rPr>
        <w:t xml:space="preserve"> mērķa līmeni </w:t>
      </w:r>
      <w:r w:rsidR="00597FA9" w:rsidRPr="469479B5">
        <w:rPr>
          <w:rFonts w:ascii="Times New Roman" w:hAnsi="Times New Roman" w:cs="Times New Roman"/>
          <w:color w:val="000000" w:themeColor="text1"/>
          <w:sz w:val="24"/>
          <w:szCs w:val="24"/>
        </w:rPr>
        <w:t>–</w:t>
      </w:r>
      <w:r w:rsidRPr="006F6D64">
        <w:rPr>
          <w:rFonts w:ascii="Times New Roman" w:hAnsi="Times New Roman"/>
          <w:sz w:val="24"/>
          <w:szCs w:val="24"/>
        </w:rPr>
        <w:t xml:space="preserve"> vismaz 1% no segtajiem noguldījumiem dalībvalstīs, kas piedalās </w:t>
      </w:r>
      <w:r w:rsidR="000D14AB">
        <w:rPr>
          <w:rFonts w:ascii="Times New Roman" w:hAnsi="Times New Roman"/>
          <w:sz w:val="24"/>
          <w:szCs w:val="24"/>
        </w:rPr>
        <w:t>VNM</w:t>
      </w:r>
      <w:r w:rsidR="007D3184">
        <w:rPr>
          <w:rStyle w:val="FootnoteReference"/>
          <w:rFonts w:ascii="Times New Roman" w:hAnsi="Times New Roman"/>
          <w:sz w:val="24"/>
          <w:szCs w:val="24"/>
        </w:rPr>
        <w:footnoteReference w:id="48"/>
      </w:r>
      <w:r w:rsidRPr="006F6D64">
        <w:rPr>
          <w:rFonts w:ascii="Times New Roman" w:hAnsi="Times New Roman"/>
          <w:sz w:val="24"/>
          <w:szCs w:val="24"/>
        </w:rPr>
        <w:t>.</w:t>
      </w:r>
      <w:r>
        <w:rPr>
          <w:rFonts w:ascii="Times New Roman" w:hAnsi="Times New Roman"/>
          <w:sz w:val="24"/>
          <w:szCs w:val="24"/>
        </w:rPr>
        <w:t xml:space="preserve"> </w:t>
      </w:r>
      <w:r w:rsidRPr="00DB1FE8">
        <w:rPr>
          <w:rFonts w:ascii="Times New Roman" w:hAnsi="Times New Roman"/>
          <w:sz w:val="24"/>
          <w:szCs w:val="24"/>
        </w:rPr>
        <w:t>Turpmāk Vienotā noregulējuma</w:t>
      </w:r>
      <w:r>
        <w:rPr>
          <w:rFonts w:ascii="Times New Roman" w:hAnsi="Times New Roman"/>
          <w:sz w:val="24"/>
          <w:szCs w:val="24"/>
        </w:rPr>
        <w:t xml:space="preserve"> </w:t>
      </w:r>
      <w:r w:rsidRPr="00DB1FE8">
        <w:rPr>
          <w:rFonts w:ascii="Times New Roman" w:hAnsi="Times New Roman"/>
          <w:sz w:val="24"/>
          <w:szCs w:val="24"/>
        </w:rPr>
        <w:t xml:space="preserve">fonda līdzekļu apjoma </w:t>
      </w:r>
      <w:r>
        <w:rPr>
          <w:rFonts w:ascii="Times New Roman" w:hAnsi="Times New Roman"/>
          <w:sz w:val="24"/>
          <w:szCs w:val="24"/>
        </w:rPr>
        <w:t>uzraudzība</w:t>
      </w:r>
      <w:r w:rsidRPr="00DB1FE8">
        <w:rPr>
          <w:rFonts w:ascii="Times New Roman" w:hAnsi="Times New Roman"/>
          <w:sz w:val="24"/>
          <w:szCs w:val="24"/>
        </w:rPr>
        <w:t xml:space="preserve"> notiks, pamatojoties uz gada sākumā kredītiestāžu</w:t>
      </w:r>
      <w:r>
        <w:rPr>
          <w:rFonts w:ascii="Times New Roman" w:hAnsi="Times New Roman"/>
          <w:sz w:val="24"/>
          <w:szCs w:val="24"/>
        </w:rPr>
        <w:t xml:space="preserve"> </w:t>
      </w:r>
      <w:r w:rsidRPr="00DB1FE8">
        <w:rPr>
          <w:rFonts w:ascii="Times New Roman" w:hAnsi="Times New Roman"/>
          <w:sz w:val="24"/>
          <w:szCs w:val="24"/>
        </w:rPr>
        <w:t>iesniegto informāciju, izvērtējot līdzekļu pietiekamību, un nepieciešamības gadījumā tiks</w:t>
      </w:r>
      <w:r>
        <w:rPr>
          <w:rFonts w:ascii="Times New Roman" w:hAnsi="Times New Roman"/>
          <w:sz w:val="24"/>
          <w:szCs w:val="24"/>
        </w:rPr>
        <w:t xml:space="preserve"> </w:t>
      </w:r>
      <w:r w:rsidRPr="00DB1FE8">
        <w:rPr>
          <w:rFonts w:ascii="Times New Roman" w:hAnsi="Times New Roman"/>
          <w:sz w:val="24"/>
          <w:szCs w:val="24"/>
        </w:rPr>
        <w:t xml:space="preserve">pieņemts lēmums par līdzekļu </w:t>
      </w:r>
      <w:r w:rsidR="000D14AB">
        <w:rPr>
          <w:rFonts w:ascii="Times New Roman" w:hAnsi="Times New Roman"/>
          <w:sz w:val="24"/>
          <w:szCs w:val="24"/>
        </w:rPr>
        <w:t>iemaksas</w:t>
      </w:r>
      <w:r w:rsidR="000D14AB" w:rsidRPr="00DB1FE8">
        <w:rPr>
          <w:rFonts w:ascii="Times New Roman" w:hAnsi="Times New Roman"/>
          <w:sz w:val="24"/>
          <w:szCs w:val="24"/>
        </w:rPr>
        <w:t xml:space="preserve"> </w:t>
      </w:r>
      <w:r w:rsidRPr="00DB1FE8">
        <w:rPr>
          <w:rFonts w:ascii="Times New Roman" w:hAnsi="Times New Roman"/>
          <w:sz w:val="24"/>
          <w:szCs w:val="24"/>
        </w:rPr>
        <w:t>atsākšanu.</w:t>
      </w:r>
      <w:r>
        <w:rPr>
          <w:rFonts w:ascii="Times New Roman" w:hAnsi="Times New Roman"/>
          <w:sz w:val="24"/>
          <w:szCs w:val="24"/>
        </w:rPr>
        <w:t xml:space="preserve"> </w:t>
      </w:r>
    </w:p>
    <w:p w14:paraId="4254D15C" w14:textId="7592544F" w:rsidR="004A1AC3" w:rsidRDefault="6273B60F" w:rsidP="008304D0">
      <w:pPr>
        <w:pStyle w:val="ListParagraph"/>
        <w:shd w:val="clear" w:color="auto" w:fill="FFFFFF" w:themeFill="background1"/>
        <w:ind w:left="0" w:firstLine="720"/>
        <w:rPr>
          <w:rFonts w:ascii="Times New Roman" w:eastAsia="Times New Roman" w:hAnsi="Times New Roman"/>
          <w:color w:val="000000" w:themeColor="text1"/>
          <w:sz w:val="24"/>
          <w:szCs w:val="24"/>
          <w:lang w:eastAsia="lv-LV"/>
        </w:rPr>
      </w:pPr>
      <w:r w:rsidRPr="00DB1FE8">
        <w:rPr>
          <w:rFonts w:ascii="Times New Roman" w:hAnsi="Times New Roman"/>
          <w:sz w:val="24"/>
          <w:szCs w:val="24"/>
        </w:rPr>
        <w:t>Papildus tiek izveidots pastāvīgs mehānisms situācijai, kad</w:t>
      </w:r>
      <w:r w:rsidR="000D14AB">
        <w:rPr>
          <w:rFonts w:ascii="Times New Roman" w:hAnsi="Times New Roman"/>
          <w:sz w:val="24"/>
          <w:szCs w:val="24"/>
        </w:rPr>
        <w:t xml:space="preserve"> Vienotajā noregulējuma</w:t>
      </w:r>
      <w:r w:rsidRPr="00DB1FE8">
        <w:rPr>
          <w:rFonts w:ascii="Times New Roman" w:hAnsi="Times New Roman"/>
          <w:sz w:val="24"/>
          <w:szCs w:val="24"/>
        </w:rPr>
        <w:t xml:space="preserve"> </w:t>
      </w:r>
      <w:r w:rsidR="000D14AB">
        <w:rPr>
          <w:rFonts w:ascii="Times New Roman" w:hAnsi="Times New Roman"/>
          <w:sz w:val="24"/>
          <w:szCs w:val="24"/>
        </w:rPr>
        <w:t>f</w:t>
      </w:r>
      <w:r w:rsidRPr="00DB1FE8">
        <w:rPr>
          <w:rFonts w:ascii="Times New Roman" w:hAnsi="Times New Roman"/>
          <w:sz w:val="24"/>
          <w:szCs w:val="24"/>
        </w:rPr>
        <w:t>ondā iemaksātie līdzekļi nav pietiekami viena vai vairāku noregulējumu veikšanai – publiskā atbalsta instruments. 2018.</w:t>
      </w:r>
      <w:r w:rsidR="519D8B1F" w:rsidRPr="469479B5">
        <w:rPr>
          <w:rFonts w:ascii="Times New Roman" w:hAnsi="Times New Roman"/>
          <w:b/>
          <w:bCs/>
          <w:sz w:val="24"/>
          <w:szCs w:val="24"/>
        </w:rPr>
        <w:t xml:space="preserve"> </w:t>
      </w:r>
      <w:r w:rsidRPr="00DB1FE8">
        <w:rPr>
          <w:rFonts w:ascii="Times New Roman" w:hAnsi="Times New Roman"/>
          <w:sz w:val="24"/>
          <w:szCs w:val="24"/>
        </w:rPr>
        <w:t xml:space="preserve">gadā </w:t>
      </w:r>
      <w:r w:rsidRPr="469479B5">
        <w:rPr>
          <w:rFonts w:ascii="Times New Roman" w:hAnsi="Times New Roman"/>
          <w:i/>
          <w:iCs/>
          <w:sz w:val="24"/>
          <w:szCs w:val="24"/>
        </w:rPr>
        <w:t>Euro</w:t>
      </w:r>
      <w:r w:rsidRPr="00DB1FE8">
        <w:rPr>
          <w:rFonts w:ascii="Times New Roman" w:hAnsi="Times New Roman"/>
          <w:sz w:val="24"/>
          <w:szCs w:val="24"/>
        </w:rPr>
        <w:t xml:space="preserve"> samita sanāksmēs tika panākta vienošanās, ka publiskā atbalsta sniedzējs ir E</w:t>
      </w:r>
      <w:r w:rsidR="709117D8" w:rsidRPr="00DB1FE8">
        <w:rPr>
          <w:rFonts w:ascii="Times New Roman" w:hAnsi="Times New Roman"/>
          <w:sz w:val="24"/>
          <w:szCs w:val="24"/>
        </w:rPr>
        <w:t>iropas Stabilitātes mehānisms</w:t>
      </w:r>
      <w:r w:rsidRPr="00DB1FE8">
        <w:rPr>
          <w:rFonts w:ascii="Times New Roman" w:hAnsi="Times New Roman"/>
          <w:sz w:val="24"/>
          <w:szCs w:val="24"/>
        </w:rPr>
        <w:t>, sniedzot rekurentu</w:t>
      </w:r>
      <w:r w:rsidR="001C210B" w:rsidRPr="00DB1FE8">
        <w:rPr>
          <w:rStyle w:val="FootnoteReference"/>
          <w:rFonts w:ascii="Times New Roman" w:hAnsi="Times New Roman"/>
          <w:sz w:val="24"/>
          <w:szCs w:val="24"/>
        </w:rPr>
        <w:footnoteReference w:id="49"/>
      </w:r>
      <w:r w:rsidRPr="00DB1FE8">
        <w:rPr>
          <w:rFonts w:ascii="Times New Roman" w:hAnsi="Times New Roman"/>
          <w:sz w:val="24"/>
          <w:szCs w:val="24"/>
        </w:rPr>
        <w:t xml:space="preserve"> kredītlīniju</w:t>
      </w:r>
      <w:r w:rsidRPr="00DB1FE8">
        <w:t xml:space="preserve"> </w:t>
      </w:r>
      <w:r w:rsidRPr="00DB1FE8">
        <w:rPr>
          <w:rFonts w:ascii="Times New Roman" w:hAnsi="Times New Roman"/>
          <w:sz w:val="24"/>
          <w:szCs w:val="24"/>
        </w:rPr>
        <w:t xml:space="preserve">Vienotajam noregulējuma fondam. Savukārt </w:t>
      </w:r>
      <w:r w:rsidRPr="469479B5">
        <w:rPr>
          <w:rFonts w:ascii="Times New Roman" w:eastAsia="Times New Roman" w:hAnsi="Times New Roman"/>
          <w:i/>
          <w:iCs/>
          <w:color w:val="000000" w:themeColor="text1"/>
          <w:sz w:val="24"/>
          <w:szCs w:val="24"/>
          <w:lang w:eastAsia="lv-LV"/>
        </w:rPr>
        <w:t>Euro</w:t>
      </w:r>
      <w:r w:rsidRPr="00DB1FE8">
        <w:rPr>
          <w:rFonts w:ascii="Times New Roman" w:eastAsia="Times New Roman" w:hAnsi="Times New Roman"/>
          <w:color w:val="000000" w:themeColor="text1"/>
          <w:sz w:val="24"/>
          <w:szCs w:val="24"/>
          <w:lang w:eastAsia="lv-LV"/>
        </w:rPr>
        <w:t xml:space="preserve"> grupas iekļaujošā formātā 2020.</w:t>
      </w:r>
      <w:r w:rsidR="216E3929" w:rsidRPr="469479B5">
        <w:rPr>
          <w:rFonts w:ascii="Times New Roman" w:hAnsi="Times New Roman"/>
          <w:b/>
          <w:bCs/>
          <w:sz w:val="24"/>
          <w:szCs w:val="24"/>
        </w:rPr>
        <w:t xml:space="preserve"> </w:t>
      </w:r>
      <w:r w:rsidRPr="00DB1FE8">
        <w:rPr>
          <w:rFonts w:ascii="Times New Roman" w:eastAsia="Times New Roman" w:hAnsi="Times New Roman"/>
          <w:color w:val="000000" w:themeColor="text1"/>
          <w:sz w:val="24"/>
          <w:szCs w:val="24"/>
          <w:lang w:eastAsia="lv-LV"/>
        </w:rPr>
        <w:t>gada 30.</w:t>
      </w:r>
      <w:r w:rsidR="53A10B9E" w:rsidRPr="469479B5">
        <w:rPr>
          <w:rFonts w:ascii="Times New Roman" w:hAnsi="Times New Roman"/>
          <w:b/>
          <w:bCs/>
          <w:sz w:val="24"/>
          <w:szCs w:val="24"/>
        </w:rPr>
        <w:t xml:space="preserve"> </w:t>
      </w:r>
      <w:r w:rsidRPr="00DB1FE8">
        <w:rPr>
          <w:rFonts w:ascii="Times New Roman" w:eastAsia="Times New Roman" w:hAnsi="Times New Roman"/>
          <w:color w:val="000000" w:themeColor="text1"/>
          <w:sz w:val="24"/>
          <w:szCs w:val="24"/>
          <w:lang w:eastAsia="lv-LV"/>
        </w:rPr>
        <w:t>novembra sanāksmes laikā finanšu ministri vienojās par kopīgā atbalsta mehānisma agrīno ieviešanu ne vēlāk kā līdz 2022.</w:t>
      </w:r>
      <w:r w:rsidR="32E0AC6A" w:rsidRPr="469479B5">
        <w:rPr>
          <w:rFonts w:ascii="Times New Roman" w:hAnsi="Times New Roman"/>
          <w:b/>
          <w:bCs/>
          <w:sz w:val="24"/>
          <w:szCs w:val="24"/>
        </w:rPr>
        <w:t xml:space="preserve"> </w:t>
      </w:r>
      <w:r w:rsidRPr="00DB1FE8">
        <w:rPr>
          <w:rFonts w:ascii="Times New Roman" w:eastAsia="Times New Roman" w:hAnsi="Times New Roman"/>
          <w:color w:val="000000" w:themeColor="text1"/>
          <w:sz w:val="24"/>
          <w:szCs w:val="24"/>
          <w:lang w:eastAsia="lv-LV"/>
        </w:rPr>
        <w:t xml:space="preserve">gada sākumam. </w:t>
      </w:r>
    </w:p>
    <w:p w14:paraId="26DE41DF" w14:textId="77777777" w:rsidR="008304D0" w:rsidRPr="008304D0" w:rsidRDefault="008304D0" w:rsidP="008304D0">
      <w:pPr>
        <w:pStyle w:val="ListParagraph"/>
        <w:shd w:val="clear" w:color="auto" w:fill="FFFFFF" w:themeFill="background1"/>
        <w:ind w:left="0" w:firstLine="720"/>
        <w:rPr>
          <w:rFonts w:ascii="Times New Roman" w:eastAsia="Times New Roman" w:hAnsi="Times New Roman"/>
          <w:color w:val="000000" w:themeColor="text1"/>
          <w:sz w:val="24"/>
          <w:szCs w:val="24"/>
          <w:lang w:eastAsia="lv-LV"/>
        </w:rPr>
      </w:pPr>
    </w:p>
    <w:p w14:paraId="692DB7EE" w14:textId="45D2F865" w:rsidR="0014543F" w:rsidRPr="00E252EB" w:rsidRDefault="001C5891" w:rsidP="00E252EB">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eastAsia="Times New Roman" w:hAnsi="Times New Roman"/>
          <w:b/>
          <w:bCs/>
          <w:sz w:val="24"/>
          <w:szCs w:val="24"/>
        </w:rPr>
      </w:pPr>
      <w:r w:rsidRPr="00E252EB">
        <w:rPr>
          <w:rFonts w:ascii="Times New Roman" w:eastAsia="Times New Roman" w:hAnsi="Times New Roman"/>
          <w:b/>
          <w:bCs/>
          <w:sz w:val="24"/>
          <w:szCs w:val="24"/>
        </w:rPr>
        <w:t>Vienotais uzraudzības mehānisms</w:t>
      </w:r>
    </w:p>
    <w:p w14:paraId="69C86D9A" w14:textId="0989B46E" w:rsidR="0014543F" w:rsidRPr="00C92BD6" w:rsidRDefault="76F59F5A"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709"/>
        <w:rPr>
          <w:rFonts w:ascii="Times New Roman" w:eastAsia="Times New Roman" w:hAnsi="Times New Roman"/>
          <w:sz w:val="24"/>
          <w:szCs w:val="24"/>
        </w:rPr>
      </w:pPr>
      <w:r w:rsidRPr="469479B5">
        <w:rPr>
          <w:rFonts w:ascii="Times New Roman" w:eastAsia="Times New Roman" w:hAnsi="Times New Roman"/>
          <w:b/>
          <w:bCs/>
          <w:sz w:val="24"/>
          <w:szCs w:val="24"/>
        </w:rPr>
        <w:t xml:space="preserve">Vienotais uzraudzības mehānisms </w:t>
      </w:r>
      <w:r w:rsidRPr="00C56137">
        <w:rPr>
          <w:rFonts w:ascii="Times New Roman" w:eastAsia="Times New Roman" w:hAnsi="Times New Roman"/>
          <w:sz w:val="24"/>
          <w:szCs w:val="24"/>
        </w:rPr>
        <w:t>(</w:t>
      </w:r>
      <w:r w:rsidR="00E030B1" w:rsidRPr="00C56137">
        <w:rPr>
          <w:rFonts w:ascii="Times New Roman" w:eastAsia="Times New Roman" w:hAnsi="Times New Roman"/>
          <w:sz w:val="24"/>
          <w:szCs w:val="24"/>
        </w:rPr>
        <w:t>turpmāk – VUM</w:t>
      </w:r>
      <w:r w:rsidRPr="00C56137">
        <w:rPr>
          <w:rFonts w:ascii="Times New Roman" w:eastAsia="Times New Roman" w:hAnsi="Times New Roman"/>
          <w:sz w:val="24"/>
          <w:szCs w:val="24"/>
        </w:rPr>
        <w:t>)</w:t>
      </w:r>
      <w:r w:rsidRPr="469479B5">
        <w:rPr>
          <w:rFonts w:ascii="Times New Roman" w:eastAsia="Times New Roman" w:hAnsi="Times New Roman"/>
          <w:sz w:val="24"/>
          <w:szCs w:val="24"/>
        </w:rPr>
        <w:t xml:space="preserve"> ir Eiropas </w:t>
      </w:r>
      <w:r w:rsidR="00EA09D3">
        <w:rPr>
          <w:rFonts w:ascii="Times New Roman" w:eastAsia="Times New Roman" w:hAnsi="Times New Roman"/>
          <w:sz w:val="24"/>
          <w:szCs w:val="24"/>
        </w:rPr>
        <w:t>kredītiestāžu</w:t>
      </w:r>
      <w:r w:rsidRPr="469479B5">
        <w:rPr>
          <w:rFonts w:ascii="Times New Roman" w:eastAsia="Times New Roman" w:hAnsi="Times New Roman"/>
          <w:sz w:val="24"/>
          <w:szCs w:val="24"/>
        </w:rPr>
        <w:t xml:space="preserve"> uzraudzības sistēma. Tas ietver ECB un iesaistīto valstu uzraudzības iestādes. </w:t>
      </w:r>
      <w:r w:rsidRPr="469479B5">
        <w:rPr>
          <w:rFonts w:ascii="Times New Roman" w:hAnsi="Times New Roman"/>
          <w:sz w:val="24"/>
          <w:szCs w:val="24"/>
        </w:rPr>
        <w:t xml:space="preserve">Nesenā finanšu krīze parādījusi, ka problēmas finanšu sektorā var izplatīties ļoti ātri un spēcīgi, īpaši monetārā savienībā, un ka šīs problēmas var tiešā veidā ietekmēt iedzīvotājus visā Eiropā. </w:t>
      </w:r>
      <w:r w:rsidRPr="469479B5">
        <w:rPr>
          <w:rFonts w:ascii="Times New Roman" w:eastAsia="Times New Roman" w:hAnsi="Times New Roman"/>
          <w:sz w:val="24"/>
          <w:szCs w:val="24"/>
        </w:rPr>
        <w:t xml:space="preserve">Eiropas </w:t>
      </w:r>
      <w:r w:rsidR="00EA09D3">
        <w:rPr>
          <w:rFonts w:ascii="Times New Roman" w:eastAsia="Times New Roman" w:hAnsi="Times New Roman"/>
          <w:sz w:val="24"/>
          <w:szCs w:val="24"/>
        </w:rPr>
        <w:t>kredītiestāžu</w:t>
      </w:r>
      <w:r w:rsidR="00EA09D3" w:rsidRPr="469479B5">
        <w:rPr>
          <w:rFonts w:ascii="Times New Roman" w:eastAsia="Times New Roman" w:hAnsi="Times New Roman"/>
          <w:sz w:val="24"/>
          <w:szCs w:val="24"/>
        </w:rPr>
        <w:t xml:space="preserve"> </w:t>
      </w:r>
      <w:r w:rsidRPr="469479B5">
        <w:rPr>
          <w:rFonts w:ascii="Times New Roman" w:eastAsia="Times New Roman" w:hAnsi="Times New Roman"/>
          <w:sz w:val="24"/>
          <w:szCs w:val="24"/>
        </w:rPr>
        <w:t xml:space="preserve">uzraudzības mērķis ir palīdzēt atjaunot uzticību Eiropas </w:t>
      </w:r>
      <w:r w:rsidR="00EA09D3">
        <w:rPr>
          <w:rFonts w:ascii="Times New Roman" w:eastAsia="Times New Roman" w:hAnsi="Times New Roman"/>
          <w:sz w:val="24"/>
          <w:szCs w:val="24"/>
        </w:rPr>
        <w:t>kredītiestāžu</w:t>
      </w:r>
      <w:r w:rsidRPr="469479B5">
        <w:rPr>
          <w:rFonts w:ascii="Times New Roman" w:eastAsia="Times New Roman" w:hAnsi="Times New Roman"/>
          <w:sz w:val="24"/>
          <w:szCs w:val="24"/>
        </w:rPr>
        <w:t xml:space="preserve"> sektoram un vairot </w:t>
      </w:r>
      <w:r w:rsidR="00EA09D3">
        <w:rPr>
          <w:rFonts w:ascii="Times New Roman" w:eastAsia="Times New Roman" w:hAnsi="Times New Roman"/>
          <w:sz w:val="24"/>
          <w:szCs w:val="24"/>
        </w:rPr>
        <w:t>kredītiestāžu</w:t>
      </w:r>
      <w:r w:rsidRPr="469479B5">
        <w:rPr>
          <w:rFonts w:ascii="Times New Roman" w:eastAsia="Times New Roman" w:hAnsi="Times New Roman"/>
          <w:sz w:val="24"/>
          <w:szCs w:val="24"/>
        </w:rPr>
        <w:t xml:space="preserve"> noturību. VUM uzsāka darbību 2014. gadā. Eiropas </w:t>
      </w:r>
      <w:r w:rsidR="00EA09D3">
        <w:rPr>
          <w:rFonts w:ascii="Times New Roman" w:eastAsia="Times New Roman" w:hAnsi="Times New Roman"/>
          <w:sz w:val="24"/>
          <w:szCs w:val="24"/>
        </w:rPr>
        <w:t>kredītiestāžu</w:t>
      </w:r>
      <w:r w:rsidRPr="469479B5">
        <w:rPr>
          <w:rFonts w:ascii="Times New Roman" w:eastAsia="Times New Roman" w:hAnsi="Times New Roman"/>
          <w:sz w:val="24"/>
          <w:szCs w:val="24"/>
        </w:rPr>
        <w:t xml:space="preserve"> uzraudzība veido vienu no diviem ES banku savienības pīlāriem. ECB veic 113 </w:t>
      </w:r>
      <w:r w:rsidR="00EA09D3">
        <w:rPr>
          <w:rFonts w:ascii="Times New Roman" w:eastAsia="Times New Roman" w:hAnsi="Times New Roman"/>
          <w:sz w:val="24"/>
          <w:szCs w:val="24"/>
        </w:rPr>
        <w:t>nozīmīgāko kredītiestāžu</w:t>
      </w:r>
      <w:r w:rsidRPr="469479B5">
        <w:rPr>
          <w:rFonts w:ascii="Times New Roman" w:eastAsia="Times New Roman" w:hAnsi="Times New Roman"/>
          <w:sz w:val="24"/>
          <w:szCs w:val="24"/>
        </w:rPr>
        <w:t xml:space="preserve"> tiešu uzraudzību iesaistītajās valstīs. Šo </w:t>
      </w:r>
      <w:r w:rsidR="00EA09D3">
        <w:rPr>
          <w:rFonts w:ascii="Times New Roman" w:eastAsia="Times New Roman" w:hAnsi="Times New Roman"/>
          <w:sz w:val="24"/>
          <w:szCs w:val="24"/>
        </w:rPr>
        <w:t>kredītiestāžu</w:t>
      </w:r>
      <w:r w:rsidRPr="469479B5">
        <w:rPr>
          <w:rFonts w:ascii="Times New Roman" w:eastAsia="Times New Roman" w:hAnsi="Times New Roman"/>
          <w:sz w:val="24"/>
          <w:szCs w:val="24"/>
        </w:rPr>
        <w:t xml:space="preserve"> turējumā ir gandrīz 82% no šo valstu </w:t>
      </w:r>
      <w:r w:rsidR="00EA09D3">
        <w:rPr>
          <w:rFonts w:ascii="Times New Roman" w:eastAsia="Times New Roman" w:hAnsi="Times New Roman"/>
          <w:sz w:val="24"/>
          <w:szCs w:val="24"/>
        </w:rPr>
        <w:t>kredītiestāžu</w:t>
      </w:r>
      <w:r w:rsidRPr="469479B5">
        <w:rPr>
          <w:rFonts w:ascii="Times New Roman" w:eastAsia="Times New Roman" w:hAnsi="Times New Roman"/>
          <w:sz w:val="24"/>
          <w:szCs w:val="24"/>
        </w:rPr>
        <w:t xml:space="preserve"> aktīviem. Visas </w:t>
      </w:r>
      <w:r w:rsidRPr="00940337">
        <w:rPr>
          <w:rFonts w:ascii="Times New Roman" w:eastAsia="Times New Roman" w:hAnsi="Times New Roman"/>
          <w:i/>
          <w:iCs/>
          <w:sz w:val="24"/>
          <w:szCs w:val="24"/>
        </w:rPr>
        <w:t>euro</w:t>
      </w:r>
      <w:r w:rsidR="1C7465C1" w:rsidRPr="469479B5">
        <w:rPr>
          <w:rFonts w:ascii="Times New Roman" w:eastAsia="Times New Roman" w:hAnsi="Times New Roman"/>
          <w:sz w:val="24"/>
          <w:szCs w:val="24"/>
        </w:rPr>
        <w:t xml:space="preserve"> </w:t>
      </w:r>
      <w:r w:rsidRPr="469479B5">
        <w:rPr>
          <w:rFonts w:ascii="Times New Roman" w:eastAsia="Times New Roman" w:hAnsi="Times New Roman"/>
          <w:sz w:val="24"/>
          <w:szCs w:val="24"/>
        </w:rPr>
        <w:t xml:space="preserve">zonas valstis automātiski piedalās Eiropas </w:t>
      </w:r>
      <w:r w:rsidR="00EA09D3">
        <w:rPr>
          <w:rFonts w:ascii="Times New Roman" w:eastAsia="Times New Roman" w:hAnsi="Times New Roman"/>
          <w:sz w:val="24"/>
          <w:szCs w:val="24"/>
        </w:rPr>
        <w:t>kredītiestāžu</w:t>
      </w:r>
      <w:r w:rsidRPr="469479B5">
        <w:rPr>
          <w:rFonts w:ascii="Times New Roman" w:eastAsia="Times New Roman" w:hAnsi="Times New Roman"/>
          <w:sz w:val="24"/>
          <w:szCs w:val="24"/>
        </w:rPr>
        <w:t xml:space="preserve"> uzraudzībā. Uzraugi novērtē riskus, kas apdraud </w:t>
      </w:r>
      <w:r w:rsidR="00EA09D3">
        <w:rPr>
          <w:rFonts w:ascii="Times New Roman" w:eastAsia="Times New Roman" w:hAnsi="Times New Roman"/>
          <w:sz w:val="24"/>
          <w:szCs w:val="24"/>
        </w:rPr>
        <w:t>kredītiestādes</w:t>
      </w:r>
      <w:r w:rsidRPr="469479B5">
        <w:rPr>
          <w:rFonts w:ascii="Times New Roman" w:eastAsia="Times New Roman" w:hAnsi="Times New Roman"/>
          <w:sz w:val="24"/>
          <w:szCs w:val="24"/>
        </w:rPr>
        <w:t xml:space="preserve">, un pārbauda, vai </w:t>
      </w:r>
      <w:r w:rsidR="00EA09D3">
        <w:rPr>
          <w:rFonts w:ascii="Times New Roman" w:eastAsia="Times New Roman" w:hAnsi="Times New Roman"/>
          <w:sz w:val="24"/>
          <w:szCs w:val="24"/>
        </w:rPr>
        <w:t>kredītiestādes</w:t>
      </w:r>
      <w:r w:rsidR="00EA09D3" w:rsidRPr="469479B5">
        <w:rPr>
          <w:rFonts w:ascii="Times New Roman" w:eastAsia="Times New Roman" w:hAnsi="Times New Roman"/>
          <w:sz w:val="24"/>
          <w:szCs w:val="24"/>
        </w:rPr>
        <w:t xml:space="preserve"> </w:t>
      </w:r>
      <w:r w:rsidRPr="469479B5">
        <w:rPr>
          <w:rFonts w:ascii="Times New Roman" w:eastAsia="Times New Roman" w:hAnsi="Times New Roman"/>
          <w:sz w:val="24"/>
          <w:szCs w:val="24"/>
        </w:rPr>
        <w:t>veikušas visus nepieciešamos pasākumus, lai pienācīgi pārvaldītu šos riskus. Šo procesu dēvē par uzraudzības pārbaudes un novērtēšanas procesu (</w:t>
      </w:r>
      <w:r w:rsidRPr="469479B5">
        <w:rPr>
          <w:rFonts w:ascii="Times New Roman" w:eastAsia="Times New Roman" w:hAnsi="Times New Roman"/>
          <w:i/>
          <w:iCs/>
          <w:sz w:val="24"/>
          <w:szCs w:val="24"/>
        </w:rPr>
        <w:t>Supervisory Review and Evaluation Process</w:t>
      </w:r>
      <w:r w:rsidRPr="469479B5">
        <w:rPr>
          <w:rFonts w:ascii="Times New Roman" w:eastAsia="Times New Roman" w:hAnsi="Times New Roman"/>
          <w:sz w:val="24"/>
          <w:szCs w:val="24"/>
        </w:rPr>
        <w:t xml:space="preserve">; SREP) un tā mērķis ir dot iespēju nepārtraukti veikt konsekventu </w:t>
      </w:r>
      <w:r w:rsidR="00EA09D3">
        <w:rPr>
          <w:rFonts w:ascii="Times New Roman" w:eastAsia="Times New Roman" w:hAnsi="Times New Roman"/>
          <w:sz w:val="24"/>
          <w:szCs w:val="24"/>
        </w:rPr>
        <w:t>kredītiestāžu</w:t>
      </w:r>
      <w:r w:rsidRPr="469479B5">
        <w:rPr>
          <w:rFonts w:ascii="Times New Roman" w:eastAsia="Times New Roman" w:hAnsi="Times New Roman"/>
          <w:sz w:val="24"/>
          <w:szCs w:val="24"/>
        </w:rPr>
        <w:t xml:space="preserve"> riska profilu novērtējumu un pieņemt lēmumus par nepieciešamajiem uzraudzības pasākumiem.</w:t>
      </w:r>
    </w:p>
    <w:p w14:paraId="15AD0AF7" w14:textId="77777777" w:rsidR="00480F24" w:rsidRPr="00C92BD6" w:rsidRDefault="00480F24"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p>
    <w:p w14:paraId="67931F79" w14:textId="297F091E" w:rsidR="00480F24" w:rsidRPr="00C92BD6" w:rsidRDefault="00480F24"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jc w:val="center"/>
        <w:rPr>
          <w:rFonts w:ascii="Times New Roman" w:eastAsia="Times New Roman" w:hAnsi="Times New Roman"/>
          <w:b/>
          <w:bCs/>
          <w:sz w:val="24"/>
          <w:szCs w:val="24"/>
        </w:rPr>
      </w:pPr>
      <w:r w:rsidRPr="00C92BD6">
        <w:rPr>
          <w:rFonts w:ascii="Times New Roman" w:eastAsia="Times New Roman" w:hAnsi="Times New Roman"/>
          <w:b/>
          <w:bCs/>
          <w:sz w:val="24"/>
          <w:szCs w:val="24"/>
        </w:rPr>
        <w:t xml:space="preserve">VUM uzraudzības prioritātes </w:t>
      </w:r>
    </w:p>
    <w:p w14:paraId="2A527DAC" w14:textId="697040C8" w:rsidR="00480F24" w:rsidRPr="00C92BD6" w:rsidRDefault="00480F24"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sidRPr="00C92BD6">
        <w:rPr>
          <w:rFonts w:ascii="Times New Roman" w:eastAsia="Times New Roman" w:hAnsi="Times New Roman"/>
          <w:b/>
          <w:bCs/>
          <w:sz w:val="24"/>
          <w:szCs w:val="24"/>
        </w:rPr>
        <w:t xml:space="preserve">VUM uzraudzības prioritātes atspoguļo ECB </w:t>
      </w:r>
      <w:r w:rsidR="00EA09D3" w:rsidRPr="00D57E7F">
        <w:rPr>
          <w:rFonts w:ascii="Times New Roman" w:eastAsia="Times New Roman" w:hAnsi="Times New Roman"/>
          <w:b/>
          <w:bCs/>
          <w:sz w:val="24"/>
          <w:szCs w:val="24"/>
        </w:rPr>
        <w:t>kredītiestāžu</w:t>
      </w:r>
      <w:r w:rsidR="00EA09D3" w:rsidRPr="00EA09D3" w:rsidDel="00EA09D3">
        <w:rPr>
          <w:rFonts w:ascii="Times New Roman" w:eastAsia="Times New Roman" w:hAnsi="Times New Roman"/>
          <w:b/>
          <w:bCs/>
          <w:sz w:val="24"/>
          <w:szCs w:val="24"/>
        </w:rPr>
        <w:t xml:space="preserve"> </w:t>
      </w:r>
      <w:r w:rsidRPr="00C92BD6">
        <w:rPr>
          <w:rFonts w:ascii="Times New Roman" w:eastAsia="Times New Roman" w:hAnsi="Times New Roman"/>
          <w:b/>
          <w:bCs/>
          <w:sz w:val="24"/>
          <w:szCs w:val="24"/>
        </w:rPr>
        <w:t>uzraudzības vidēja termiņa stratēģiju nākamajiem trim gadiem. </w:t>
      </w:r>
      <w:r w:rsidRPr="00C92BD6">
        <w:rPr>
          <w:rFonts w:ascii="Times New Roman" w:eastAsia="Times New Roman" w:hAnsi="Times New Roman"/>
          <w:sz w:val="24"/>
          <w:szCs w:val="24"/>
        </w:rPr>
        <w:t>Tās nosaka</w:t>
      </w:r>
      <w:r w:rsidR="000D14AB">
        <w:rPr>
          <w:rFonts w:ascii="Times New Roman" w:eastAsia="Times New Roman" w:hAnsi="Times New Roman"/>
          <w:sz w:val="24"/>
          <w:szCs w:val="24"/>
        </w:rPr>
        <w:t xml:space="preserve"> ECB</w:t>
      </w:r>
      <w:r w:rsidRPr="00C92BD6">
        <w:rPr>
          <w:rFonts w:ascii="Times New Roman" w:eastAsia="Times New Roman" w:hAnsi="Times New Roman"/>
          <w:sz w:val="24"/>
          <w:szCs w:val="24"/>
        </w:rPr>
        <w:t xml:space="preserve"> Uzraudzības valde, tās katru gadu tiek pārskatītas, un to pamatā ir uzraudzīto iestāžu galveno risku un ievainojamības aspektu visaptverošs novērtējums. Nosakot prioritātes, ņemti vērā arī SREP rezultāti</w:t>
      </w:r>
      <w:bookmarkStart w:id="133" w:name="_Hlk199855274"/>
      <w:r w:rsidR="000D14AB">
        <w:rPr>
          <w:rFonts w:ascii="Times New Roman" w:eastAsia="Times New Roman" w:hAnsi="Times New Roman"/>
          <w:sz w:val="24"/>
          <w:szCs w:val="24"/>
        </w:rPr>
        <w:t>, kā arī sasniegtais progress salīdzinājumā ar</w:t>
      </w:r>
      <w:bookmarkEnd w:id="133"/>
      <w:r w:rsidRPr="00C92BD6">
        <w:rPr>
          <w:rFonts w:ascii="Times New Roman" w:eastAsia="Times New Roman" w:hAnsi="Times New Roman"/>
          <w:sz w:val="24"/>
          <w:szCs w:val="24"/>
        </w:rPr>
        <w:t xml:space="preserve"> iepriekšējo gadu </w:t>
      </w:r>
      <w:r w:rsidR="000D14AB">
        <w:rPr>
          <w:rFonts w:ascii="Times New Roman" w:eastAsia="Times New Roman" w:hAnsi="Times New Roman"/>
          <w:sz w:val="24"/>
          <w:szCs w:val="24"/>
        </w:rPr>
        <w:t xml:space="preserve">prioritātēm. </w:t>
      </w:r>
      <w:r w:rsidRPr="00C92BD6">
        <w:rPr>
          <w:rFonts w:ascii="Times New Roman" w:eastAsia="Times New Roman" w:hAnsi="Times New Roman"/>
          <w:sz w:val="24"/>
          <w:szCs w:val="24"/>
        </w:rPr>
        <w:t xml:space="preserve">Tās palīdz efektīvi sadalīt pieejamos uzraudzības resursus, un tās var elastīgi koriģēt, ja tas nepieciešams </w:t>
      </w:r>
      <w:r w:rsidR="000D14AB">
        <w:rPr>
          <w:rFonts w:ascii="Times New Roman" w:eastAsia="Times New Roman" w:hAnsi="Times New Roman"/>
          <w:sz w:val="24"/>
          <w:szCs w:val="24"/>
        </w:rPr>
        <w:t>risku vides pārmaiņu dēļ.</w:t>
      </w:r>
    </w:p>
    <w:p w14:paraId="57626984" w14:textId="4417CA63" w:rsidR="001C5891" w:rsidRDefault="000D14AB"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sidRPr="00DC1531">
        <w:rPr>
          <w:rFonts w:ascii="Times New Roman" w:eastAsia="Times New Roman" w:hAnsi="Times New Roman"/>
          <w:b/>
          <w:bCs/>
          <w:sz w:val="24"/>
          <w:szCs w:val="24"/>
        </w:rPr>
        <w:t xml:space="preserve">Pēdējā </w:t>
      </w:r>
      <w:r w:rsidR="29EE94BF" w:rsidRPr="00DC1531">
        <w:rPr>
          <w:rFonts w:ascii="Times New Roman" w:eastAsia="Times New Roman" w:hAnsi="Times New Roman"/>
          <w:b/>
          <w:bCs/>
          <w:sz w:val="24"/>
          <w:szCs w:val="24"/>
        </w:rPr>
        <w:t>publikācijā par VUM prioritātēm</w:t>
      </w:r>
      <w:r w:rsidR="009851AD" w:rsidRPr="00AB2805">
        <w:rPr>
          <w:rStyle w:val="FootnoteReference"/>
          <w:rFonts w:ascii="Times New Roman" w:eastAsia="Times New Roman" w:hAnsi="Times New Roman"/>
          <w:sz w:val="24"/>
          <w:szCs w:val="24"/>
        </w:rPr>
        <w:footnoteReference w:id="50"/>
      </w:r>
      <w:r w:rsidR="29EE94BF" w:rsidRPr="00DC1531">
        <w:rPr>
          <w:rFonts w:ascii="Times New Roman" w:eastAsia="Times New Roman" w:hAnsi="Times New Roman"/>
          <w:b/>
          <w:bCs/>
          <w:sz w:val="24"/>
          <w:szCs w:val="24"/>
        </w:rPr>
        <w:t xml:space="preserve"> tiek sniegta informācija, ka u</w:t>
      </w:r>
      <w:r w:rsidR="77E6A959" w:rsidRPr="00DC1531">
        <w:rPr>
          <w:rFonts w:ascii="Times New Roman" w:eastAsia="Times New Roman" w:hAnsi="Times New Roman"/>
          <w:b/>
          <w:bCs/>
          <w:sz w:val="24"/>
          <w:szCs w:val="24"/>
        </w:rPr>
        <w:t>zraudzītās iestādes</w:t>
      </w:r>
      <w:r w:rsidR="00210A0C">
        <w:rPr>
          <w:rFonts w:ascii="Times New Roman" w:eastAsia="Times New Roman" w:hAnsi="Times New Roman"/>
          <w:b/>
          <w:bCs/>
          <w:sz w:val="24"/>
          <w:szCs w:val="24"/>
        </w:rPr>
        <w:t xml:space="preserve"> </w:t>
      </w:r>
      <w:r w:rsidRPr="00976F54">
        <w:rPr>
          <w:rFonts w:ascii="Times New Roman" w:eastAsia="Times New Roman" w:hAnsi="Times New Roman"/>
          <w:b/>
          <w:bCs/>
          <w:sz w:val="24"/>
          <w:szCs w:val="24"/>
        </w:rPr>
        <w:t>demonstrējušas noturību, saskaroties ar pēdējo gadu neskaidro ārējo vidi, un apliecinājušas savu spēju turpināt atbalstīt ekonomikas atveseļošanos.</w:t>
      </w:r>
      <w:r>
        <w:rPr>
          <w:rFonts w:ascii="Times New Roman" w:eastAsia="Times New Roman" w:hAnsi="Times New Roman"/>
          <w:sz w:val="24"/>
          <w:szCs w:val="24"/>
        </w:rPr>
        <w:t xml:space="preserve"> </w:t>
      </w:r>
      <w:r w:rsidRPr="00291907">
        <w:rPr>
          <w:rFonts w:ascii="Times New Roman" w:eastAsia="Times New Roman" w:hAnsi="Times New Roman"/>
          <w:sz w:val="24"/>
          <w:szCs w:val="24"/>
        </w:rPr>
        <w:t xml:space="preserve">Eiropas </w:t>
      </w:r>
      <w:r w:rsidR="00EA09D3">
        <w:rPr>
          <w:rFonts w:ascii="Times New Roman" w:eastAsia="Times New Roman" w:hAnsi="Times New Roman"/>
          <w:sz w:val="24"/>
          <w:szCs w:val="24"/>
        </w:rPr>
        <w:t>kredītiestādēm</w:t>
      </w:r>
      <w:r w:rsidR="00EA09D3" w:rsidRPr="0085251E">
        <w:rPr>
          <w:rFonts w:ascii="Times New Roman" w:eastAsia="Times New Roman" w:hAnsi="Times New Roman"/>
          <w:sz w:val="24"/>
          <w:szCs w:val="24"/>
        </w:rPr>
        <w:t xml:space="preserve"> </w:t>
      </w:r>
      <w:r w:rsidRPr="0085251E">
        <w:rPr>
          <w:rFonts w:ascii="Times New Roman" w:eastAsia="Times New Roman" w:hAnsi="Times New Roman"/>
          <w:sz w:val="24"/>
          <w:szCs w:val="24"/>
        </w:rPr>
        <w:t xml:space="preserve">ir spēcīgas kapitāla un likviditātes pozīcijas. To aktīvu kvalitāte kopumā joprojām bijusi noturīga pret sarežģītāku makrofinansiālo vidi, to pelnītspējai sasniedzot augstāko līmeni kopš Eiropas </w:t>
      </w:r>
      <w:r w:rsidR="00EA09D3">
        <w:rPr>
          <w:rFonts w:ascii="Times New Roman" w:eastAsia="Times New Roman" w:hAnsi="Times New Roman"/>
          <w:sz w:val="24"/>
          <w:szCs w:val="24"/>
        </w:rPr>
        <w:t>kredītiestāžu</w:t>
      </w:r>
      <w:r w:rsidRPr="0085251E">
        <w:rPr>
          <w:rFonts w:ascii="Times New Roman" w:eastAsia="Times New Roman" w:hAnsi="Times New Roman"/>
          <w:sz w:val="24"/>
          <w:szCs w:val="24"/>
        </w:rPr>
        <w:t xml:space="preserve"> uzraudzības sākuma, īpaši procentu likmju paaugstināšanās dēļ.</w:t>
      </w:r>
    </w:p>
    <w:p w14:paraId="5F31B8C3" w14:textId="15ECD400" w:rsidR="008A47BB" w:rsidRDefault="008A47BB"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sidRPr="00B036A1">
        <w:rPr>
          <w:rFonts w:ascii="Times New Roman" w:eastAsia="Times New Roman" w:hAnsi="Times New Roman"/>
          <w:b/>
          <w:bCs/>
          <w:sz w:val="24"/>
          <w:szCs w:val="24"/>
        </w:rPr>
        <w:t xml:space="preserve">Neraugoties uz </w:t>
      </w:r>
      <w:r w:rsidR="00EA09D3" w:rsidRPr="00D57E7F">
        <w:rPr>
          <w:rFonts w:ascii="Times New Roman" w:eastAsia="Times New Roman" w:hAnsi="Times New Roman"/>
          <w:b/>
          <w:bCs/>
          <w:sz w:val="24"/>
          <w:szCs w:val="24"/>
        </w:rPr>
        <w:t>kredītiestāžu</w:t>
      </w:r>
      <w:r w:rsidRPr="00B036A1">
        <w:rPr>
          <w:rFonts w:ascii="Times New Roman" w:eastAsia="Times New Roman" w:hAnsi="Times New Roman"/>
          <w:b/>
          <w:bCs/>
          <w:sz w:val="24"/>
          <w:szCs w:val="24"/>
        </w:rPr>
        <w:t xml:space="preserve"> bilanču un riska profilu stabilitāti, jāievēro piesardzība, ņemot vērā ilgstoši augsto ģeopolitisko spriedzi un ar to saistīto makroekonomiskās perspektīvas nenoteiktību. </w:t>
      </w:r>
      <w:r w:rsidRPr="00B036A1">
        <w:rPr>
          <w:rFonts w:ascii="Times New Roman" w:eastAsia="Times New Roman" w:hAnsi="Times New Roman"/>
          <w:sz w:val="24"/>
          <w:szCs w:val="24"/>
        </w:rPr>
        <w:t xml:space="preserve">Lai gan uzraudzītās iestādes līdz šim spējušas stāties pretī nesenajiem ģeopolitiskajiem šokiem, ko cita starpā veicinājusi pamatā noturīgā reālā tautsaimniecība, ir būtiski, lai </w:t>
      </w:r>
      <w:r w:rsidR="00EA09D3">
        <w:rPr>
          <w:rFonts w:ascii="Times New Roman" w:eastAsia="Times New Roman" w:hAnsi="Times New Roman"/>
          <w:sz w:val="24"/>
          <w:szCs w:val="24"/>
        </w:rPr>
        <w:t>kredītiestādes</w:t>
      </w:r>
      <w:r w:rsidR="00EA09D3" w:rsidRPr="00B036A1">
        <w:rPr>
          <w:rFonts w:ascii="Times New Roman" w:eastAsia="Times New Roman" w:hAnsi="Times New Roman"/>
          <w:sz w:val="24"/>
          <w:szCs w:val="24"/>
        </w:rPr>
        <w:t xml:space="preserve"> </w:t>
      </w:r>
      <w:r w:rsidRPr="00B036A1">
        <w:rPr>
          <w:rFonts w:ascii="Times New Roman" w:eastAsia="Times New Roman" w:hAnsi="Times New Roman"/>
          <w:sz w:val="24"/>
          <w:szCs w:val="24"/>
        </w:rPr>
        <w:t xml:space="preserve">saglabātu modrību un regulāri novērtētu šādu notikumu iespējamo ietekmi uz to uzņēmējdarbību, darba procesiem un riska profilu. Šajā kontekstā </w:t>
      </w:r>
      <w:r w:rsidR="00EA09D3">
        <w:rPr>
          <w:rFonts w:ascii="Times New Roman" w:eastAsia="Times New Roman" w:hAnsi="Times New Roman"/>
          <w:sz w:val="24"/>
          <w:szCs w:val="24"/>
        </w:rPr>
        <w:t>kredītiestāžu</w:t>
      </w:r>
      <w:r w:rsidRPr="00B036A1">
        <w:rPr>
          <w:rFonts w:ascii="Times New Roman" w:eastAsia="Times New Roman" w:hAnsi="Times New Roman"/>
          <w:sz w:val="24"/>
          <w:szCs w:val="24"/>
        </w:rPr>
        <w:t xml:space="preserve"> kredītriska pārvaldības ietvaru trūkumu novēršana joprojām ir prioritāte, īpaši attiecībā uz aktīvu kvalitātes pasliktināšanās agrīnu konstatēšanu un piesardzīga uzkrājumu līmeņa nodrošināšanu. Turklāt ir būtiski pilnveidot </w:t>
      </w:r>
      <w:r w:rsidR="00EA09D3">
        <w:rPr>
          <w:rFonts w:ascii="Times New Roman" w:eastAsia="Times New Roman" w:hAnsi="Times New Roman"/>
          <w:sz w:val="24"/>
          <w:szCs w:val="24"/>
        </w:rPr>
        <w:t>kredītiestāžu</w:t>
      </w:r>
      <w:r w:rsidRPr="00B036A1">
        <w:rPr>
          <w:rFonts w:ascii="Times New Roman" w:eastAsia="Times New Roman" w:hAnsi="Times New Roman"/>
          <w:sz w:val="24"/>
          <w:szCs w:val="24"/>
        </w:rPr>
        <w:t xml:space="preserve"> darbības noturības ietvarus, lai stiprinātu to spēju stāties pretī jebkādiem pēkšņu notikumu izraisītiem darbības traucējumiem.</w:t>
      </w:r>
    </w:p>
    <w:p w14:paraId="7DB44619" w14:textId="2AD08DA3" w:rsidR="008A47BB" w:rsidRDefault="008A47BB"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bookmarkStart w:id="134" w:name="_Hlk199855471"/>
      <w:r w:rsidRPr="003C5845">
        <w:rPr>
          <w:rFonts w:ascii="Times New Roman" w:eastAsia="Times New Roman" w:hAnsi="Times New Roman"/>
          <w:b/>
          <w:bCs/>
          <w:sz w:val="24"/>
          <w:szCs w:val="24"/>
        </w:rPr>
        <w:t xml:space="preserve">Vienlaikus </w:t>
      </w:r>
      <w:r w:rsidR="00EA09D3">
        <w:rPr>
          <w:rFonts w:ascii="Times New Roman" w:eastAsia="Times New Roman" w:hAnsi="Times New Roman"/>
          <w:b/>
          <w:bCs/>
          <w:sz w:val="24"/>
          <w:szCs w:val="24"/>
        </w:rPr>
        <w:t>kredītiestādēm</w:t>
      </w:r>
      <w:r w:rsidR="00EA09D3" w:rsidRPr="003C5845">
        <w:rPr>
          <w:rFonts w:ascii="Times New Roman" w:eastAsia="Times New Roman" w:hAnsi="Times New Roman"/>
          <w:b/>
          <w:bCs/>
          <w:sz w:val="24"/>
          <w:szCs w:val="24"/>
        </w:rPr>
        <w:t xml:space="preserve"> </w:t>
      </w:r>
      <w:r w:rsidRPr="003C5845">
        <w:rPr>
          <w:rFonts w:ascii="Times New Roman" w:eastAsia="Times New Roman" w:hAnsi="Times New Roman"/>
          <w:b/>
          <w:bCs/>
          <w:sz w:val="24"/>
          <w:szCs w:val="24"/>
        </w:rPr>
        <w:t>jāturpina stiprināt centienus efektīvi novērst būtiskos trūkumus, ko uzraugi konstatējuši iepriekšējos ciklos, laikus veicot korektīvas darbības. </w:t>
      </w:r>
      <w:r w:rsidRPr="003C5845">
        <w:rPr>
          <w:rFonts w:ascii="Times New Roman" w:eastAsia="Times New Roman" w:hAnsi="Times New Roman"/>
          <w:sz w:val="24"/>
          <w:szCs w:val="24"/>
        </w:rPr>
        <w:t xml:space="preserve">Jomās, kurās agrāk veiktas pastiprinātas uzraudzības pārbaudes, uzraugi koncentrēs uzmanību uz to, vai </w:t>
      </w:r>
      <w:r w:rsidR="00D57E7F">
        <w:rPr>
          <w:rFonts w:ascii="Times New Roman" w:eastAsia="Times New Roman" w:hAnsi="Times New Roman"/>
          <w:sz w:val="24"/>
          <w:szCs w:val="24"/>
        </w:rPr>
        <w:t xml:space="preserve">kredītiestādes </w:t>
      </w:r>
      <w:r w:rsidRPr="003C5845">
        <w:rPr>
          <w:rFonts w:ascii="Times New Roman" w:eastAsia="Times New Roman" w:hAnsi="Times New Roman"/>
          <w:sz w:val="24"/>
          <w:szCs w:val="24"/>
        </w:rPr>
        <w:t xml:space="preserve">efektīvi un savlaicīgi novērsušas konstatētās nepilnības. Tas īpaši attiecas uz riska datu apkopošanu un ziņošanu par riskiem, kas ir joma, kur, neraugoties uz ilgstošu darbu kopā ar uzraugiem un acīmredzamiem uzlabojumiem, dažas </w:t>
      </w:r>
      <w:r w:rsidR="00D57E7F">
        <w:rPr>
          <w:rFonts w:ascii="Times New Roman" w:eastAsia="Times New Roman" w:hAnsi="Times New Roman"/>
          <w:sz w:val="24"/>
          <w:szCs w:val="24"/>
        </w:rPr>
        <w:t>kredītiestādes</w:t>
      </w:r>
      <w:r w:rsidR="00D57E7F" w:rsidRPr="003C5845">
        <w:rPr>
          <w:rFonts w:ascii="Times New Roman" w:eastAsia="Times New Roman" w:hAnsi="Times New Roman"/>
          <w:sz w:val="24"/>
          <w:szCs w:val="24"/>
        </w:rPr>
        <w:t xml:space="preserve"> </w:t>
      </w:r>
      <w:r w:rsidRPr="003C5845">
        <w:rPr>
          <w:rFonts w:ascii="Times New Roman" w:eastAsia="Times New Roman" w:hAnsi="Times New Roman"/>
          <w:sz w:val="24"/>
          <w:szCs w:val="24"/>
        </w:rPr>
        <w:t xml:space="preserve">joprojām nav novērsušas būtiskus trūkumus. Turklāt arī turpmāk prioritāte joprojām būs pilnīga atbilstība uzraudzības gaidām attiecībā uz klimata pārmaiņu un vides risku pārvaldību </w:t>
      </w:r>
      <w:r w:rsidR="00D57E7F">
        <w:rPr>
          <w:rFonts w:ascii="Times New Roman" w:eastAsia="Times New Roman" w:hAnsi="Times New Roman"/>
          <w:sz w:val="24"/>
          <w:szCs w:val="24"/>
        </w:rPr>
        <w:t>kredītiestādēs</w:t>
      </w:r>
      <w:r w:rsidRPr="003C5845">
        <w:rPr>
          <w:rFonts w:ascii="Times New Roman" w:eastAsia="Times New Roman" w:hAnsi="Times New Roman"/>
          <w:sz w:val="24"/>
          <w:szCs w:val="24"/>
        </w:rPr>
        <w:t>.</w:t>
      </w:r>
      <w:bookmarkEnd w:id="134"/>
    </w:p>
    <w:p w14:paraId="13E28C9F" w14:textId="78593297" w:rsidR="008A47BB" w:rsidRDefault="009851AD" w:rsidP="008A47BB">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Pr>
          <w:rFonts w:ascii="Times New Roman" w:eastAsia="Times New Roman" w:hAnsi="Times New Roman"/>
          <w:b/>
          <w:bCs/>
          <w:sz w:val="24"/>
          <w:szCs w:val="24"/>
        </w:rPr>
        <w:t>T</w:t>
      </w:r>
      <w:r w:rsidR="008A47BB">
        <w:rPr>
          <w:rFonts w:ascii="Times New Roman" w:eastAsia="Times New Roman" w:hAnsi="Times New Roman"/>
          <w:b/>
          <w:bCs/>
          <w:sz w:val="24"/>
          <w:szCs w:val="24"/>
        </w:rPr>
        <w:t>ā kā</w:t>
      </w:r>
      <w:r w:rsidR="008A47BB" w:rsidRPr="003C5845">
        <w:rPr>
          <w:rFonts w:ascii="Times New Roman" w:eastAsia="Times New Roman" w:hAnsi="Times New Roman"/>
          <w:b/>
          <w:bCs/>
          <w:sz w:val="24"/>
          <w:szCs w:val="24"/>
        </w:rPr>
        <w:t xml:space="preserve"> tehnoloģiskais progress kļūst par </w:t>
      </w:r>
      <w:r w:rsidR="00D57E7F" w:rsidRPr="00D57E7F">
        <w:rPr>
          <w:rFonts w:ascii="Times New Roman" w:eastAsia="Times New Roman" w:hAnsi="Times New Roman"/>
          <w:b/>
          <w:bCs/>
          <w:sz w:val="24"/>
          <w:szCs w:val="24"/>
        </w:rPr>
        <w:t>kredītiestāžu</w:t>
      </w:r>
      <w:r w:rsidR="008A47BB" w:rsidRPr="003C5845">
        <w:rPr>
          <w:rFonts w:ascii="Times New Roman" w:eastAsia="Times New Roman" w:hAnsi="Times New Roman"/>
          <w:b/>
          <w:bCs/>
          <w:sz w:val="24"/>
          <w:szCs w:val="24"/>
        </w:rPr>
        <w:t xml:space="preserve"> nozares nākotnes prioritāti, ir būtiski, lai </w:t>
      </w:r>
      <w:r w:rsidR="00D57E7F">
        <w:rPr>
          <w:rFonts w:ascii="Times New Roman" w:eastAsia="Times New Roman" w:hAnsi="Times New Roman"/>
          <w:b/>
          <w:bCs/>
          <w:sz w:val="24"/>
          <w:szCs w:val="24"/>
        </w:rPr>
        <w:t>kredītiestādes</w:t>
      </w:r>
      <w:r w:rsidR="00D57E7F" w:rsidRPr="003C5845">
        <w:rPr>
          <w:rFonts w:ascii="Times New Roman" w:eastAsia="Times New Roman" w:hAnsi="Times New Roman"/>
          <w:b/>
          <w:bCs/>
          <w:sz w:val="24"/>
          <w:szCs w:val="24"/>
        </w:rPr>
        <w:t xml:space="preserve"> </w:t>
      </w:r>
      <w:r w:rsidR="008A47BB" w:rsidRPr="003C5845">
        <w:rPr>
          <w:rFonts w:ascii="Times New Roman" w:eastAsia="Times New Roman" w:hAnsi="Times New Roman"/>
          <w:b/>
          <w:bCs/>
          <w:sz w:val="24"/>
          <w:szCs w:val="24"/>
        </w:rPr>
        <w:t>stiprinātu digitalizācijas centienus un nodrošinātu jauno tehnoloģiju ieviešanas izraisīto risku piesardzīgu pārvaldību. </w:t>
      </w:r>
      <w:r w:rsidR="008A47BB" w:rsidRPr="003C5845">
        <w:rPr>
          <w:rFonts w:ascii="Times New Roman" w:eastAsia="Times New Roman" w:hAnsi="Times New Roman"/>
          <w:sz w:val="24"/>
          <w:szCs w:val="24"/>
        </w:rPr>
        <w:t>Neraugoties uz to, ka uzraudzītās iestādes šajā jomā gūst panākumus, lai nākotnē palielinātu savu spēju sekmīgi izturēt konkurenci, tām jābūt gatavām jauniem riskiem, ko rada to darbības un pakalpojumu digitalizācija. Tas palīdzēs tām uzlabot savu uzņēmējdarbības modeļu ilgtspēju un ļaus tām gūt labumu no inovatīvām tehnoloģijām.</w:t>
      </w:r>
    </w:p>
    <w:p w14:paraId="0002AB45" w14:textId="4C76CA8C" w:rsidR="008A47BB" w:rsidRPr="00DC1531" w:rsidRDefault="008A47BB" w:rsidP="00210A0C">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bookmarkStart w:id="135" w:name="_Hlk199855503"/>
      <w:r w:rsidRPr="006A2E27">
        <w:rPr>
          <w:rFonts w:ascii="Times New Roman" w:eastAsia="Times New Roman" w:hAnsi="Times New Roman"/>
          <w:sz w:val="24"/>
          <w:szCs w:val="24"/>
        </w:rPr>
        <w:t xml:space="preserve">Ņemot vērā iepriekš minēto, </w:t>
      </w:r>
      <w:r w:rsidRPr="00B036A1">
        <w:rPr>
          <w:rFonts w:ascii="Times New Roman" w:eastAsia="Times New Roman" w:hAnsi="Times New Roman"/>
          <w:b/>
          <w:bCs/>
          <w:sz w:val="24"/>
          <w:szCs w:val="24"/>
        </w:rPr>
        <w:t>uzraudzības prioritātes 2025.–2027.</w:t>
      </w:r>
      <w:r w:rsidRPr="006A2E27">
        <w:rPr>
          <w:rFonts w:ascii="Times New Roman" w:eastAsia="Times New Roman" w:hAnsi="Times New Roman"/>
          <w:sz w:val="24"/>
          <w:szCs w:val="24"/>
        </w:rPr>
        <w:t xml:space="preserve"> gadam koncentrējas uz </w:t>
      </w:r>
      <w:r w:rsidR="00D57E7F">
        <w:rPr>
          <w:rFonts w:ascii="Times New Roman" w:eastAsia="Times New Roman" w:hAnsi="Times New Roman"/>
          <w:sz w:val="24"/>
          <w:szCs w:val="24"/>
        </w:rPr>
        <w:t>kredītiestāžu</w:t>
      </w:r>
      <w:r w:rsidRPr="006A2E27">
        <w:rPr>
          <w:rFonts w:ascii="Times New Roman" w:eastAsia="Times New Roman" w:hAnsi="Times New Roman"/>
          <w:sz w:val="24"/>
          <w:szCs w:val="24"/>
        </w:rPr>
        <w:t xml:space="preserve"> noturību pret tiešiem makrofinansiāliem apdraudējumiem un nopietniem ģeopolitiskiem šokiem (1. prioritāte), zināmo būtisko trūkumu savlaicīgas novēršanas nozīmi (2. prioritāte) un nepieciešamību risināt problēmas, kas izriet no digitālās pārveides un jaunām tehnoloģijām (3. prioritāte). </w:t>
      </w:r>
      <w:bookmarkEnd w:id="135"/>
    </w:p>
    <w:p w14:paraId="5CE0CC03" w14:textId="77777777" w:rsidR="00C95918" w:rsidRDefault="00C95918" w:rsidP="00DC1531">
      <w:pPr>
        <w:shd w:val="clear" w:color="auto" w:fill="FFFFFF" w:themeFill="background1"/>
        <w:spacing w:after="0" w:line="240" w:lineRule="auto"/>
        <w:ind w:firstLine="720"/>
        <w:jc w:val="both"/>
        <w:rPr>
          <w:rFonts w:ascii="Times New Roman" w:hAnsi="Times New Roman"/>
          <w:sz w:val="24"/>
          <w:szCs w:val="24"/>
        </w:rPr>
      </w:pPr>
    </w:p>
    <w:p w14:paraId="6629E72A" w14:textId="0A8FDFA7" w:rsidR="00E04BBA" w:rsidRDefault="7A9D0F5D" w:rsidP="00DC1531">
      <w:pPr>
        <w:shd w:val="clear" w:color="auto" w:fill="FFFFFF" w:themeFill="background1"/>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Sākot ar </w:t>
      </w:r>
      <w:r w:rsidR="51B169F9" w:rsidRPr="469479B5">
        <w:rPr>
          <w:rFonts w:ascii="Times New Roman" w:hAnsi="Times New Roman"/>
          <w:sz w:val="24"/>
          <w:szCs w:val="24"/>
        </w:rPr>
        <w:t>202</w:t>
      </w:r>
      <w:r w:rsidR="006B4E18">
        <w:rPr>
          <w:rFonts w:ascii="Times New Roman" w:hAnsi="Times New Roman"/>
          <w:sz w:val="24"/>
          <w:szCs w:val="24"/>
        </w:rPr>
        <w:t>2</w:t>
      </w:r>
      <w:r w:rsidR="51B169F9" w:rsidRPr="469479B5">
        <w:rPr>
          <w:rFonts w:ascii="Times New Roman" w:hAnsi="Times New Roman"/>
          <w:sz w:val="24"/>
          <w:szCs w:val="24"/>
        </w:rPr>
        <w:t>.</w:t>
      </w:r>
      <w:r w:rsidR="23FBFDAD" w:rsidRPr="469479B5">
        <w:rPr>
          <w:rFonts w:ascii="Times New Roman" w:hAnsi="Times New Roman" w:cs="Times New Roman"/>
          <w:b/>
          <w:bCs/>
          <w:sz w:val="24"/>
          <w:szCs w:val="24"/>
        </w:rPr>
        <w:t xml:space="preserve"> </w:t>
      </w:r>
      <w:r w:rsidR="51B169F9" w:rsidRPr="469479B5">
        <w:rPr>
          <w:rFonts w:ascii="Times New Roman" w:hAnsi="Times New Roman"/>
          <w:sz w:val="24"/>
          <w:szCs w:val="24"/>
        </w:rPr>
        <w:t>gadu</w:t>
      </w:r>
      <w:r w:rsidRPr="469479B5">
        <w:rPr>
          <w:rFonts w:ascii="Times New Roman" w:hAnsi="Times New Roman"/>
          <w:sz w:val="24"/>
          <w:szCs w:val="24"/>
        </w:rPr>
        <w:t xml:space="preserve"> finanšu sektora fiskālais risks tik</w:t>
      </w:r>
      <w:r w:rsidR="77E6A959" w:rsidRPr="469479B5">
        <w:rPr>
          <w:rFonts w:ascii="Times New Roman" w:hAnsi="Times New Roman"/>
          <w:sz w:val="24"/>
          <w:szCs w:val="24"/>
        </w:rPr>
        <w:t>a</w:t>
      </w:r>
      <w:r w:rsidRPr="469479B5">
        <w:rPr>
          <w:rFonts w:ascii="Times New Roman" w:hAnsi="Times New Roman"/>
          <w:sz w:val="24"/>
          <w:szCs w:val="24"/>
        </w:rPr>
        <w:t xml:space="preserve"> pārklasificēts uz kvantificējamo risku kategoriju. Tomēr, ņemot vērā, ka Banku savienība ir izveidota ar mērķi mazināt risku, ka </w:t>
      </w:r>
      <w:r w:rsidR="008A47BB">
        <w:rPr>
          <w:rFonts w:ascii="Times New Roman" w:hAnsi="Times New Roman"/>
          <w:sz w:val="24"/>
          <w:szCs w:val="24"/>
        </w:rPr>
        <w:t>kredītiestāžu noregulējumam</w:t>
      </w:r>
      <w:r w:rsidR="008A47BB" w:rsidRPr="469479B5">
        <w:rPr>
          <w:rFonts w:ascii="Times New Roman" w:hAnsi="Times New Roman"/>
          <w:sz w:val="24"/>
          <w:szCs w:val="24"/>
        </w:rPr>
        <w:t xml:space="preserve"> </w:t>
      </w:r>
      <w:r w:rsidRPr="469479B5">
        <w:rPr>
          <w:rFonts w:ascii="Times New Roman" w:hAnsi="Times New Roman"/>
          <w:sz w:val="24"/>
          <w:szCs w:val="24"/>
        </w:rPr>
        <w:t xml:space="preserve">būs jāizmanto publiskais finansējums, ar </w:t>
      </w:r>
      <w:r w:rsidRPr="469479B5">
        <w:rPr>
          <w:rFonts w:ascii="Times New Roman" w:hAnsi="Times New Roman"/>
          <w:b/>
          <w:bCs/>
          <w:sz w:val="24"/>
          <w:szCs w:val="24"/>
        </w:rPr>
        <w:t>finanšu sektoru saistītie fiskālie riski ir vērtējami kā zemi un līdz ar to pašlaik nav pamata tiem veidot fiskālo nodrošinājuma rezervi</w:t>
      </w:r>
      <w:r w:rsidRPr="469479B5">
        <w:rPr>
          <w:rFonts w:ascii="Times New Roman" w:hAnsi="Times New Roman"/>
          <w:sz w:val="24"/>
          <w:szCs w:val="24"/>
        </w:rPr>
        <w:t>.</w:t>
      </w:r>
    </w:p>
    <w:p w14:paraId="41B4B3E4" w14:textId="78B75E8D" w:rsidR="00210A0C" w:rsidRDefault="1DAEFCE4" w:rsidP="00210A0C">
      <w:pPr>
        <w:spacing w:after="0" w:line="240" w:lineRule="auto"/>
        <w:ind w:firstLine="720"/>
        <w:jc w:val="both"/>
        <w:rPr>
          <w:rFonts w:ascii="Times New Roman" w:hAnsi="Times New Roman"/>
          <w:kern w:val="2"/>
          <w:sz w:val="24"/>
          <w:szCs w:val="24"/>
          <w14:ligatures w14:val="standardContextual"/>
        </w:rPr>
      </w:pPr>
      <w:r w:rsidRPr="469479B5">
        <w:rPr>
          <w:rFonts w:ascii="Times New Roman" w:hAnsi="Times New Roman" w:cs="Times New Roman"/>
          <w:sz w:val="24"/>
          <w:szCs w:val="24"/>
        </w:rPr>
        <w:t>Kā atsevišķs finanšu sektora elements, kas var veidot</w:t>
      </w:r>
      <w:r w:rsidR="008A47BB">
        <w:rPr>
          <w:rFonts w:ascii="Times New Roman" w:hAnsi="Times New Roman" w:cs="Times New Roman"/>
          <w:sz w:val="24"/>
          <w:szCs w:val="24"/>
        </w:rPr>
        <w:t xml:space="preserve"> </w:t>
      </w:r>
      <w:r w:rsidR="00A60CE2">
        <w:rPr>
          <w:rFonts w:ascii="Times New Roman" w:hAnsi="Times New Roman" w:cs="Times New Roman"/>
          <w:sz w:val="24"/>
          <w:szCs w:val="24"/>
        </w:rPr>
        <w:t>netiešus</w:t>
      </w:r>
      <w:r w:rsidRPr="469479B5">
        <w:rPr>
          <w:rFonts w:ascii="Times New Roman" w:hAnsi="Times New Roman" w:cs="Times New Roman"/>
          <w:sz w:val="24"/>
          <w:szCs w:val="24"/>
        </w:rPr>
        <w:t xml:space="preserve"> fiskālo</w:t>
      </w:r>
      <w:r w:rsidR="008A47BB">
        <w:rPr>
          <w:rFonts w:ascii="Times New Roman" w:hAnsi="Times New Roman" w:cs="Times New Roman"/>
          <w:sz w:val="24"/>
          <w:szCs w:val="24"/>
        </w:rPr>
        <w:t>s</w:t>
      </w:r>
      <w:r w:rsidRPr="469479B5">
        <w:rPr>
          <w:rFonts w:ascii="Times New Roman" w:hAnsi="Times New Roman" w:cs="Times New Roman"/>
          <w:sz w:val="24"/>
          <w:szCs w:val="24"/>
        </w:rPr>
        <w:t xml:space="preserve"> riskus, ir nodalāms</w:t>
      </w:r>
      <w:r w:rsidR="40A6C415" w:rsidRPr="469479B5">
        <w:rPr>
          <w:rFonts w:ascii="Times New Roman" w:hAnsi="Times New Roman" w:cs="Times New Roman"/>
          <w:sz w:val="24"/>
          <w:szCs w:val="24"/>
        </w:rPr>
        <w:t xml:space="preserve"> </w:t>
      </w:r>
      <w:r w:rsidR="00210A0C">
        <w:rPr>
          <w:rFonts w:ascii="Times New Roman" w:hAnsi="Times New Roman" w:cs="Times New Roman"/>
          <w:sz w:val="24"/>
          <w:szCs w:val="24"/>
        </w:rPr>
        <w:t>Noguldījumu garantiju fonds (</w:t>
      </w:r>
      <w:r w:rsidR="00E030B1">
        <w:rPr>
          <w:rFonts w:ascii="Times New Roman" w:hAnsi="Times New Roman" w:cs="Times New Roman"/>
          <w:sz w:val="24"/>
          <w:szCs w:val="24"/>
        </w:rPr>
        <w:t>turpmāk – NGF</w:t>
      </w:r>
      <w:r w:rsidR="00210A0C">
        <w:rPr>
          <w:rFonts w:ascii="Times New Roman" w:hAnsi="Times New Roman" w:cs="Times New Roman"/>
          <w:sz w:val="24"/>
          <w:szCs w:val="24"/>
        </w:rPr>
        <w:t>)</w:t>
      </w:r>
      <w:r w:rsidRPr="469479B5">
        <w:rPr>
          <w:rFonts w:ascii="Times New Roman" w:hAnsi="Times New Roman" w:cs="Times New Roman"/>
          <w:sz w:val="24"/>
          <w:szCs w:val="24"/>
        </w:rPr>
        <w:t xml:space="preserve">. </w:t>
      </w:r>
      <w:r w:rsidR="1B88157C" w:rsidRPr="469479B5">
        <w:rPr>
          <w:rFonts w:ascii="Times New Roman" w:hAnsi="Times New Roman" w:cs="Times New Roman"/>
          <w:sz w:val="24"/>
          <w:szCs w:val="24"/>
        </w:rPr>
        <w:t>NGF</w:t>
      </w:r>
      <w:r w:rsidR="6273B60F" w:rsidRPr="00DD6B88">
        <w:rPr>
          <w:rFonts w:ascii="Times New Roman" w:hAnsi="Times New Roman"/>
          <w:sz w:val="24"/>
          <w:szCs w:val="24"/>
        </w:rPr>
        <w:t xml:space="preserve"> ir izveidots un darbojas, pamatojoties uz </w:t>
      </w:r>
      <w:r w:rsidR="00A60CE2">
        <w:rPr>
          <w:rFonts w:ascii="Times New Roman" w:hAnsi="Times New Roman"/>
          <w:sz w:val="24"/>
          <w:szCs w:val="24"/>
        </w:rPr>
        <w:t>Noguldījumu garantiju likumu (</w:t>
      </w:r>
      <w:r w:rsidR="00E030B1">
        <w:rPr>
          <w:rFonts w:ascii="Times New Roman" w:hAnsi="Times New Roman"/>
          <w:sz w:val="24"/>
          <w:szCs w:val="24"/>
        </w:rPr>
        <w:t>turpmāk – NGL</w:t>
      </w:r>
      <w:r w:rsidR="00A60CE2">
        <w:rPr>
          <w:rFonts w:ascii="Times New Roman" w:hAnsi="Times New Roman"/>
          <w:sz w:val="24"/>
          <w:szCs w:val="24"/>
        </w:rPr>
        <w:t>)</w:t>
      </w:r>
      <w:r w:rsidR="6273B60F" w:rsidRPr="00DD6B88">
        <w:rPr>
          <w:rFonts w:ascii="Times New Roman" w:hAnsi="Times New Roman"/>
          <w:sz w:val="24"/>
          <w:szCs w:val="24"/>
        </w:rPr>
        <w:t>. NGL stājās spēkā 1998.</w:t>
      </w:r>
      <w:r w:rsidR="20FDD1B1" w:rsidRPr="469479B5">
        <w:rPr>
          <w:rFonts w:ascii="Times New Roman" w:hAnsi="Times New Roman" w:cs="Times New Roman"/>
          <w:b/>
          <w:bCs/>
          <w:sz w:val="24"/>
          <w:szCs w:val="24"/>
        </w:rPr>
        <w:t xml:space="preserve"> </w:t>
      </w:r>
      <w:r w:rsidR="6273B60F" w:rsidRPr="00DD6B88">
        <w:rPr>
          <w:rFonts w:ascii="Times New Roman" w:hAnsi="Times New Roman"/>
          <w:sz w:val="24"/>
          <w:szCs w:val="24"/>
        </w:rPr>
        <w:t>gada 1.</w:t>
      </w:r>
      <w:r w:rsidR="74E39D01" w:rsidRPr="469479B5">
        <w:rPr>
          <w:rFonts w:ascii="Times New Roman" w:hAnsi="Times New Roman" w:cs="Times New Roman"/>
          <w:b/>
          <w:bCs/>
          <w:sz w:val="24"/>
          <w:szCs w:val="24"/>
        </w:rPr>
        <w:t xml:space="preserve"> </w:t>
      </w:r>
      <w:r w:rsidR="6273B60F" w:rsidRPr="00DD6B88">
        <w:rPr>
          <w:rFonts w:ascii="Times New Roman" w:hAnsi="Times New Roman"/>
          <w:sz w:val="24"/>
          <w:szCs w:val="24"/>
        </w:rPr>
        <w:t xml:space="preserve">oktobrī un atbilstoši tam jebkuram Latvijas </w:t>
      </w:r>
      <w:r w:rsidR="008A47BB">
        <w:rPr>
          <w:rFonts w:ascii="Times New Roman" w:hAnsi="Times New Roman"/>
          <w:sz w:val="24"/>
          <w:szCs w:val="24"/>
        </w:rPr>
        <w:t>kredītiestāžu</w:t>
      </w:r>
      <w:r w:rsidR="6273B60F" w:rsidRPr="00DD6B88">
        <w:rPr>
          <w:rFonts w:ascii="Times New Roman" w:hAnsi="Times New Roman"/>
          <w:sz w:val="24"/>
          <w:szCs w:val="24"/>
        </w:rPr>
        <w:t xml:space="preserve"> un krājaizdevumu sabiedrību klientam tiek </w:t>
      </w:r>
      <w:r w:rsidR="50B60485" w:rsidRPr="00DD6B88">
        <w:rPr>
          <w:rFonts w:ascii="Times New Roman" w:hAnsi="Times New Roman"/>
          <w:sz w:val="24"/>
          <w:szCs w:val="24"/>
        </w:rPr>
        <w:t>n</w:t>
      </w:r>
      <w:r w:rsidR="6273B60F" w:rsidRPr="00DD6B88">
        <w:rPr>
          <w:rFonts w:ascii="Times New Roman" w:hAnsi="Times New Roman"/>
          <w:sz w:val="24"/>
          <w:szCs w:val="24"/>
        </w:rPr>
        <w:t xml:space="preserve">odrošināta atlīdzības izmaksa par visu veidu noguldījumiem visās valūtās līdz 100 000 </w:t>
      </w:r>
      <w:r w:rsidR="6273B60F" w:rsidRPr="469479B5">
        <w:rPr>
          <w:rFonts w:ascii="Times New Roman" w:hAnsi="Times New Roman"/>
          <w:i/>
          <w:iCs/>
          <w:sz w:val="24"/>
          <w:szCs w:val="24"/>
        </w:rPr>
        <w:t>euro</w:t>
      </w:r>
      <w:r w:rsidR="6273B60F" w:rsidRPr="00DD6B88">
        <w:rPr>
          <w:rFonts w:ascii="Times New Roman" w:hAnsi="Times New Roman"/>
          <w:sz w:val="24"/>
          <w:szCs w:val="24"/>
        </w:rPr>
        <w:t xml:space="preserve"> katrā </w:t>
      </w:r>
      <w:r w:rsidR="00D57E7F">
        <w:rPr>
          <w:rFonts w:ascii="Times New Roman" w:hAnsi="Times New Roman"/>
          <w:sz w:val="24"/>
          <w:szCs w:val="24"/>
        </w:rPr>
        <w:t>kredītiestādē</w:t>
      </w:r>
      <w:r w:rsidR="00D57E7F" w:rsidRPr="00DD6B88">
        <w:rPr>
          <w:rFonts w:ascii="Times New Roman" w:hAnsi="Times New Roman"/>
          <w:sz w:val="24"/>
          <w:szCs w:val="24"/>
        </w:rPr>
        <w:t xml:space="preserve"> </w:t>
      </w:r>
      <w:r w:rsidR="6273B60F" w:rsidRPr="00DD6B88">
        <w:rPr>
          <w:rFonts w:ascii="Times New Roman" w:hAnsi="Times New Roman"/>
          <w:sz w:val="24"/>
          <w:szCs w:val="24"/>
        </w:rPr>
        <w:t>vai krājaizdevumu sabiedrībā, ja ir iestājusies šo līdzekļu nepieejamība.</w:t>
      </w:r>
      <w:r w:rsidR="55D17584" w:rsidRPr="00DF1254">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 xml:space="preserve">Valsts garantētā summa attiecas gan uz noguldījumiem, gan uz norēķinu kontu atlikumiem, gan algu kontiem, krājkontiem u.c. Latvijas </w:t>
      </w:r>
      <w:r w:rsidR="78B72E90" w:rsidRPr="469479B5">
        <w:rPr>
          <w:rFonts w:ascii="Times New Roman" w:hAnsi="Times New Roman" w:cs="Times New Roman"/>
          <w:sz w:val="24"/>
          <w:szCs w:val="24"/>
        </w:rPr>
        <w:t>NGF</w:t>
      </w:r>
      <w:r w:rsidR="55D17584" w:rsidRPr="00DB1FE8">
        <w:rPr>
          <w:rFonts w:ascii="Times New Roman" w:hAnsi="Times New Roman"/>
          <w:kern w:val="2"/>
          <w:sz w:val="24"/>
          <w:szCs w:val="24"/>
          <w14:ligatures w14:val="standardContextual"/>
        </w:rPr>
        <w:t> ir izveidots, lai nodrošinātu noguldītājiem atlīdzības izmaksu par noguldījumiem, kas veikti pie noguldījumu garantiju sistēmas dalībnieka, bet kļuvuši nepieejami, t.i., gadījumā, kad noguldījumu garantiju sistēmas dalībnieks nespēj klientam izmaksāt viņa noguldījumu un noguldījumu piesaistītājam anulēta licence vai tiesa pasludinājusi to par maksātnespējīgu, vai citā gadījumā, kad Latvijas Banka ir konstatējusi, ka noguldījumu piesaistītājs nespēj izmaksāt noguldītājam noguldījumu, un pieņēmusi lēmumu par noguldījumu nepieejamības iestāšanos.</w:t>
      </w:r>
      <w:r w:rsidR="008A47BB">
        <w:rPr>
          <w:rFonts w:ascii="Times New Roman" w:hAnsi="Times New Roman"/>
          <w:kern w:val="2"/>
          <w:sz w:val="24"/>
          <w:szCs w:val="24"/>
          <w14:ligatures w14:val="standardContextual"/>
        </w:rPr>
        <w:t xml:space="preserve"> </w:t>
      </w:r>
      <w:r w:rsidR="008A47BB" w:rsidRPr="001E1B5A">
        <w:rPr>
          <w:rFonts w:ascii="Times New Roman" w:hAnsi="Times New Roman"/>
          <w:sz w:val="24"/>
          <w:szCs w:val="24"/>
        </w:rPr>
        <w:t>Lai pieteiktos garantētās atlīdzības izmaksai, noguldītājiem noteikts piecu gadu termiņš no dienas, kad konstatēta noguldījumu nepieejamība</w:t>
      </w:r>
      <w:r w:rsidR="008A47BB">
        <w:rPr>
          <w:rFonts w:ascii="Times New Roman" w:hAnsi="Times New Roman"/>
          <w:sz w:val="24"/>
          <w:szCs w:val="24"/>
        </w:rPr>
        <w:t>.</w:t>
      </w:r>
      <w:r w:rsidR="55D17584" w:rsidRPr="00DB1FE8">
        <w:rPr>
          <w:rFonts w:ascii="Times New Roman" w:hAnsi="Times New Roman"/>
          <w:kern w:val="2"/>
          <w:sz w:val="24"/>
          <w:szCs w:val="24"/>
          <w14:ligatures w14:val="standardContextual"/>
        </w:rPr>
        <w:t xml:space="preserve"> </w:t>
      </w:r>
    </w:p>
    <w:p w14:paraId="3EF2A8CA" w14:textId="1CD77162" w:rsidR="00A60CE2" w:rsidRDefault="006E345A" w:rsidP="00210A0C">
      <w:pPr>
        <w:spacing w:after="0" w:line="240" w:lineRule="auto"/>
        <w:ind w:firstLine="720"/>
        <w:jc w:val="both"/>
        <w:rPr>
          <w:rFonts w:ascii="Times New Roman" w:hAnsi="Times New Roman"/>
          <w:sz w:val="24"/>
          <w:szCs w:val="24"/>
        </w:rPr>
      </w:pPr>
      <w:r w:rsidRPr="005A7B0A">
        <w:rPr>
          <w:rFonts w:ascii="Times New Roman" w:hAnsi="Times New Roman"/>
          <w:kern w:val="2"/>
          <w:sz w:val="24"/>
          <w:szCs w:val="24"/>
          <w14:ligatures w14:val="standardContextual"/>
        </w:rPr>
        <w:t xml:space="preserve">Līdz 2022. gada 31. decembrim NGF pārvaldīja Finanšu un kapitāla tirgus komisija (turpmāk – FKTK), bet no 2023. gada 1. janvāra </w:t>
      </w:r>
      <w:r>
        <w:rPr>
          <w:rFonts w:ascii="Times New Roman" w:hAnsi="Times New Roman"/>
          <w:kern w:val="2"/>
          <w:sz w:val="24"/>
          <w:szCs w:val="24"/>
          <w14:ligatures w14:val="standardContextual"/>
        </w:rPr>
        <w:t>NGF</w:t>
      </w:r>
      <w:r w:rsidRPr="00DB1FE8">
        <w:rPr>
          <w:rFonts w:ascii="Times New Roman" w:hAnsi="Times New Roman"/>
          <w:kern w:val="2"/>
          <w:sz w:val="24"/>
          <w:szCs w:val="24"/>
          <w14:ligatures w14:val="standardContextual"/>
        </w:rPr>
        <w:t xml:space="preserve"> līdzekļu uzkrāšanu, pārvaldīšanu un garantētās atlīdzības izmaksu veic Latvijas Banka. </w:t>
      </w:r>
      <w:r w:rsidR="55D17584" w:rsidRPr="00DB1FE8">
        <w:rPr>
          <w:rFonts w:ascii="Times New Roman" w:hAnsi="Times New Roman"/>
          <w:kern w:val="2"/>
          <w:sz w:val="24"/>
          <w:szCs w:val="24"/>
          <w14:ligatures w14:val="standardContextual"/>
        </w:rPr>
        <w:t xml:space="preserve">Fonda līdzekļi tiek uzkrāti no noguldījumu piesaistītāju (t.i., </w:t>
      </w:r>
      <w:r w:rsidR="008A47BB">
        <w:rPr>
          <w:rFonts w:ascii="Times New Roman" w:hAnsi="Times New Roman"/>
          <w:sz w:val="24"/>
          <w:szCs w:val="24"/>
        </w:rPr>
        <w:t xml:space="preserve">kredītiestāžu </w:t>
      </w:r>
      <w:r w:rsidR="55D17584" w:rsidRPr="00DB1FE8">
        <w:rPr>
          <w:rFonts w:ascii="Times New Roman" w:hAnsi="Times New Roman"/>
          <w:kern w:val="2"/>
          <w:sz w:val="24"/>
          <w:szCs w:val="24"/>
          <w14:ligatures w14:val="standardContextual"/>
        </w:rPr>
        <w:t>un krājaizdevu</w:t>
      </w:r>
      <w:r w:rsidR="55D17584">
        <w:rPr>
          <w:rFonts w:ascii="Times New Roman" w:hAnsi="Times New Roman"/>
          <w:kern w:val="2"/>
          <w:sz w:val="24"/>
          <w:szCs w:val="24"/>
          <w14:ligatures w14:val="standardContextual"/>
        </w:rPr>
        <w:t>mu</w:t>
      </w:r>
      <w:r w:rsidR="55D17584" w:rsidRPr="00DB1FE8">
        <w:rPr>
          <w:rFonts w:ascii="Times New Roman" w:hAnsi="Times New Roman"/>
          <w:kern w:val="2"/>
          <w:sz w:val="24"/>
          <w:szCs w:val="24"/>
          <w14:ligatures w14:val="standardContextual"/>
        </w:rPr>
        <w:t xml:space="preserve"> sabiedrību) ik ceturkšņa maksājumiem, kas ir </w:t>
      </w:r>
      <w:r w:rsidR="78B72E90" w:rsidRPr="00DD6B88">
        <w:rPr>
          <w:rFonts w:ascii="Times New Roman" w:hAnsi="Times New Roman"/>
          <w:sz w:val="24"/>
          <w:szCs w:val="24"/>
        </w:rPr>
        <w:t>NGL</w:t>
      </w:r>
      <w:r w:rsidR="78B72E90" w:rsidRPr="00DB1FE8">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 xml:space="preserve">noteikts procents no piesaistīto noguldījumu apjoma, kas koriģēts ar riska koeficientu, kā arī no </w:t>
      </w:r>
      <w:r w:rsidR="677B1984" w:rsidRPr="00DB1FE8">
        <w:rPr>
          <w:rFonts w:ascii="Times New Roman" w:hAnsi="Times New Roman"/>
          <w:kern w:val="2"/>
          <w:sz w:val="24"/>
          <w:szCs w:val="24"/>
          <w14:ligatures w14:val="standardContextual"/>
        </w:rPr>
        <w:t>NGF</w:t>
      </w:r>
      <w:r w:rsidR="55D17584" w:rsidRPr="00DB1FE8">
        <w:rPr>
          <w:rFonts w:ascii="Times New Roman" w:hAnsi="Times New Roman"/>
          <w:kern w:val="2"/>
          <w:sz w:val="24"/>
          <w:szCs w:val="24"/>
          <w14:ligatures w14:val="standardContextual"/>
        </w:rPr>
        <w:t xml:space="preserve"> līdzekļu pārvaldīšanā gūtajiem ienākumiem. Latvijas </w:t>
      </w:r>
      <w:r w:rsidR="78B72E90" w:rsidRPr="469479B5">
        <w:rPr>
          <w:rFonts w:ascii="Times New Roman" w:hAnsi="Times New Roman" w:cs="Times New Roman"/>
          <w:sz w:val="24"/>
          <w:szCs w:val="24"/>
        </w:rPr>
        <w:t>NGF</w:t>
      </w:r>
      <w:r w:rsidR="78B72E90" w:rsidRPr="00DB1FE8">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dalībnieki ir noguldījumu piesaistītāji, kas ir L</w:t>
      </w:r>
      <w:r w:rsidR="007B0D80">
        <w:rPr>
          <w:rFonts w:ascii="Times New Roman" w:hAnsi="Times New Roman"/>
          <w:kern w:val="2"/>
          <w:sz w:val="24"/>
          <w:szCs w:val="24"/>
          <w14:ligatures w14:val="standardContextual"/>
        </w:rPr>
        <w:t xml:space="preserve">R </w:t>
      </w:r>
      <w:r w:rsidR="55D17584" w:rsidRPr="00DB1FE8">
        <w:rPr>
          <w:rFonts w:ascii="Times New Roman" w:hAnsi="Times New Roman"/>
          <w:kern w:val="2"/>
          <w:sz w:val="24"/>
          <w:szCs w:val="24"/>
          <w14:ligatures w14:val="standardContextual"/>
        </w:rPr>
        <w:t>reģistrēt</w:t>
      </w:r>
      <w:r w:rsidR="0BAB0E3A" w:rsidRPr="00DB1FE8">
        <w:rPr>
          <w:rFonts w:ascii="Times New Roman" w:hAnsi="Times New Roman"/>
          <w:kern w:val="2"/>
          <w:sz w:val="24"/>
          <w:szCs w:val="24"/>
          <w14:ligatures w14:val="standardContextual"/>
        </w:rPr>
        <w:t>ā</w:t>
      </w:r>
      <w:r w:rsidR="55D17584" w:rsidRPr="00DB1FE8">
        <w:rPr>
          <w:rFonts w:ascii="Times New Roman" w:hAnsi="Times New Roman"/>
          <w:kern w:val="2"/>
          <w:sz w:val="24"/>
          <w:szCs w:val="24"/>
          <w14:ligatures w14:val="standardContextual"/>
        </w:rPr>
        <w:t xml:space="preserve">s </w:t>
      </w:r>
      <w:r w:rsidR="00D57E7F">
        <w:rPr>
          <w:rFonts w:ascii="Times New Roman" w:hAnsi="Times New Roman"/>
          <w:kern w:val="2"/>
          <w:sz w:val="24"/>
          <w:szCs w:val="24"/>
          <w14:ligatures w14:val="standardContextual"/>
        </w:rPr>
        <w:t>kredītiestādes</w:t>
      </w:r>
      <w:r w:rsidR="00D57E7F" w:rsidRPr="00DB1FE8">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 xml:space="preserve">(tai skaitā to filiāles ES dalībvalstīs) un </w:t>
      </w:r>
      <w:r w:rsidR="78B72E90" w:rsidRPr="00DD6B88">
        <w:rPr>
          <w:rFonts w:ascii="Times New Roman" w:hAnsi="Times New Roman"/>
          <w:sz w:val="24"/>
          <w:szCs w:val="24"/>
        </w:rPr>
        <w:t>NGL</w:t>
      </w:r>
      <w:r w:rsidR="78B72E90" w:rsidRPr="00DB1FE8">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paredzētajos gadījumos E</w:t>
      </w:r>
      <w:r w:rsidR="36C7D32D">
        <w:rPr>
          <w:rFonts w:ascii="Times New Roman" w:hAnsi="Times New Roman"/>
          <w:kern w:val="2"/>
          <w:sz w:val="24"/>
          <w:szCs w:val="24"/>
          <w14:ligatures w14:val="standardContextual"/>
        </w:rPr>
        <w:t xml:space="preserve">S </w:t>
      </w:r>
      <w:r w:rsidR="55D17584" w:rsidRPr="00DB1FE8">
        <w:rPr>
          <w:rFonts w:ascii="Times New Roman" w:hAnsi="Times New Roman"/>
          <w:kern w:val="2"/>
          <w:sz w:val="24"/>
          <w:szCs w:val="24"/>
          <w14:ligatures w14:val="standardContextual"/>
        </w:rPr>
        <w:t xml:space="preserve">dalībvalsts </w:t>
      </w:r>
      <w:r w:rsidR="00D57E7F">
        <w:rPr>
          <w:rFonts w:ascii="Times New Roman" w:hAnsi="Times New Roman"/>
          <w:kern w:val="2"/>
          <w:sz w:val="24"/>
          <w:szCs w:val="24"/>
          <w14:ligatures w14:val="standardContextual"/>
        </w:rPr>
        <w:t>kredītiestādes</w:t>
      </w:r>
      <w:r w:rsidR="00D57E7F" w:rsidRPr="00DB1FE8">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 xml:space="preserve">filiāle Latvijā, kā arī ārvalstu </w:t>
      </w:r>
      <w:r w:rsidR="00D57E7F">
        <w:rPr>
          <w:rFonts w:ascii="Times New Roman" w:eastAsia="Times New Roman" w:hAnsi="Times New Roman"/>
          <w:sz w:val="24"/>
          <w:szCs w:val="24"/>
        </w:rPr>
        <w:t>kredītiestāžu</w:t>
      </w:r>
      <w:r w:rsidR="55D17584" w:rsidRPr="00DB1FE8">
        <w:rPr>
          <w:rFonts w:ascii="Times New Roman" w:hAnsi="Times New Roman"/>
          <w:kern w:val="2"/>
          <w:sz w:val="24"/>
          <w:szCs w:val="24"/>
          <w14:ligatures w14:val="standardContextual"/>
        </w:rPr>
        <w:t xml:space="preserve"> filiāles un krājaizdevu</w:t>
      </w:r>
      <w:r w:rsidR="55D17584">
        <w:rPr>
          <w:rFonts w:ascii="Times New Roman" w:hAnsi="Times New Roman"/>
          <w:kern w:val="2"/>
          <w:sz w:val="24"/>
          <w:szCs w:val="24"/>
          <w14:ligatures w14:val="standardContextual"/>
        </w:rPr>
        <w:t>mu</w:t>
      </w:r>
      <w:r w:rsidR="55D17584" w:rsidRPr="00DB1FE8">
        <w:rPr>
          <w:rFonts w:ascii="Times New Roman" w:hAnsi="Times New Roman"/>
          <w:kern w:val="2"/>
          <w:sz w:val="24"/>
          <w:szCs w:val="24"/>
          <w14:ligatures w14:val="standardContextual"/>
        </w:rPr>
        <w:t xml:space="preserve"> sabiedrības</w:t>
      </w:r>
      <w:r w:rsidR="00DF1254" w:rsidRPr="00DB1FE8">
        <w:rPr>
          <w:rFonts w:ascii="Times New Roman" w:eastAsia="Times New Roman" w:hAnsi="Times New Roman"/>
          <w:sz w:val="24"/>
          <w:szCs w:val="24"/>
          <w:vertAlign w:val="superscript"/>
        </w:rPr>
        <w:footnoteReference w:id="51"/>
      </w:r>
      <w:r w:rsidR="55D17584" w:rsidRPr="00DB1FE8">
        <w:rPr>
          <w:kern w:val="2"/>
          <w14:ligatures w14:val="standardContextual"/>
        </w:rPr>
        <w:t>.</w:t>
      </w:r>
      <w:r w:rsidR="15DC514B" w:rsidRPr="001E1B5A">
        <w:rPr>
          <w:rFonts w:ascii="Times New Roman" w:hAnsi="Times New Roman"/>
          <w:sz w:val="24"/>
          <w:szCs w:val="24"/>
        </w:rPr>
        <w:t xml:space="preserve"> </w:t>
      </w:r>
    </w:p>
    <w:p w14:paraId="032D3867" w14:textId="1AD898C0" w:rsidR="001C210B" w:rsidRPr="00DB1FE8" w:rsidRDefault="008A47BB" w:rsidP="469479B5">
      <w:pPr>
        <w:spacing w:after="0" w:line="240" w:lineRule="auto"/>
        <w:ind w:firstLine="720"/>
        <w:jc w:val="both"/>
        <w:rPr>
          <w:rFonts w:ascii="Times New Roman" w:hAnsi="Times New Roman"/>
          <w:sz w:val="24"/>
          <w:szCs w:val="24"/>
        </w:rPr>
      </w:pPr>
      <w:r w:rsidRPr="00D4726F">
        <w:rPr>
          <w:rFonts w:ascii="Times New Roman" w:hAnsi="Times New Roman"/>
          <w:sz w:val="24"/>
          <w:szCs w:val="24"/>
        </w:rPr>
        <w:t xml:space="preserve">Gadījumā, ja AS </w:t>
      </w:r>
      <w:r w:rsidR="00BE3C05">
        <w:rPr>
          <w:rFonts w:ascii="Times New Roman" w:hAnsi="Times New Roman"/>
          <w:sz w:val="24"/>
          <w:szCs w:val="24"/>
        </w:rPr>
        <w:t>“</w:t>
      </w:r>
      <w:r w:rsidRPr="00D4726F">
        <w:rPr>
          <w:rFonts w:ascii="Times New Roman" w:hAnsi="Times New Roman"/>
          <w:sz w:val="24"/>
          <w:szCs w:val="24"/>
        </w:rPr>
        <w:t>SEB banka</w:t>
      </w:r>
      <w:r w:rsidR="00BE3C05">
        <w:rPr>
          <w:rFonts w:ascii="Times New Roman" w:hAnsi="Times New Roman"/>
          <w:sz w:val="24"/>
          <w:szCs w:val="24"/>
        </w:rPr>
        <w:t>”</w:t>
      </w:r>
      <w:r w:rsidRPr="00D4726F">
        <w:rPr>
          <w:rFonts w:ascii="Times New Roman" w:hAnsi="Times New Roman"/>
          <w:sz w:val="24"/>
          <w:szCs w:val="24"/>
        </w:rPr>
        <w:t xml:space="preserve"> 2027. gadā tiks reorganizēta par </w:t>
      </w:r>
      <w:r>
        <w:rPr>
          <w:rFonts w:ascii="Times New Roman" w:hAnsi="Times New Roman"/>
          <w:sz w:val="24"/>
          <w:szCs w:val="24"/>
        </w:rPr>
        <w:t xml:space="preserve">ES </w:t>
      </w:r>
      <w:r w:rsidRPr="00BD1B82">
        <w:rPr>
          <w:rFonts w:ascii="Times New Roman" w:hAnsi="Times New Roman"/>
          <w:sz w:val="24"/>
          <w:szCs w:val="24"/>
        </w:rPr>
        <w:t>dalībvalsts</w:t>
      </w:r>
      <w:r w:rsidRPr="00D4726F">
        <w:rPr>
          <w:rFonts w:ascii="Times New Roman" w:hAnsi="Times New Roman"/>
          <w:sz w:val="24"/>
          <w:szCs w:val="24"/>
        </w:rPr>
        <w:t xml:space="preserve"> kredītiestādes filiāli Latvijā un izstāsies no Latvijas NGF, šīs izmaiņas būtiski neietekmēs </w:t>
      </w:r>
      <w:r>
        <w:rPr>
          <w:rFonts w:ascii="Times New Roman" w:hAnsi="Times New Roman"/>
          <w:sz w:val="24"/>
          <w:szCs w:val="24"/>
        </w:rPr>
        <w:t>NGF</w:t>
      </w:r>
      <w:r w:rsidRPr="00D4726F">
        <w:rPr>
          <w:rFonts w:ascii="Times New Roman" w:hAnsi="Times New Roman"/>
          <w:sz w:val="24"/>
          <w:szCs w:val="24"/>
        </w:rPr>
        <w:t xml:space="preserve"> mērķa</w:t>
      </w:r>
      <w:r>
        <w:rPr>
          <w:rFonts w:ascii="Times New Roman" w:hAnsi="Times New Roman"/>
          <w:sz w:val="24"/>
          <w:szCs w:val="24"/>
        </w:rPr>
        <w:t xml:space="preserve"> līmeni</w:t>
      </w:r>
      <w:r w:rsidRPr="00D4726F">
        <w:rPr>
          <w:rFonts w:ascii="Times New Roman" w:hAnsi="Times New Roman"/>
          <w:sz w:val="24"/>
          <w:szCs w:val="24"/>
        </w:rPr>
        <w:t xml:space="preserve"> vai </w:t>
      </w:r>
      <w:r>
        <w:rPr>
          <w:rFonts w:ascii="Times New Roman" w:hAnsi="Times New Roman"/>
          <w:sz w:val="24"/>
          <w:szCs w:val="24"/>
        </w:rPr>
        <w:t xml:space="preserve">tajā </w:t>
      </w:r>
      <w:r w:rsidRPr="00D4726F">
        <w:rPr>
          <w:rFonts w:ascii="Times New Roman" w:hAnsi="Times New Roman"/>
          <w:sz w:val="24"/>
          <w:szCs w:val="24"/>
        </w:rPr>
        <w:t xml:space="preserve">uzkrāto atlikumu. Tomēr aprēķinātie prognozētie iemaksu apjomi </w:t>
      </w:r>
      <w:r>
        <w:rPr>
          <w:rFonts w:ascii="Times New Roman" w:hAnsi="Times New Roman"/>
          <w:sz w:val="24"/>
          <w:szCs w:val="24"/>
        </w:rPr>
        <w:t>NGF</w:t>
      </w:r>
      <w:r w:rsidRPr="00D4726F">
        <w:rPr>
          <w:rFonts w:ascii="Times New Roman" w:hAnsi="Times New Roman"/>
          <w:sz w:val="24"/>
          <w:szCs w:val="24"/>
        </w:rPr>
        <w:t xml:space="preserve"> samazināsies par aptuveni </w:t>
      </w:r>
      <w:r>
        <w:rPr>
          <w:rFonts w:ascii="Times New Roman" w:hAnsi="Times New Roman"/>
          <w:sz w:val="24"/>
          <w:szCs w:val="24"/>
        </w:rPr>
        <w:t>5</w:t>
      </w:r>
      <w:r w:rsidR="00D57E7F">
        <w:rPr>
          <w:rFonts w:ascii="Times New Roman" w:hAnsi="Times New Roman"/>
          <w:sz w:val="24"/>
          <w:szCs w:val="24"/>
        </w:rPr>
        <w:t xml:space="preserve"> </w:t>
      </w:r>
      <w:r w:rsidRPr="00D4726F">
        <w:rPr>
          <w:rFonts w:ascii="Times New Roman" w:hAnsi="Times New Roman"/>
          <w:sz w:val="24"/>
          <w:szCs w:val="24"/>
        </w:rPr>
        <w:t>milj</w:t>
      </w:r>
      <w:r>
        <w:rPr>
          <w:rFonts w:ascii="Times New Roman" w:hAnsi="Times New Roman"/>
          <w:sz w:val="24"/>
          <w:szCs w:val="24"/>
        </w:rPr>
        <w:t>.</w:t>
      </w:r>
      <w:r w:rsidRPr="00D4726F">
        <w:rPr>
          <w:rFonts w:ascii="Times New Roman" w:hAnsi="Times New Roman"/>
          <w:sz w:val="24"/>
          <w:szCs w:val="24"/>
        </w:rPr>
        <w:t xml:space="preserve"> </w:t>
      </w:r>
      <w:r w:rsidRPr="469479B5">
        <w:rPr>
          <w:rFonts w:ascii="Times New Roman" w:hAnsi="Times New Roman"/>
          <w:i/>
          <w:iCs/>
          <w:sz w:val="24"/>
          <w:szCs w:val="24"/>
        </w:rPr>
        <w:t>euro</w:t>
      </w:r>
      <w:r w:rsidRPr="00D4726F">
        <w:rPr>
          <w:rFonts w:ascii="Times New Roman" w:hAnsi="Times New Roman"/>
          <w:sz w:val="24"/>
          <w:szCs w:val="24"/>
        </w:rPr>
        <w:t xml:space="preserve"> gadā.</w:t>
      </w:r>
      <w:r>
        <w:rPr>
          <w:rFonts w:ascii="Times New Roman" w:hAnsi="Times New Roman"/>
          <w:sz w:val="24"/>
          <w:szCs w:val="24"/>
        </w:rPr>
        <w:t xml:space="preserve"> </w:t>
      </w:r>
      <w:r w:rsidRPr="00BD1B82">
        <w:rPr>
          <w:rFonts w:ascii="Times New Roman" w:hAnsi="Times New Roman"/>
          <w:sz w:val="24"/>
          <w:szCs w:val="24"/>
        </w:rPr>
        <w:t xml:space="preserve">Saskaņā ar ES Direktīvas 2014/49/ES 14. pantu, </w:t>
      </w:r>
      <w:r>
        <w:rPr>
          <w:rFonts w:ascii="Times New Roman" w:hAnsi="Times New Roman"/>
          <w:sz w:val="24"/>
          <w:szCs w:val="24"/>
        </w:rPr>
        <w:t>kredītiestādes</w:t>
      </w:r>
      <w:r w:rsidRPr="00BD1B82">
        <w:rPr>
          <w:rFonts w:ascii="Times New Roman" w:hAnsi="Times New Roman"/>
          <w:sz w:val="24"/>
          <w:szCs w:val="24"/>
        </w:rPr>
        <w:t xml:space="preserve"> var pāriet no vienas dalībvalsts noguldījumu garantiju sistēmas uz citas dalībvalsts sistēmu. Šādā gadījumā iemaksas, kas veiktas 12 mēnešu laikā pirms izstāšanās, tiek pārskaitītas uz </w:t>
      </w:r>
      <w:r>
        <w:rPr>
          <w:rFonts w:ascii="Times New Roman" w:hAnsi="Times New Roman"/>
          <w:sz w:val="24"/>
          <w:szCs w:val="24"/>
        </w:rPr>
        <w:t xml:space="preserve">citas </w:t>
      </w:r>
      <w:r w:rsidRPr="00BD1B82">
        <w:rPr>
          <w:rFonts w:ascii="Times New Roman" w:hAnsi="Times New Roman"/>
          <w:sz w:val="24"/>
          <w:szCs w:val="24"/>
        </w:rPr>
        <w:t xml:space="preserve">dalībvalsts </w:t>
      </w:r>
      <w:r>
        <w:rPr>
          <w:rFonts w:ascii="Times New Roman" w:hAnsi="Times New Roman"/>
          <w:sz w:val="24"/>
          <w:szCs w:val="24"/>
        </w:rPr>
        <w:t xml:space="preserve">noguldījumu </w:t>
      </w:r>
      <w:r w:rsidRPr="00BD1B82">
        <w:rPr>
          <w:rFonts w:ascii="Times New Roman" w:hAnsi="Times New Roman"/>
          <w:sz w:val="24"/>
          <w:szCs w:val="24"/>
        </w:rPr>
        <w:t>garantiju fondu.</w:t>
      </w:r>
      <w:r>
        <w:rPr>
          <w:rFonts w:ascii="Times New Roman" w:hAnsi="Times New Roman"/>
          <w:sz w:val="24"/>
          <w:szCs w:val="24"/>
        </w:rPr>
        <w:t xml:space="preserve"> </w:t>
      </w:r>
      <w:r w:rsidRPr="00BD1B82">
        <w:rPr>
          <w:rFonts w:ascii="Times New Roman" w:hAnsi="Times New Roman"/>
          <w:sz w:val="24"/>
          <w:szCs w:val="24"/>
        </w:rPr>
        <w:t xml:space="preserve">Tādējādi, </w:t>
      </w:r>
      <w:bookmarkStart w:id="136" w:name="_Hlk205281737"/>
      <w:r w:rsidRPr="00BD1B82">
        <w:rPr>
          <w:rFonts w:ascii="Times New Roman" w:hAnsi="Times New Roman"/>
          <w:sz w:val="24"/>
          <w:szCs w:val="24"/>
        </w:rPr>
        <w:t xml:space="preserve">ja AS </w:t>
      </w:r>
      <w:r w:rsidR="00BE3C05">
        <w:rPr>
          <w:rFonts w:ascii="Times New Roman" w:hAnsi="Times New Roman"/>
          <w:sz w:val="24"/>
          <w:szCs w:val="24"/>
        </w:rPr>
        <w:t>“</w:t>
      </w:r>
      <w:r w:rsidRPr="00BD1B82">
        <w:rPr>
          <w:rFonts w:ascii="Times New Roman" w:hAnsi="Times New Roman"/>
          <w:sz w:val="24"/>
          <w:szCs w:val="24"/>
        </w:rPr>
        <w:t>SEB banka</w:t>
      </w:r>
      <w:r w:rsidR="00BE3C05">
        <w:rPr>
          <w:rFonts w:ascii="Times New Roman" w:hAnsi="Times New Roman"/>
          <w:sz w:val="24"/>
          <w:szCs w:val="24"/>
        </w:rPr>
        <w:t>”</w:t>
      </w:r>
      <w:r w:rsidRPr="00BD1B82">
        <w:rPr>
          <w:rFonts w:ascii="Times New Roman" w:hAnsi="Times New Roman"/>
          <w:sz w:val="24"/>
          <w:szCs w:val="24"/>
        </w:rPr>
        <w:t xml:space="preserve"> reorganizācija stāsies spēkā 2027. gada 1. janvārī, </w:t>
      </w:r>
      <w:r w:rsidR="00752685">
        <w:rPr>
          <w:rFonts w:ascii="Times New Roman" w:hAnsi="Times New Roman"/>
          <w:sz w:val="24"/>
          <w:szCs w:val="24"/>
        </w:rPr>
        <w:t xml:space="preserve">no </w:t>
      </w:r>
      <w:r w:rsidRPr="00BD1B82">
        <w:rPr>
          <w:rFonts w:ascii="Times New Roman" w:hAnsi="Times New Roman"/>
          <w:sz w:val="24"/>
          <w:szCs w:val="24"/>
        </w:rPr>
        <w:t xml:space="preserve">Latvijas NGF būs jāpārskaita uz Igaunijas NGF aptuveni </w:t>
      </w:r>
      <w:r>
        <w:rPr>
          <w:rFonts w:ascii="Times New Roman" w:hAnsi="Times New Roman"/>
          <w:sz w:val="24"/>
          <w:szCs w:val="24"/>
        </w:rPr>
        <w:t>5</w:t>
      </w:r>
      <w:r w:rsidRPr="00BD1B82">
        <w:rPr>
          <w:rFonts w:ascii="Times New Roman" w:hAnsi="Times New Roman"/>
          <w:sz w:val="24"/>
          <w:szCs w:val="24"/>
        </w:rPr>
        <w:t xml:space="preserve"> milj</w:t>
      </w:r>
      <w:r>
        <w:rPr>
          <w:rFonts w:ascii="Times New Roman" w:hAnsi="Times New Roman"/>
          <w:sz w:val="24"/>
          <w:szCs w:val="24"/>
        </w:rPr>
        <w:t>.</w:t>
      </w:r>
      <w:r w:rsidRPr="00BD1B82">
        <w:rPr>
          <w:rFonts w:ascii="Times New Roman" w:hAnsi="Times New Roman"/>
          <w:sz w:val="24"/>
          <w:szCs w:val="24"/>
        </w:rPr>
        <w:t xml:space="preserve"> </w:t>
      </w:r>
      <w:r w:rsidRPr="469479B5">
        <w:rPr>
          <w:rFonts w:ascii="Times New Roman" w:hAnsi="Times New Roman"/>
          <w:i/>
          <w:iCs/>
          <w:sz w:val="24"/>
          <w:szCs w:val="24"/>
        </w:rPr>
        <w:t>euro</w:t>
      </w:r>
      <w:r>
        <w:rPr>
          <w:rFonts w:ascii="Times New Roman" w:hAnsi="Times New Roman"/>
          <w:sz w:val="24"/>
          <w:szCs w:val="24"/>
        </w:rPr>
        <w:t xml:space="preserve">, </w:t>
      </w:r>
      <w:r w:rsidRPr="00D4726F">
        <w:rPr>
          <w:rFonts w:ascii="Times New Roman" w:hAnsi="Times New Roman"/>
          <w:sz w:val="24"/>
          <w:szCs w:val="24"/>
        </w:rPr>
        <w:t>pamatojoties uz 2026. gadā aprēķinātajām prognozētajām iemaksām</w:t>
      </w:r>
      <w:r>
        <w:rPr>
          <w:rFonts w:ascii="Times New Roman" w:hAnsi="Times New Roman"/>
          <w:sz w:val="24"/>
          <w:szCs w:val="24"/>
        </w:rPr>
        <w:t>.</w:t>
      </w:r>
      <w:bookmarkEnd w:id="136"/>
    </w:p>
    <w:p w14:paraId="0FC46479" w14:textId="3651975A" w:rsidR="005F336D" w:rsidRPr="00DB1FE8" w:rsidRDefault="6273B60F"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CSP, pamatojoties uz ES statistikas biroja </w:t>
      </w:r>
      <w:r w:rsidRPr="469479B5">
        <w:rPr>
          <w:rFonts w:ascii="Times New Roman" w:hAnsi="Times New Roman"/>
          <w:i/>
          <w:iCs/>
          <w:sz w:val="24"/>
          <w:szCs w:val="24"/>
        </w:rPr>
        <w:t>Eurostat</w:t>
      </w:r>
      <w:r w:rsidRPr="469479B5">
        <w:rPr>
          <w:rFonts w:ascii="Times New Roman" w:hAnsi="Times New Roman"/>
          <w:sz w:val="24"/>
          <w:szCs w:val="24"/>
        </w:rPr>
        <w:t xml:space="preserve"> ieteikumu, </w:t>
      </w:r>
      <w:r w:rsidR="29EE94BF" w:rsidRPr="469479B5">
        <w:rPr>
          <w:rFonts w:ascii="Times New Roman" w:hAnsi="Times New Roman"/>
          <w:sz w:val="24"/>
          <w:szCs w:val="24"/>
        </w:rPr>
        <w:t>saistībā ar metodoloģiskajām izmaiņām 2017.</w:t>
      </w:r>
      <w:r w:rsidR="1E0E41B6" w:rsidRPr="469479B5">
        <w:rPr>
          <w:rFonts w:ascii="Times New Roman" w:hAnsi="Times New Roman" w:cs="Times New Roman"/>
          <w:b/>
          <w:bCs/>
          <w:sz w:val="24"/>
          <w:szCs w:val="24"/>
        </w:rPr>
        <w:t xml:space="preserve"> </w:t>
      </w:r>
      <w:r w:rsidR="29EE94BF" w:rsidRPr="469479B5">
        <w:rPr>
          <w:rFonts w:ascii="Times New Roman" w:hAnsi="Times New Roman"/>
          <w:sz w:val="24"/>
          <w:szCs w:val="24"/>
        </w:rPr>
        <w:t xml:space="preserve">gadā </w:t>
      </w:r>
      <w:r w:rsidRPr="469479B5">
        <w:rPr>
          <w:rFonts w:ascii="Times New Roman" w:hAnsi="Times New Roman"/>
          <w:sz w:val="24"/>
          <w:szCs w:val="24"/>
        </w:rPr>
        <w:t xml:space="preserve">attiecināja NGF darbības plūsmas uz vispārējās valdības sektoru. Izmaiņu rezultātā NGF saņemtie ikgadējie maksājumi no noguldītāju piesaistītāju (t.i. </w:t>
      </w:r>
      <w:r w:rsidR="00D57E7F">
        <w:rPr>
          <w:rFonts w:ascii="Times New Roman" w:eastAsia="Times New Roman" w:hAnsi="Times New Roman"/>
          <w:sz w:val="24"/>
          <w:szCs w:val="24"/>
        </w:rPr>
        <w:t>kredītiestāžu</w:t>
      </w:r>
      <w:r w:rsidRPr="469479B5">
        <w:rPr>
          <w:rFonts w:ascii="Times New Roman" w:hAnsi="Times New Roman"/>
          <w:sz w:val="24"/>
          <w:szCs w:val="24"/>
        </w:rPr>
        <w:t xml:space="preserve"> un krājaizdevumu sabiedrību) maksājumiem un līdzekļu pārvaldīšanā gūtajiem ienākumiem tiek uzskaitīti kā vispārējās valdības ieņēmumi. Savukārt gadījumos, kuros </w:t>
      </w:r>
      <w:r w:rsidR="50B60485" w:rsidRPr="469479B5">
        <w:rPr>
          <w:rFonts w:ascii="Times New Roman" w:hAnsi="Times New Roman"/>
          <w:sz w:val="24"/>
          <w:szCs w:val="24"/>
        </w:rPr>
        <w:t>NGF</w:t>
      </w:r>
      <w:r w:rsidRPr="469479B5">
        <w:rPr>
          <w:rFonts w:ascii="Times New Roman" w:hAnsi="Times New Roman"/>
          <w:sz w:val="24"/>
          <w:szCs w:val="24"/>
        </w:rPr>
        <w:t xml:space="preserve"> atzīst neatgūstamās prasības, par attiecīgo summu tiek uzskaitīti vispārējās valdības izdevumi. </w:t>
      </w:r>
    </w:p>
    <w:p w14:paraId="28958A85" w14:textId="5D042E97" w:rsidR="006D2B00" w:rsidRDefault="0C7390AD" w:rsidP="469479B5">
      <w:pPr>
        <w:spacing w:after="0" w:line="240" w:lineRule="auto"/>
        <w:ind w:firstLine="720"/>
        <w:jc w:val="both"/>
        <w:rPr>
          <w:rFonts w:ascii="Times New Roman" w:hAnsi="Times New Roman"/>
          <w:i/>
          <w:iCs/>
          <w:sz w:val="24"/>
          <w:szCs w:val="24"/>
        </w:rPr>
      </w:pPr>
      <w:r w:rsidRPr="469479B5">
        <w:rPr>
          <w:rFonts w:ascii="Times New Roman" w:hAnsi="Times New Roman"/>
          <w:sz w:val="24"/>
          <w:szCs w:val="24"/>
        </w:rPr>
        <w:t xml:space="preserve">2019. gada 16. augustā FKTK padome pieņēma lēmumu par noguldījumu piesaistītāja MAS </w:t>
      </w:r>
      <w:r w:rsidR="00BE3C05">
        <w:rPr>
          <w:rFonts w:ascii="Times New Roman" w:hAnsi="Times New Roman"/>
          <w:sz w:val="24"/>
          <w:szCs w:val="24"/>
        </w:rPr>
        <w:t>“</w:t>
      </w:r>
      <w:r w:rsidRPr="469479B5">
        <w:rPr>
          <w:rFonts w:ascii="Times New Roman" w:hAnsi="Times New Roman"/>
          <w:sz w:val="24"/>
          <w:szCs w:val="24"/>
        </w:rPr>
        <w:t>PNB Banka</w:t>
      </w:r>
      <w:r w:rsidR="00BE3C05">
        <w:rPr>
          <w:rFonts w:ascii="Times New Roman" w:hAnsi="Times New Roman"/>
          <w:sz w:val="24"/>
          <w:szCs w:val="24"/>
        </w:rPr>
        <w:t>”</w:t>
      </w:r>
      <w:r w:rsidRPr="469479B5">
        <w:rPr>
          <w:rFonts w:ascii="Times New Roman" w:hAnsi="Times New Roman"/>
          <w:sz w:val="24"/>
          <w:szCs w:val="24"/>
        </w:rPr>
        <w:t xml:space="preserve"> noguldījumu nepieejamības iestāšanos. 2019. gada 22. augustā tika uzsākta garantēto atlīdzību izmaksa noguldītājiem</w:t>
      </w:r>
      <w:r w:rsidR="001249C2">
        <w:rPr>
          <w:rFonts w:ascii="Times New Roman" w:hAnsi="Times New Roman"/>
          <w:sz w:val="24"/>
          <w:szCs w:val="24"/>
        </w:rPr>
        <w:t xml:space="preserve">, </w:t>
      </w:r>
      <w:r w:rsidR="00C74492">
        <w:rPr>
          <w:rFonts w:ascii="Times New Roman" w:hAnsi="Times New Roman"/>
          <w:sz w:val="24"/>
          <w:szCs w:val="24"/>
        </w:rPr>
        <w:t xml:space="preserve">savukārt </w:t>
      </w:r>
      <w:r w:rsidR="001249C2">
        <w:rPr>
          <w:rFonts w:ascii="Times New Roman" w:hAnsi="Times New Roman"/>
          <w:sz w:val="24"/>
          <w:szCs w:val="24"/>
        </w:rPr>
        <w:t>lai pieteiktos garantētās atlīdzības izmaksai, noguldītājiem noteiktais termiņš beidzās</w:t>
      </w:r>
      <w:r w:rsidR="15DC514B" w:rsidRPr="469479B5">
        <w:rPr>
          <w:rFonts w:ascii="Times New Roman" w:hAnsi="Times New Roman"/>
          <w:sz w:val="24"/>
          <w:szCs w:val="24"/>
        </w:rPr>
        <w:t xml:space="preserve"> 2024. gada 15. augustā. </w:t>
      </w:r>
      <w:r w:rsidR="45826A15" w:rsidRPr="469479B5">
        <w:rPr>
          <w:rFonts w:ascii="Times New Roman" w:hAnsi="Times New Roman"/>
          <w:sz w:val="24"/>
          <w:szCs w:val="24"/>
        </w:rPr>
        <w:t xml:space="preserve">NGF </w:t>
      </w:r>
      <w:r w:rsidR="00AF1FF2" w:rsidRPr="469479B5">
        <w:rPr>
          <w:rFonts w:ascii="Times New Roman" w:hAnsi="Times New Roman"/>
          <w:sz w:val="24"/>
          <w:szCs w:val="24"/>
        </w:rPr>
        <w:t>202</w:t>
      </w:r>
      <w:r w:rsidR="00AF1FF2">
        <w:rPr>
          <w:rFonts w:ascii="Times New Roman" w:hAnsi="Times New Roman"/>
          <w:sz w:val="24"/>
          <w:szCs w:val="24"/>
        </w:rPr>
        <w:t>4</w:t>
      </w:r>
      <w:r w:rsidR="15DC514B" w:rsidRPr="469479B5">
        <w:rPr>
          <w:rFonts w:ascii="Times New Roman" w:hAnsi="Times New Roman"/>
          <w:sz w:val="24"/>
          <w:szCs w:val="24"/>
        </w:rPr>
        <w:t xml:space="preserve">. gada </w:t>
      </w:r>
      <w:r w:rsidR="45826A15" w:rsidRPr="469479B5">
        <w:rPr>
          <w:rFonts w:ascii="Times New Roman" w:hAnsi="Times New Roman"/>
          <w:sz w:val="24"/>
          <w:szCs w:val="24"/>
        </w:rPr>
        <w:t xml:space="preserve">Darbības pārskats liecina, ka </w:t>
      </w:r>
      <w:r w:rsidR="00AF1FF2" w:rsidRPr="469479B5">
        <w:rPr>
          <w:rFonts w:ascii="Times New Roman" w:hAnsi="Times New Roman"/>
          <w:sz w:val="24"/>
          <w:szCs w:val="24"/>
        </w:rPr>
        <w:t>202</w:t>
      </w:r>
      <w:r w:rsidR="00AF1FF2">
        <w:rPr>
          <w:rFonts w:ascii="Times New Roman" w:hAnsi="Times New Roman"/>
          <w:sz w:val="24"/>
          <w:szCs w:val="24"/>
        </w:rPr>
        <w:t>4</w:t>
      </w:r>
      <w:r w:rsidRPr="469479B5">
        <w:rPr>
          <w:rFonts w:ascii="Times New Roman" w:hAnsi="Times New Roman"/>
          <w:sz w:val="24"/>
          <w:szCs w:val="24"/>
        </w:rPr>
        <w:t xml:space="preserve">. gada beigās NGF noguldītājiem bija izmaksājis garantētās atlīdzības </w:t>
      </w:r>
      <w:r w:rsidR="00AF1FF2">
        <w:rPr>
          <w:rFonts w:ascii="Times New Roman" w:hAnsi="Times New Roman"/>
          <w:sz w:val="24"/>
          <w:szCs w:val="24"/>
        </w:rPr>
        <w:t>271 164</w:t>
      </w:r>
      <w:r w:rsidRPr="469479B5">
        <w:rPr>
          <w:rFonts w:ascii="Times New Roman" w:hAnsi="Times New Roman"/>
          <w:sz w:val="24"/>
          <w:szCs w:val="24"/>
        </w:rPr>
        <w:t xml:space="preserve"> tūkst. </w:t>
      </w:r>
      <w:r w:rsidRPr="469479B5">
        <w:rPr>
          <w:rFonts w:ascii="Times New Roman" w:hAnsi="Times New Roman"/>
          <w:i/>
          <w:iCs/>
          <w:sz w:val="24"/>
          <w:szCs w:val="24"/>
        </w:rPr>
        <w:t>e</w:t>
      </w:r>
      <w:r w:rsidR="45826A15" w:rsidRPr="469479B5">
        <w:rPr>
          <w:rFonts w:ascii="Times New Roman" w:hAnsi="Times New Roman"/>
          <w:i/>
          <w:iCs/>
          <w:sz w:val="24"/>
          <w:szCs w:val="24"/>
        </w:rPr>
        <w:t>u</w:t>
      </w:r>
      <w:r w:rsidRPr="469479B5">
        <w:rPr>
          <w:rFonts w:ascii="Times New Roman" w:hAnsi="Times New Roman"/>
          <w:i/>
          <w:iCs/>
          <w:sz w:val="24"/>
          <w:szCs w:val="24"/>
        </w:rPr>
        <w:t>ro</w:t>
      </w:r>
      <w:r w:rsidRPr="469479B5">
        <w:rPr>
          <w:rFonts w:ascii="Times New Roman" w:hAnsi="Times New Roman"/>
          <w:sz w:val="24"/>
          <w:szCs w:val="24"/>
        </w:rPr>
        <w:t xml:space="preserve"> apmērā. Ņemot vērā likvidācijas procesa gaitu, noguldījumu piesaistītāja aktīvus un NGF segšanas iespējamību, </w:t>
      </w:r>
      <w:r w:rsidR="00AF1FF2" w:rsidRPr="469479B5">
        <w:rPr>
          <w:rFonts w:ascii="Times New Roman" w:hAnsi="Times New Roman"/>
          <w:sz w:val="24"/>
          <w:szCs w:val="24"/>
        </w:rPr>
        <w:t>202</w:t>
      </w:r>
      <w:r w:rsidR="00AF1FF2">
        <w:rPr>
          <w:rFonts w:ascii="Times New Roman" w:hAnsi="Times New Roman"/>
          <w:sz w:val="24"/>
          <w:szCs w:val="24"/>
        </w:rPr>
        <w:t>4</w:t>
      </w:r>
      <w:r w:rsidRPr="469479B5">
        <w:rPr>
          <w:rFonts w:ascii="Times New Roman" w:hAnsi="Times New Roman"/>
          <w:sz w:val="24"/>
          <w:szCs w:val="24"/>
        </w:rPr>
        <w:t xml:space="preserve">. gada beigās uzkrājumi par prasībām tika </w:t>
      </w:r>
      <w:r w:rsidR="000441E3">
        <w:rPr>
          <w:rFonts w:ascii="Times New Roman" w:hAnsi="Times New Roman"/>
          <w:sz w:val="24"/>
          <w:szCs w:val="24"/>
        </w:rPr>
        <w:t>palielināti</w:t>
      </w:r>
      <w:r w:rsidR="000459C4">
        <w:rPr>
          <w:rFonts w:ascii="Times New Roman" w:hAnsi="Times New Roman"/>
          <w:sz w:val="24"/>
          <w:szCs w:val="24"/>
        </w:rPr>
        <w:t xml:space="preserve"> </w:t>
      </w:r>
      <w:r w:rsidRPr="469479B5">
        <w:rPr>
          <w:rFonts w:ascii="Times New Roman" w:hAnsi="Times New Roman"/>
          <w:sz w:val="24"/>
          <w:szCs w:val="24"/>
        </w:rPr>
        <w:t xml:space="preserve">par </w:t>
      </w:r>
      <w:r w:rsidR="00AF1FF2">
        <w:rPr>
          <w:rFonts w:ascii="Times New Roman" w:hAnsi="Times New Roman"/>
          <w:sz w:val="24"/>
          <w:szCs w:val="24"/>
        </w:rPr>
        <w:t>7 025</w:t>
      </w:r>
      <w:r w:rsidR="00AF1FF2" w:rsidRPr="469479B5">
        <w:rPr>
          <w:rFonts w:ascii="Times New Roman" w:hAnsi="Times New Roman"/>
          <w:sz w:val="24"/>
          <w:szCs w:val="24"/>
        </w:rPr>
        <w:t xml:space="preserve"> </w:t>
      </w:r>
      <w:r w:rsidRPr="469479B5">
        <w:rPr>
          <w:rFonts w:ascii="Times New Roman" w:hAnsi="Times New Roman"/>
          <w:sz w:val="24"/>
          <w:szCs w:val="24"/>
        </w:rPr>
        <w:t xml:space="preserve">tūkst. </w:t>
      </w:r>
      <w:r w:rsidRPr="469479B5">
        <w:rPr>
          <w:rFonts w:ascii="Times New Roman" w:hAnsi="Times New Roman"/>
          <w:i/>
          <w:iCs/>
          <w:sz w:val="24"/>
          <w:szCs w:val="24"/>
        </w:rPr>
        <w:t>e</w:t>
      </w:r>
      <w:r w:rsidR="45826A15" w:rsidRPr="469479B5">
        <w:rPr>
          <w:rFonts w:ascii="Times New Roman" w:hAnsi="Times New Roman"/>
          <w:i/>
          <w:iCs/>
          <w:sz w:val="24"/>
          <w:szCs w:val="24"/>
        </w:rPr>
        <w:t>u</w:t>
      </w:r>
      <w:r w:rsidRPr="469479B5">
        <w:rPr>
          <w:rFonts w:ascii="Times New Roman" w:hAnsi="Times New Roman"/>
          <w:i/>
          <w:iCs/>
          <w:sz w:val="24"/>
          <w:szCs w:val="24"/>
        </w:rPr>
        <w:t>ro</w:t>
      </w:r>
      <w:r w:rsidRPr="469479B5">
        <w:rPr>
          <w:rFonts w:ascii="Times New Roman" w:hAnsi="Times New Roman"/>
          <w:sz w:val="24"/>
          <w:szCs w:val="24"/>
        </w:rPr>
        <w:t xml:space="preserve">, līdz ar to pārskata gada beigās izveidotie uzkrājumi neatgūstamām prasībām pret MAS </w:t>
      </w:r>
      <w:r w:rsidR="00BE3C05">
        <w:rPr>
          <w:rFonts w:ascii="Times New Roman" w:hAnsi="Times New Roman"/>
          <w:sz w:val="24"/>
          <w:szCs w:val="24"/>
        </w:rPr>
        <w:t>“</w:t>
      </w:r>
      <w:r w:rsidRPr="469479B5">
        <w:rPr>
          <w:rFonts w:ascii="Times New Roman" w:hAnsi="Times New Roman"/>
          <w:sz w:val="24"/>
          <w:szCs w:val="24"/>
        </w:rPr>
        <w:t>PNB Banka</w:t>
      </w:r>
      <w:r w:rsidR="00BE3C05">
        <w:rPr>
          <w:rFonts w:ascii="Times New Roman" w:hAnsi="Times New Roman"/>
          <w:sz w:val="24"/>
          <w:szCs w:val="24"/>
        </w:rPr>
        <w:t>”</w:t>
      </w:r>
      <w:r w:rsidRPr="469479B5">
        <w:rPr>
          <w:rFonts w:ascii="Times New Roman" w:hAnsi="Times New Roman"/>
          <w:sz w:val="24"/>
          <w:szCs w:val="24"/>
        </w:rPr>
        <w:t xml:space="preserve"> bija </w:t>
      </w:r>
      <w:r w:rsidR="00AF1FF2">
        <w:rPr>
          <w:rFonts w:ascii="Times New Roman" w:hAnsi="Times New Roman"/>
          <w:sz w:val="24"/>
          <w:szCs w:val="24"/>
        </w:rPr>
        <w:t>74 522</w:t>
      </w:r>
      <w:r w:rsidRPr="469479B5">
        <w:rPr>
          <w:rFonts w:ascii="Times New Roman" w:hAnsi="Times New Roman"/>
          <w:sz w:val="24"/>
          <w:szCs w:val="24"/>
        </w:rPr>
        <w:t xml:space="preserve"> tūkst. </w:t>
      </w:r>
      <w:r w:rsidRPr="469479B5">
        <w:rPr>
          <w:rFonts w:ascii="Times New Roman" w:hAnsi="Times New Roman"/>
          <w:i/>
          <w:iCs/>
          <w:sz w:val="24"/>
          <w:szCs w:val="24"/>
        </w:rPr>
        <w:t>e</w:t>
      </w:r>
      <w:r w:rsidR="45826A15" w:rsidRPr="469479B5">
        <w:rPr>
          <w:rFonts w:ascii="Times New Roman" w:hAnsi="Times New Roman"/>
          <w:i/>
          <w:iCs/>
          <w:sz w:val="24"/>
          <w:szCs w:val="24"/>
        </w:rPr>
        <w:t>u</w:t>
      </w:r>
      <w:r w:rsidRPr="469479B5">
        <w:rPr>
          <w:rFonts w:ascii="Times New Roman" w:hAnsi="Times New Roman"/>
          <w:i/>
          <w:iCs/>
          <w:sz w:val="24"/>
          <w:szCs w:val="24"/>
        </w:rPr>
        <w:t>ro</w:t>
      </w:r>
      <w:r w:rsidR="0F6751AA" w:rsidRPr="469479B5">
        <w:rPr>
          <w:rFonts w:ascii="Times New Roman" w:hAnsi="Times New Roman"/>
          <w:sz w:val="24"/>
          <w:szCs w:val="24"/>
        </w:rPr>
        <w:t>, kas attiecīgi pasliktināja vispārējās valdības budžeta bilanci</w:t>
      </w:r>
      <w:r w:rsidR="003F686D">
        <w:rPr>
          <w:rFonts w:ascii="Times New Roman" w:hAnsi="Times New Roman"/>
          <w:i/>
          <w:iCs/>
          <w:sz w:val="24"/>
          <w:szCs w:val="24"/>
        </w:rPr>
        <w:t xml:space="preserve"> </w:t>
      </w:r>
      <w:r w:rsidR="37998A45" w:rsidRPr="469479B5">
        <w:rPr>
          <w:rFonts w:ascii="Times New Roman" w:hAnsi="Times New Roman"/>
          <w:sz w:val="24"/>
          <w:szCs w:val="24"/>
        </w:rPr>
        <w:t xml:space="preserve">(66 500 tūkst. </w:t>
      </w:r>
      <w:r w:rsidR="37998A45" w:rsidRPr="469479B5">
        <w:rPr>
          <w:rFonts w:ascii="Times New Roman" w:hAnsi="Times New Roman"/>
          <w:i/>
          <w:iCs/>
          <w:sz w:val="24"/>
          <w:szCs w:val="24"/>
        </w:rPr>
        <w:t>euro</w:t>
      </w:r>
      <w:r w:rsidR="37998A45" w:rsidRPr="469479B5">
        <w:rPr>
          <w:rFonts w:ascii="Times New Roman" w:hAnsi="Times New Roman"/>
          <w:sz w:val="24"/>
          <w:szCs w:val="24"/>
        </w:rPr>
        <w:t xml:space="preserve"> 2021.</w:t>
      </w:r>
      <w:r w:rsidR="4447E8D4" w:rsidRPr="469479B5">
        <w:rPr>
          <w:rFonts w:ascii="Times New Roman" w:hAnsi="Times New Roman" w:cs="Times New Roman"/>
          <w:b/>
          <w:bCs/>
          <w:sz w:val="24"/>
          <w:szCs w:val="24"/>
        </w:rPr>
        <w:t xml:space="preserve"> </w:t>
      </w:r>
      <w:r w:rsidR="37998A45" w:rsidRPr="469479B5">
        <w:rPr>
          <w:rFonts w:ascii="Times New Roman" w:hAnsi="Times New Roman"/>
          <w:sz w:val="24"/>
          <w:szCs w:val="24"/>
        </w:rPr>
        <w:t xml:space="preserve">gadā negatīva ietekme, 1 717 tūkst. </w:t>
      </w:r>
      <w:r w:rsidR="37998A45" w:rsidRPr="469479B5">
        <w:rPr>
          <w:rFonts w:ascii="Times New Roman" w:hAnsi="Times New Roman"/>
          <w:i/>
          <w:iCs/>
          <w:sz w:val="24"/>
          <w:szCs w:val="24"/>
        </w:rPr>
        <w:t>euro</w:t>
      </w:r>
      <w:r w:rsidR="37998A45" w:rsidRPr="469479B5">
        <w:rPr>
          <w:rFonts w:ascii="Times New Roman" w:hAnsi="Times New Roman"/>
          <w:sz w:val="24"/>
          <w:szCs w:val="24"/>
        </w:rPr>
        <w:t xml:space="preserve"> 2022.</w:t>
      </w:r>
      <w:r w:rsidR="162D1A4B" w:rsidRPr="469479B5">
        <w:rPr>
          <w:rFonts w:ascii="Times New Roman" w:hAnsi="Times New Roman" w:cs="Times New Roman"/>
          <w:b/>
          <w:bCs/>
          <w:sz w:val="24"/>
          <w:szCs w:val="24"/>
        </w:rPr>
        <w:t xml:space="preserve"> </w:t>
      </w:r>
      <w:r w:rsidR="37998A45" w:rsidRPr="469479B5">
        <w:rPr>
          <w:rFonts w:ascii="Times New Roman" w:hAnsi="Times New Roman"/>
          <w:sz w:val="24"/>
          <w:szCs w:val="24"/>
        </w:rPr>
        <w:t xml:space="preserve">gadā negatīva ietekme un 720 tūkst. </w:t>
      </w:r>
      <w:r w:rsidR="37998A45" w:rsidRPr="469479B5">
        <w:rPr>
          <w:rFonts w:ascii="Times New Roman" w:hAnsi="Times New Roman"/>
          <w:i/>
          <w:iCs/>
          <w:sz w:val="24"/>
          <w:szCs w:val="24"/>
        </w:rPr>
        <w:t>euro</w:t>
      </w:r>
      <w:r w:rsidR="37998A45" w:rsidRPr="469479B5">
        <w:rPr>
          <w:rFonts w:ascii="Times New Roman" w:hAnsi="Times New Roman"/>
          <w:sz w:val="24"/>
          <w:szCs w:val="24"/>
        </w:rPr>
        <w:t xml:space="preserve"> 2023.</w:t>
      </w:r>
      <w:r w:rsidR="4303870B" w:rsidRPr="469479B5">
        <w:rPr>
          <w:rFonts w:ascii="Times New Roman" w:hAnsi="Times New Roman" w:cs="Times New Roman"/>
          <w:b/>
          <w:bCs/>
          <w:sz w:val="24"/>
          <w:szCs w:val="24"/>
        </w:rPr>
        <w:t xml:space="preserve"> </w:t>
      </w:r>
      <w:r w:rsidR="37998A45" w:rsidRPr="469479B5">
        <w:rPr>
          <w:rFonts w:ascii="Times New Roman" w:hAnsi="Times New Roman"/>
          <w:sz w:val="24"/>
          <w:szCs w:val="24"/>
        </w:rPr>
        <w:t>gadā pozitīva ietekme)</w:t>
      </w:r>
      <w:r w:rsidR="37998A45" w:rsidRPr="469479B5">
        <w:rPr>
          <w:rFonts w:ascii="Times New Roman" w:hAnsi="Times New Roman"/>
          <w:i/>
          <w:iCs/>
          <w:sz w:val="24"/>
          <w:szCs w:val="24"/>
        </w:rPr>
        <w:t>.</w:t>
      </w:r>
    </w:p>
    <w:p w14:paraId="4BFA6F68" w14:textId="45BC9258" w:rsidR="005F603E" w:rsidRDefault="27792B7B"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2022.</w:t>
      </w:r>
      <w:r w:rsidR="2258B5AE" w:rsidRPr="469479B5">
        <w:rPr>
          <w:rFonts w:ascii="Times New Roman" w:hAnsi="Times New Roman" w:cs="Times New Roman"/>
          <w:b/>
          <w:bCs/>
          <w:sz w:val="24"/>
          <w:szCs w:val="24"/>
        </w:rPr>
        <w:t xml:space="preserve"> </w:t>
      </w:r>
      <w:r w:rsidRPr="469479B5">
        <w:rPr>
          <w:rFonts w:ascii="Times New Roman" w:hAnsi="Times New Roman"/>
          <w:sz w:val="24"/>
          <w:szCs w:val="24"/>
        </w:rPr>
        <w:t>gada 12.</w:t>
      </w:r>
      <w:r w:rsidR="7F0A2035" w:rsidRPr="469479B5">
        <w:rPr>
          <w:rFonts w:ascii="Times New Roman" w:hAnsi="Times New Roman" w:cs="Times New Roman"/>
          <w:b/>
          <w:bCs/>
          <w:sz w:val="24"/>
          <w:szCs w:val="24"/>
        </w:rPr>
        <w:t xml:space="preserve"> </w:t>
      </w:r>
      <w:r w:rsidRPr="469479B5">
        <w:rPr>
          <w:rFonts w:ascii="Times New Roman" w:hAnsi="Times New Roman"/>
          <w:sz w:val="24"/>
          <w:szCs w:val="24"/>
        </w:rPr>
        <w:t>decembrī FKTK padome ārkārtas sēdē </w:t>
      </w:r>
      <w:hyperlink r:id="rId12">
        <w:r w:rsidRPr="469479B5">
          <w:rPr>
            <w:rFonts w:ascii="Times New Roman" w:hAnsi="Times New Roman"/>
            <w:sz w:val="24"/>
            <w:szCs w:val="24"/>
          </w:rPr>
          <w:t>pieņēma lēmumu apturēt finanšu pakalpojumu sniegšanu</w:t>
        </w:r>
      </w:hyperlink>
      <w:r w:rsidRPr="469479B5">
        <w:rPr>
          <w:rFonts w:ascii="Times New Roman" w:hAnsi="Times New Roman"/>
          <w:sz w:val="24"/>
          <w:szCs w:val="24"/>
        </w:rPr>
        <w:t> Baltic International Bank SE. FKTK atzina Baltic International Bank SE par tādu finanšu iestādi, kas ir nonākusi vai nonāks finanšu grūtībās (</w:t>
      </w:r>
      <w:r w:rsidRPr="00DD346B">
        <w:rPr>
          <w:rFonts w:ascii="Times New Roman" w:hAnsi="Times New Roman"/>
          <w:i/>
          <w:iCs/>
          <w:sz w:val="24"/>
          <w:szCs w:val="24"/>
        </w:rPr>
        <w:t>failing or likely to fail</w:t>
      </w:r>
      <w:r w:rsidRPr="469479B5">
        <w:rPr>
          <w:rFonts w:ascii="Times New Roman" w:hAnsi="Times New Roman"/>
          <w:sz w:val="24"/>
          <w:szCs w:val="24"/>
        </w:rPr>
        <w:t xml:space="preserve">) un nolēma neveikt Baltic International Bank SE noregulējumu, proti, neīstenot pasākumus </w:t>
      </w:r>
      <w:r w:rsidR="00D57E7F">
        <w:rPr>
          <w:rFonts w:ascii="Times New Roman" w:hAnsi="Times New Roman"/>
          <w:sz w:val="24"/>
          <w:szCs w:val="24"/>
        </w:rPr>
        <w:t>kredītiestādes</w:t>
      </w:r>
      <w:r w:rsidR="00D57E7F" w:rsidRPr="469479B5">
        <w:rPr>
          <w:rFonts w:ascii="Times New Roman" w:hAnsi="Times New Roman"/>
          <w:sz w:val="24"/>
          <w:szCs w:val="24"/>
        </w:rPr>
        <w:t xml:space="preserve"> </w:t>
      </w:r>
      <w:r w:rsidRPr="469479B5">
        <w:rPr>
          <w:rFonts w:ascii="Times New Roman" w:hAnsi="Times New Roman"/>
          <w:sz w:val="24"/>
          <w:szCs w:val="24"/>
        </w:rPr>
        <w:t>darbības stabilizēšanai.</w:t>
      </w:r>
      <w:r w:rsidR="1EAB5DAA" w:rsidRPr="469479B5">
        <w:rPr>
          <w:rFonts w:ascii="Times New Roman" w:hAnsi="Times New Roman"/>
          <w:sz w:val="24"/>
          <w:szCs w:val="24"/>
        </w:rPr>
        <w:t xml:space="preserve"> </w:t>
      </w:r>
      <w:r w:rsidRPr="469479B5">
        <w:rPr>
          <w:rFonts w:ascii="Times New Roman" w:hAnsi="Times New Roman"/>
          <w:sz w:val="24"/>
          <w:szCs w:val="24"/>
        </w:rPr>
        <w:t>Līdz ar to no 2022.</w:t>
      </w:r>
      <w:r w:rsidR="0A1FA01D" w:rsidRPr="469479B5">
        <w:rPr>
          <w:rFonts w:ascii="Times New Roman" w:hAnsi="Times New Roman" w:cs="Times New Roman"/>
          <w:b/>
          <w:bCs/>
          <w:sz w:val="24"/>
          <w:szCs w:val="24"/>
        </w:rPr>
        <w:t xml:space="preserve"> </w:t>
      </w:r>
      <w:r w:rsidRPr="469479B5">
        <w:rPr>
          <w:rFonts w:ascii="Times New Roman" w:hAnsi="Times New Roman"/>
          <w:sz w:val="24"/>
          <w:szCs w:val="24"/>
        </w:rPr>
        <w:t>gada 22.</w:t>
      </w:r>
      <w:r w:rsidR="4AA0CBDD" w:rsidRPr="469479B5">
        <w:rPr>
          <w:rFonts w:ascii="Times New Roman" w:hAnsi="Times New Roman" w:cs="Times New Roman"/>
          <w:b/>
          <w:bCs/>
          <w:sz w:val="24"/>
          <w:szCs w:val="24"/>
        </w:rPr>
        <w:t xml:space="preserve"> </w:t>
      </w:r>
      <w:r w:rsidRPr="469479B5">
        <w:rPr>
          <w:rFonts w:ascii="Times New Roman" w:hAnsi="Times New Roman"/>
          <w:sz w:val="24"/>
          <w:szCs w:val="24"/>
        </w:rPr>
        <w:t>decembra garantēt</w:t>
      </w:r>
      <w:r w:rsidR="0FEB4463" w:rsidRPr="469479B5">
        <w:rPr>
          <w:rFonts w:ascii="Times New Roman" w:hAnsi="Times New Roman"/>
          <w:sz w:val="24"/>
          <w:szCs w:val="24"/>
        </w:rPr>
        <w:t>ā</w:t>
      </w:r>
      <w:r w:rsidRPr="469479B5">
        <w:rPr>
          <w:rFonts w:ascii="Times New Roman" w:hAnsi="Times New Roman"/>
          <w:sz w:val="24"/>
          <w:szCs w:val="24"/>
        </w:rPr>
        <w:t xml:space="preserve"> atlīdzīb</w:t>
      </w:r>
      <w:r w:rsidR="0FEB4463" w:rsidRPr="469479B5">
        <w:rPr>
          <w:rFonts w:ascii="Times New Roman" w:hAnsi="Times New Roman"/>
          <w:sz w:val="24"/>
          <w:szCs w:val="24"/>
        </w:rPr>
        <w:t>a</w:t>
      </w:r>
      <w:r w:rsidRPr="469479B5">
        <w:rPr>
          <w:rFonts w:ascii="Times New Roman" w:hAnsi="Times New Roman"/>
          <w:sz w:val="24"/>
          <w:szCs w:val="24"/>
        </w:rPr>
        <w:t xml:space="preserve"> noguldītājiem </w:t>
      </w:r>
      <w:r w:rsidR="0FEB4463" w:rsidRPr="469479B5">
        <w:rPr>
          <w:rFonts w:ascii="Times New Roman" w:hAnsi="Times New Roman"/>
          <w:sz w:val="24"/>
          <w:szCs w:val="24"/>
        </w:rPr>
        <w:t>tiek</w:t>
      </w:r>
      <w:r w:rsidRPr="469479B5">
        <w:rPr>
          <w:rFonts w:ascii="Times New Roman" w:hAnsi="Times New Roman"/>
          <w:sz w:val="24"/>
          <w:szCs w:val="24"/>
        </w:rPr>
        <w:t xml:space="preserve"> izmaksāta no NGF līdzekļiem</w:t>
      </w:r>
      <w:r w:rsidR="0FEB4463" w:rsidRPr="469479B5">
        <w:rPr>
          <w:rFonts w:ascii="Times New Roman" w:hAnsi="Times New Roman"/>
          <w:sz w:val="24"/>
          <w:szCs w:val="24"/>
        </w:rPr>
        <w:t xml:space="preserve">, </w:t>
      </w:r>
      <w:r w:rsidRPr="469479B5">
        <w:rPr>
          <w:rFonts w:ascii="Times New Roman" w:hAnsi="Times New Roman"/>
          <w:sz w:val="24"/>
          <w:szCs w:val="24"/>
        </w:rPr>
        <w:t xml:space="preserve">un plānotais atlīdzību kopapjoms </w:t>
      </w:r>
      <w:r w:rsidR="5B6AB132" w:rsidRPr="469479B5">
        <w:rPr>
          <w:rFonts w:ascii="Times New Roman" w:hAnsi="Times New Roman"/>
          <w:sz w:val="24"/>
          <w:szCs w:val="24"/>
        </w:rPr>
        <w:t>veido</w:t>
      </w:r>
      <w:r w:rsidRPr="469479B5">
        <w:rPr>
          <w:rFonts w:ascii="Times New Roman" w:hAnsi="Times New Roman"/>
          <w:sz w:val="24"/>
          <w:szCs w:val="24"/>
        </w:rPr>
        <w:t xml:space="preserve"> 43,7 milj. </w:t>
      </w:r>
      <w:r w:rsidRPr="469479B5">
        <w:rPr>
          <w:rFonts w:ascii="Times New Roman" w:hAnsi="Times New Roman"/>
          <w:i/>
          <w:iCs/>
          <w:sz w:val="24"/>
          <w:szCs w:val="24"/>
        </w:rPr>
        <w:t>euro</w:t>
      </w:r>
      <w:r w:rsidRPr="469479B5">
        <w:rPr>
          <w:rFonts w:ascii="Times New Roman" w:hAnsi="Times New Roman"/>
          <w:sz w:val="24"/>
          <w:szCs w:val="24"/>
        </w:rPr>
        <w:t xml:space="preserve">. </w:t>
      </w:r>
      <w:r w:rsidR="15DC514B" w:rsidRPr="469479B5">
        <w:rPr>
          <w:rFonts w:ascii="Times New Roman" w:hAnsi="Times New Roman"/>
          <w:sz w:val="24"/>
          <w:szCs w:val="24"/>
        </w:rPr>
        <w:t xml:space="preserve">Maksātnespējīgās Baltic International Bank SE noguldītājiem garantētās atlīdzības izmaksa turpināsies līdz 2027. gada 12. decembrim. Atbilstoši NGF </w:t>
      </w:r>
      <w:r w:rsidR="00C31140" w:rsidRPr="469479B5">
        <w:rPr>
          <w:rFonts w:ascii="Times New Roman" w:hAnsi="Times New Roman"/>
          <w:sz w:val="24"/>
          <w:szCs w:val="24"/>
        </w:rPr>
        <w:t>202</w:t>
      </w:r>
      <w:r w:rsidR="00C31140">
        <w:rPr>
          <w:rFonts w:ascii="Times New Roman" w:hAnsi="Times New Roman"/>
          <w:sz w:val="24"/>
          <w:szCs w:val="24"/>
        </w:rPr>
        <w:t>4</w:t>
      </w:r>
      <w:r w:rsidR="15DC514B" w:rsidRPr="469479B5">
        <w:rPr>
          <w:rFonts w:ascii="Times New Roman" w:hAnsi="Times New Roman"/>
          <w:sz w:val="24"/>
          <w:szCs w:val="24"/>
        </w:rPr>
        <w:t xml:space="preserve">. gada Darbības pārskatā norādītajam </w:t>
      </w:r>
      <w:r w:rsidR="00C31140" w:rsidRPr="469479B5">
        <w:rPr>
          <w:rFonts w:ascii="Times New Roman" w:hAnsi="Times New Roman"/>
          <w:sz w:val="24"/>
          <w:szCs w:val="24"/>
        </w:rPr>
        <w:t>202</w:t>
      </w:r>
      <w:r w:rsidR="00C31140">
        <w:rPr>
          <w:rFonts w:ascii="Times New Roman" w:hAnsi="Times New Roman"/>
          <w:sz w:val="24"/>
          <w:szCs w:val="24"/>
        </w:rPr>
        <w:t>4</w:t>
      </w:r>
      <w:r w:rsidR="15DC514B" w:rsidRPr="469479B5">
        <w:rPr>
          <w:rFonts w:ascii="Times New Roman" w:hAnsi="Times New Roman"/>
          <w:sz w:val="24"/>
          <w:szCs w:val="24"/>
        </w:rPr>
        <w:t xml:space="preserve">. gada beigās NGF noguldītājiem bija izmaksājis garantētās atlīdzības </w:t>
      </w:r>
      <w:r w:rsidR="00C31140">
        <w:rPr>
          <w:rFonts w:ascii="Times New Roman" w:hAnsi="Times New Roman"/>
          <w:sz w:val="24"/>
          <w:szCs w:val="24"/>
        </w:rPr>
        <w:t>40 748</w:t>
      </w:r>
      <w:r w:rsidR="15DC514B" w:rsidRPr="469479B5">
        <w:rPr>
          <w:rFonts w:ascii="Times New Roman" w:hAnsi="Times New Roman"/>
          <w:sz w:val="24"/>
          <w:szCs w:val="24"/>
        </w:rPr>
        <w:t xml:space="preserve"> tūkst. </w:t>
      </w:r>
      <w:r w:rsidR="15DC514B" w:rsidRPr="469479B5">
        <w:rPr>
          <w:rFonts w:ascii="Times New Roman" w:hAnsi="Times New Roman"/>
          <w:i/>
          <w:iCs/>
          <w:sz w:val="24"/>
          <w:szCs w:val="24"/>
        </w:rPr>
        <w:t>euro</w:t>
      </w:r>
      <w:r w:rsidR="15DC514B" w:rsidRPr="469479B5">
        <w:rPr>
          <w:rFonts w:ascii="Times New Roman" w:hAnsi="Times New Roman"/>
          <w:sz w:val="24"/>
          <w:szCs w:val="24"/>
        </w:rPr>
        <w:t xml:space="preserve"> apmērā (</w:t>
      </w:r>
      <w:r w:rsidR="00C31140" w:rsidRPr="469479B5">
        <w:rPr>
          <w:rFonts w:ascii="Times New Roman" w:hAnsi="Times New Roman"/>
          <w:sz w:val="24"/>
          <w:szCs w:val="24"/>
        </w:rPr>
        <w:t>202</w:t>
      </w:r>
      <w:r w:rsidR="00C31140">
        <w:rPr>
          <w:rFonts w:ascii="Times New Roman" w:hAnsi="Times New Roman"/>
          <w:sz w:val="24"/>
          <w:szCs w:val="24"/>
        </w:rPr>
        <w:t>3</w:t>
      </w:r>
      <w:r w:rsidR="15DC514B" w:rsidRPr="469479B5">
        <w:rPr>
          <w:rFonts w:ascii="Times New Roman" w:hAnsi="Times New Roman"/>
          <w:sz w:val="24"/>
          <w:szCs w:val="24"/>
        </w:rPr>
        <w:t xml:space="preserve">. gada beigās – </w:t>
      </w:r>
      <w:r w:rsidR="00C31140">
        <w:rPr>
          <w:rFonts w:ascii="Times New Roman" w:hAnsi="Times New Roman"/>
          <w:sz w:val="24"/>
          <w:szCs w:val="24"/>
        </w:rPr>
        <w:t>39 621</w:t>
      </w:r>
      <w:r w:rsidR="00C31140" w:rsidRPr="469479B5">
        <w:rPr>
          <w:rFonts w:ascii="Times New Roman" w:hAnsi="Times New Roman"/>
          <w:sz w:val="24"/>
          <w:szCs w:val="24"/>
        </w:rPr>
        <w:t xml:space="preserve"> </w:t>
      </w:r>
      <w:r w:rsidR="15DC514B" w:rsidRPr="469479B5">
        <w:rPr>
          <w:rFonts w:ascii="Times New Roman" w:hAnsi="Times New Roman"/>
          <w:sz w:val="24"/>
          <w:szCs w:val="24"/>
        </w:rPr>
        <w:t xml:space="preserve">tūkst. </w:t>
      </w:r>
      <w:r w:rsidR="15DC514B" w:rsidRPr="469479B5">
        <w:rPr>
          <w:rFonts w:ascii="Times New Roman" w:hAnsi="Times New Roman"/>
          <w:i/>
          <w:iCs/>
          <w:sz w:val="24"/>
          <w:szCs w:val="24"/>
        </w:rPr>
        <w:t>euro</w:t>
      </w:r>
      <w:r w:rsidR="15DC514B" w:rsidRPr="469479B5">
        <w:rPr>
          <w:rFonts w:ascii="Times New Roman" w:hAnsi="Times New Roman"/>
          <w:sz w:val="24"/>
          <w:szCs w:val="24"/>
        </w:rPr>
        <w:t xml:space="preserve">). 2024. gada 24. janvārī Ekonomisko lietu tiesa pieņēma spriedumu, ar kuru pasludināja maksātnespējīgās Baltic International Bank SE maksātnespējas procesu. </w:t>
      </w:r>
      <w:r w:rsidR="00C31140" w:rsidRPr="469479B5">
        <w:rPr>
          <w:rFonts w:ascii="Times New Roman" w:hAnsi="Times New Roman"/>
          <w:sz w:val="24"/>
          <w:szCs w:val="24"/>
        </w:rPr>
        <w:t>202</w:t>
      </w:r>
      <w:r w:rsidR="00C31140">
        <w:rPr>
          <w:rFonts w:ascii="Times New Roman" w:hAnsi="Times New Roman"/>
          <w:sz w:val="24"/>
          <w:szCs w:val="24"/>
        </w:rPr>
        <w:t>4</w:t>
      </w:r>
      <w:r w:rsidR="15DC514B" w:rsidRPr="469479B5">
        <w:rPr>
          <w:rFonts w:ascii="Times New Roman" w:hAnsi="Times New Roman"/>
          <w:sz w:val="24"/>
          <w:szCs w:val="24"/>
        </w:rPr>
        <w:t xml:space="preserve">. gada beigās netika konstatētas pazīmes vai </w:t>
      </w:r>
      <w:r w:rsidR="00C31140">
        <w:rPr>
          <w:rFonts w:ascii="Times New Roman" w:hAnsi="Times New Roman"/>
          <w:sz w:val="24"/>
          <w:szCs w:val="24"/>
        </w:rPr>
        <w:t xml:space="preserve">citi </w:t>
      </w:r>
      <w:r w:rsidR="15DC514B" w:rsidRPr="469479B5">
        <w:rPr>
          <w:rFonts w:ascii="Times New Roman" w:hAnsi="Times New Roman"/>
          <w:sz w:val="24"/>
          <w:szCs w:val="24"/>
        </w:rPr>
        <w:t>apstākļi, kas liecinātu, ka noguldījumu piesaistītājs nespēs segt saistības par garantētajām atlīdzībām, kas būtu par pamatu prasību atgūstamās vērtības samazināšanai,</w:t>
      </w:r>
      <w:r w:rsidR="00C31140">
        <w:rPr>
          <w:rFonts w:ascii="Times New Roman" w:hAnsi="Times New Roman"/>
          <w:sz w:val="24"/>
          <w:szCs w:val="24"/>
        </w:rPr>
        <w:t xml:space="preserve"> tādēļ attiecīgajām prasībām uzkrājumi netika veidoti,</w:t>
      </w:r>
      <w:r w:rsidR="15DC514B" w:rsidRPr="469479B5">
        <w:rPr>
          <w:rFonts w:ascii="Times New Roman" w:hAnsi="Times New Roman"/>
          <w:sz w:val="24"/>
          <w:szCs w:val="24"/>
        </w:rPr>
        <w:t xml:space="preserve"> attiecīgi neveidojas </w:t>
      </w:r>
      <w:r w:rsidR="54F83BFC" w:rsidRPr="469479B5">
        <w:rPr>
          <w:rFonts w:ascii="Times New Roman" w:hAnsi="Times New Roman"/>
          <w:sz w:val="24"/>
          <w:szCs w:val="24"/>
        </w:rPr>
        <w:t xml:space="preserve">negatīva ietekme uz </w:t>
      </w:r>
      <w:r w:rsidR="15DC514B" w:rsidRPr="469479B5">
        <w:rPr>
          <w:rFonts w:ascii="Times New Roman" w:hAnsi="Times New Roman"/>
          <w:sz w:val="24"/>
          <w:szCs w:val="24"/>
        </w:rPr>
        <w:t xml:space="preserve">vispārējās valdības </w:t>
      </w:r>
      <w:r w:rsidR="5C60CF66" w:rsidRPr="469479B5">
        <w:rPr>
          <w:rFonts w:ascii="Times New Roman" w:hAnsi="Times New Roman"/>
          <w:sz w:val="24"/>
          <w:szCs w:val="24"/>
        </w:rPr>
        <w:t>budžeta bilanci</w:t>
      </w:r>
      <w:r w:rsidR="15DC514B" w:rsidRPr="469479B5">
        <w:rPr>
          <w:rFonts w:ascii="Times New Roman" w:hAnsi="Times New Roman"/>
          <w:sz w:val="24"/>
          <w:szCs w:val="24"/>
        </w:rPr>
        <w:t>.</w:t>
      </w:r>
    </w:p>
    <w:p w14:paraId="3ED62041" w14:textId="0A68EA29" w:rsidR="002C5BFD" w:rsidRPr="003506E2" w:rsidRDefault="003506E2" w:rsidP="469479B5">
      <w:pPr>
        <w:spacing w:after="0" w:line="240" w:lineRule="auto"/>
        <w:ind w:firstLine="720"/>
        <w:jc w:val="both"/>
        <w:rPr>
          <w:rFonts w:ascii="Times New Roman" w:hAnsi="Times New Roman"/>
          <w:sz w:val="24"/>
          <w:szCs w:val="24"/>
        </w:rPr>
      </w:pPr>
      <w:r w:rsidRPr="003506E2">
        <w:rPr>
          <w:rFonts w:ascii="Times New Roman" w:hAnsi="Times New Roman"/>
          <w:sz w:val="24"/>
          <w:szCs w:val="24"/>
        </w:rPr>
        <w:t>Latvijas Bankas uzraudzības komiteja 2024. gada 13. martā anulēja Pūņu Kooperatīvās krājaizdevu sabiedrības (</w:t>
      </w:r>
      <w:r w:rsidR="000459C4">
        <w:rPr>
          <w:rFonts w:ascii="Times New Roman" w:hAnsi="Times New Roman"/>
          <w:sz w:val="24"/>
          <w:szCs w:val="24"/>
        </w:rPr>
        <w:t xml:space="preserve">turpmāk - </w:t>
      </w:r>
      <w:r w:rsidRPr="003506E2">
        <w:rPr>
          <w:rFonts w:ascii="Times New Roman" w:hAnsi="Times New Roman"/>
          <w:sz w:val="24"/>
          <w:szCs w:val="24"/>
        </w:rPr>
        <w:t>Pūņu KKS) licenci</w:t>
      </w:r>
      <w:r>
        <w:rPr>
          <w:rFonts w:ascii="Times New Roman" w:hAnsi="Times New Roman"/>
          <w:sz w:val="24"/>
          <w:szCs w:val="24"/>
        </w:rPr>
        <w:t xml:space="preserve"> un</w:t>
      </w:r>
      <w:r w:rsidRPr="003506E2">
        <w:rPr>
          <w:rFonts w:ascii="Times New Roman" w:hAnsi="Times New Roman"/>
          <w:sz w:val="24"/>
          <w:szCs w:val="24"/>
        </w:rPr>
        <w:t xml:space="preserve"> līdz 2024. gada 31. decembrim NGF prasības pret Pūņu KKS par izmaksātajām garantētajām atlīdzībām bija 212 tūkstoši </w:t>
      </w:r>
      <w:r w:rsidRPr="00DD346B">
        <w:rPr>
          <w:rFonts w:ascii="Times New Roman" w:hAnsi="Times New Roman"/>
          <w:i/>
          <w:iCs/>
          <w:sz w:val="24"/>
          <w:szCs w:val="24"/>
        </w:rPr>
        <w:t>euro</w:t>
      </w:r>
      <w:r>
        <w:rPr>
          <w:rFonts w:ascii="Times New Roman" w:hAnsi="Times New Roman"/>
          <w:i/>
          <w:iCs/>
          <w:sz w:val="24"/>
          <w:szCs w:val="24"/>
        </w:rPr>
        <w:t>.</w:t>
      </w:r>
      <w:r w:rsidRPr="00DD346B">
        <w:rPr>
          <w:rFonts w:ascii="Times New Roman" w:hAnsi="Times New Roman"/>
          <w:sz w:val="24"/>
          <w:szCs w:val="24"/>
        </w:rPr>
        <w:t xml:space="preserve"> Ņemot vērā Pūņu KKS finansiālo stāvokli, šo prasību atgūšana tika atzīta par maz ticamu, tāpēc tika izveidoti uzkrājumi 100% jeb 224 tūkstošu </w:t>
      </w:r>
      <w:r w:rsidRPr="003506E2">
        <w:rPr>
          <w:rFonts w:ascii="Times New Roman" w:hAnsi="Times New Roman"/>
          <w:i/>
          <w:iCs/>
          <w:sz w:val="24"/>
          <w:szCs w:val="24"/>
        </w:rPr>
        <w:t>e</w:t>
      </w:r>
      <w:r w:rsidRPr="00DD346B">
        <w:rPr>
          <w:rFonts w:ascii="Times New Roman" w:hAnsi="Times New Roman"/>
          <w:i/>
          <w:iCs/>
          <w:sz w:val="24"/>
          <w:szCs w:val="24"/>
        </w:rPr>
        <w:t>u</w:t>
      </w:r>
      <w:r w:rsidRPr="003506E2">
        <w:rPr>
          <w:rFonts w:ascii="Times New Roman" w:hAnsi="Times New Roman"/>
          <w:i/>
          <w:iCs/>
          <w:sz w:val="24"/>
          <w:szCs w:val="24"/>
        </w:rPr>
        <w:t>ro</w:t>
      </w:r>
      <w:r w:rsidRPr="00DD346B">
        <w:rPr>
          <w:rFonts w:ascii="Times New Roman" w:hAnsi="Times New Roman"/>
          <w:sz w:val="24"/>
          <w:szCs w:val="24"/>
        </w:rPr>
        <w:t xml:space="preserve"> apmērā</w:t>
      </w:r>
      <w:r w:rsidR="002E49B0">
        <w:rPr>
          <w:rStyle w:val="FootnoteReference"/>
          <w:rFonts w:ascii="Times New Roman" w:hAnsi="Times New Roman"/>
          <w:sz w:val="24"/>
          <w:szCs w:val="24"/>
        </w:rPr>
        <w:footnoteReference w:id="52"/>
      </w:r>
      <w:r w:rsidRPr="00DD346B">
        <w:rPr>
          <w:rFonts w:ascii="Times New Roman" w:hAnsi="Times New Roman"/>
          <w:sz w:val="24"/>
          <w:szCs w:val="24"/>
        </w:rPr>
        <w:t>.</w:t>
      </w:r>
      <w:r>
        <w:rPr>
          <w:rFonts w:ascii="Times New Roman" w:hAnsi="Times New Roman"/>
          <w:sz w:val="24"/>
          <w:szCs w:val="24"/>
        </w:rPr>
        <w:t xml:space="preserve"> </w:t>
      </w:r>
    </w:p>
    <w:p w14:paraId="62760C56" w14:textId="4D4F117C" w:rsidR="007E6F42" w:rsidRPr="00DB1FE8" w:rsidRDefault="3C2CA8AE" w:rsidP="005F336D">
      <w:pPr>
        <w:spacing w:after="0" w:line="240" w:lineRule="auto"/>
        <w:ind w:firstLine="720"/>
        <w:jc w:val="both"/>
        <w:rPr>
          <w:rFonts w:ascii="Times New Roman" w:hAnsi="Times New Roman"/>
          <w:sz w:val="24"/>
          <w:szCs w:val="24"/>
        </w:rPr>
      </w:pPr>
      <w:r w:rsidRPr="469479B5">
        <w:rPr>
          <w:rFonts w:ascii="Times New Roman" w:hAnsi="Times New Roman"/>
          <w:sz w:val="24"/>
          <w:szCs w:val="24"/>
        </w:rPr>
        <w:t>Nepieciešamību veikt garantētās izmaksas no NGF, kā arī prasību par izmaksām neatgūstamību,</w:t>
      </w:r>
      <w:r w:rsidR="3446BE84" w:rsidRPr="469479B5">
        <w:rPr>
          <w:rFonts w:ascii="Times New Roman" w:hAnsi="Times New Roman"/>
          <w:sz w:val="24"/>
          <w:szCs w:val="24"/>
        </w:rPr>
        <w:t xml:space="preserve"> nav iespējams savlaicīgi prognozēt – ne to iestāšanās varbūtību, ne fiskālo ietekmi –</w:t>
      </w:r>
      <w:r w:rsidR="3A970D37" w:rsidRPr="469479B5">
        <w:rPr>
          <w:rFonts w:ascii="Times New Roman" w:hAnsi="Times New Roman"/>
          <w:sz w:val="24"/>
          <w:szCs w:val="24"/>
        </w:rPr>
        <w:t xml:space="preserve"> </w:t>
      </w:r>
      <w:r w:rsidRPr="469479B5">
        <w:rPr>
          <w:rFonts w:ascii="Times New Roman" w:hAnsi="Times New Roman"/>
          <w:sz w:val="24"/>
          <w:szCs w:val="24"/>
        </w:rPr>
        <w:t>šādi gadījumi</w:t>
      </w:r>
      <w:r w:rsidR="3446BE84" w:rsidRPr="469479B5">
        <w:rPr>
          <w:rFonts w:ascii="Times New Roman" w:hAnsi="Times New Roman"/>
          <w:sz w:val="24"/>
          <w:szCs w:val="24"/>
        </w:rPr>
        <w:t xml:space="preserve"> notiek </w:t>
      </w:r>
      <w:r w:rsidR="5B6AB132" w:rsidRPr="469479B5">
        <w:rPr>
          <w:rFonts w:ascii="Times New Roman" w:hAnsi="Times New Roman"/>
          <w:sz w:val="24"/>
          <w:szCs w:val="24"/>
        </w:rPr>
        <w:t>reti</w:t>
      </w:r>
      <w:r w:rsidR="3446BE84" w:rsidRPr="469479B5">
        <w:rPr>
          <w:rFonts w:ascii="Times New Roman" w:hAnsi="Times New Roman"/>
          <w:sz w:val="24"/>
          <w:szCs w:val="24"/>
        </w:rPr>
        <w:t xml:space="preserve"> un pēc savas dabas tie ir vienreizēji neparedzami notikumi, kuru iestāšanās varbūtība un ietekmes apmērs Latvijā saistībā ar finanšu sektora sakārtošanos un makroprudenciālā ietvara uzlabojumiem ir būtiski samazināts. </w:t>
      </w:r>
      <w:r w:rsidR="2C0E6FB1" w:rsidRPr="469479B5">
        <w:rPr>
          <w:rFonts w:ascii="Times New Roman" w:hAnsi="Times New Roman"/>
          <w:sz w:val="24"/>
          <w:szCs w:val="24"/>
        </w:rPr>
        <w:t xml:space="preserve">Tādējādi </w:t>
      </w:r>
      <w:r w:rsidR="2C0E6FB1" w:rsidRPr="469479B5">
        <w:rPr>
          <w:rFonts w:ascii="Times New Roman" w:hAnsi="Times New Roman"/>
          <w:b/>
          <w:bCs/>
          <w:sz w:val="24"/>
          <w:szCs w:val="24"/>
        </w:rPr>
        <w:t>nav pamatoti šādam riskam</w:t>
      </w:r>
      <w:r w:rsidR="3A970D37" w:rsidRPr="469479B5">
        <w:rPr>
          <w:rFonts w:ascii="Times New Roman" w:hAnsi="Times New Roman"/>
          <w:b/>
          <w:bCs/>
          <w:sz w:val="24"/>
          <w:szCs w:val="24"/>
        </w:rPr>
        <w:t xml:space="preserve"> </w:t>
      </w:r>
      <w:r w:rsidR="2C0E6FB1" w:rsidRPr="469479B5">
        <w:rPr>
          <w:rFonts w:ascii="Times New Roman" w:hAnsi="Times New Roman"/>
          <w:b/>
          <w:bCs/>
          <w:sz w:val="24"/>
          <w:szCs w:val="24"/>
        </w:rPr>
        <w:t>veidot fiskālā nodrošinājuma rezervi</w:t>
      </w:r>
      <w:r w:rsidR="2C0E6FB1" w:rsidRPr="469479B5">
        <w:rPr>
          <w:rFonts w:ascii="Times New Roman" w:hAnsi="Times New Roman"/>
          <w:sz w:val="24"/>
          <w:szCs w:val="24"/>
        </w:rPr>
        <w:t xml:space="preserve">. </w:t>
      </w:r>
    </w:p>
    <w:p w14:paraId="35FBAA30" w14:textId="0601396E" w:rsidR="0011094C" w:rsidRPr="00DB1FE8" w:rsidRDefault="2B11022E" w:rsidP="005F336D">
      <w:pPr>
        <w:spacing w:after="0" w:line="240" w:lineRule="auto"/>
        <w:ind w:firstLine="720"/>
        <w:jc w:val="both"/>
        <w:rPr>
          <w:rFonts w:ascii="Times New Roman" w:hAnsi="Times New Roman"/>
          <w:sz w:val="24"/>
          <w:szCs w:val="24"/>
        </w:rPr>
      </w:pPr>
      <w:r w:rsidRPr="00DB1FE8">
        <w:rPr>
          <w:rFonts w:ascii="Times New Roman" w:hAnsi="Times New Roman"/>
          <w:sz w:val="24"/>
          <w:szCs w:val="24"/>
        </w:rPr>
        <w:t>Vienlaicīgi jāatzīmē, ka līdzekļu nepietiekamības gadījumā NGF garantēto atlīdzību izmaksām saskaņā ar NGL Latvijas Banka var aizņemties Latvijas, ES vai ārvalstu finanšu tirg</w:t>
      </w:r>
      <w:r w:rsidR="2C63FD4E" w:rsidRPr="00DB1FE8">
        <w:rPr>
          <w:rFonts w:ascii="Times New Roman" w:hAnsi="Times New Roman"/>
          <w:sz w:val="24"/>
          <w:szCs w:val="24"/>
        </w:rPr>
        <w:t>os</w:t>
      </w:r>
      <w:r w:rsidRPr="00DB1FE8">
        <w:rPr>
          <w:rFonts w:ascii="Times New Roman" w:hAnsi="Times New Roman"/>
          <w:sz w:val="24"/>
          <w:szCs w:val="24"/>
        </w:rPr>
        <w:t xml:space="preserve"> vai no citas dalībvalsts NGF. Ja līdzekļus nav iespējams piesaistīt, tad aizdevumu pēc Latvijas Bankas pieprasījuma nodrošina kredītiestādes, kas ir NGF dalībnieces. Savukārt, ja, veicot minētās darbības, līdzekļus nav izdevies piesaistīt, tad nepieciešamo </w:t>
      </w:r>
      <w:r w:rsidR="60F4BE95" w:rsidRPr="00DB1FE8">
        <w:rPr>
          <w:rFonts w:ascii="Times New Roman" w:hAnsi="Times New Roman"/>
          <w:sz w:val="24"/>
          <w:szCs w:val="24"/>
        </w:rPr>
        <w:t>finansējumu</w:t>
      </w:r>
      <w:r w:rsidRPr="00DB1FE8">
        <w:rPr>
          <w:rFonts w:ascii="Times New Roman" w:hAnsi="Times New Roman"/>
          <w:sz w:val="24"/>
          <w:szCs w:val="24"/>
        </w:rPr>
        <w:t xml:space="preserve"> </w:t>
      </w:r>
      <w:r w:rsidR="60F4BE95" w:rsidRPr="00DB1FE8">
        <w:rPr>
          <w:rFonts w:ascii="Times New Roman" w:hAnsi="Times New Roman"/>
          <w:sz w:val="24"/>
          <w:szCs w:val="24"/>
        </w:rPr>
        <w:t>piešķir</w:t>
      </w:r>
      <w:r w:rsidRPr="00DB1FE8">
        <w:rPr>
          <w:rFonts w:ascii="Times New Roman" w:hAnsi="Times New Roman"/>
          <w:sz w:val="24"/>
          <w:szCs w:val="24"/>
        </w:rPr>
        <w:t xml:space="preserve"> apropriācijas kārtībā vai aizdevuma veidā no valsts budžeta līdzekļiem. </w:t>
      </w:r>
      <w:r w:rsidR="3E4AF33E" w:rsidRPr="00DB1FE8">
        <w:rPr>
          <w:rFonts w:ascii="Times New Roman" w:hAnsi="Times New Roman"/>
          <w:sz w:val="24"/>
          <w:szCs w:val="24"/>
        </w:rPr>
        <w:t xml:space="preserve">Deklarācijas izstrādes brīdi NGF bija pieejami līdzekļi visu aktuālo </w:t>
      </w:r>
      <w:r w:rsidR="04435C5B" w:rsidRPr="00DB1FE8">
        <w:rPr>
          <w:rFonts w:ascii="Times New Roman" w:hAnsi="Times New Roman"/>
          <w:sz w:val="24"/>
          <w:szCs w:val="24"/>
        </w:rPr>
        <w:t>izmaksu gadījumiem, kā arī pastāvēja nozīmīga finanšu rezerve</w:t>
      </w:r>
      <w:r w:rsidR="00775590" w:rsidRPr="00DB1FE8">
        <w:rPr>
          <w:rStyle w:val="FootnoteReference"/>
          <w:rFonts w:ascii="Times New Roman" w:hAnsi="Times New Roman"/>
          <w:sz w:val="24"/>
          <w:szCs w:val="24"/>
        </w:rPr>
        <w:footnoteReference w:id="53"/>
      </w:r>
      <w:r w:rsidR="04435C5B" w:rsidRPr="00DB1FE8">
        <w:rPr>
          <w:rFonts w:ascii="Times New Roman" w:hAnsi="Times New Roman"/>
          <w:sz w:val="24"/>
          <w:szCs w:val="24"/>
        </w:rPr>
        <w:t xml:space="preserve">. </w:t>
      </w:r>
    </w:p>
    <w:p w14:paraId="35314BCC" w14:textId="64BBBAA6" w:rsidR="006E3B85" w:rsidRDefault="30F8159A" w:rsidP="003C1A08">
      <w:pPr>
        <w:spacing w:after="0" w:line="240" w:lineRule="auto"/>
        <w:ind w:firstLine="720"/>
        <w:jc w:val="both"/>
        <w:rPr>
          <w:rFonts w:ascii="Times New Roman" w:hAnsi="Times New Roman"/>
          <w:b/>
          <w:bCs/>
          <w:sz w:val="24"/>
          <w:szCs w:val="24"/>
        </w:rPr>
      </w:pPr>
      <w:r w:rsidRPr="469479B5">
        <w:rPr>
          <w:rFonts w:ascii="Times New Roman" w:hAnsi="Times New Roman"/>
          <w:sz w:val="24"/>
          <w:szCs w:val="24"/>
        </w:rPr>
        <w:t>Papildus</w:t>
      </w:r>
      <w:r w:rsidR="211712B9" w:rsidRPr="469479B5">
        <w:rPr>
          <w:rFonts w:ascii="Times New Roman" w:hAnsi="Times New Roman"/>
          <w:sz w:val="24"/>
          <w:szCs w:val="24"/>
        </w:rPr>
        <w:t xml:space="preserve"> iepriekš minētājam riskam</w:t>
      </w:r>
      <w:r w:rsidR="65363CA3" w:rsidRPr="469479B5">
        <w:rPr>
          <w:rFonts w:ascii="Times New Roman" w:hAnsi="Times New Roman"/>
          <w:sz w:val="24"/>
          <w:szCs w:val="24"/>
        </w:rPr>
        <w:t>, fiskālais risks var rasties no faktisko NGF ieņēmumu novirz</w:t>
      </w:r>
      <w:r w:rsidR="211712B9" w:rsidRPr="469479B5">
        <w:rPr>
          <w:rFonts w:ascii="Times New Roman" w:hAnsi="Times New Roman"/>
          <w:sz w:val="24"/>
          <w:szCs w:val="24"/>
        </w:rPr>
        <w:t>ēm</w:t>
      </w:r>
      <w:r w:rsidR="65363CA3" w:rsidRPr="469479B5">
        <w:rPr>
          <w:rFonts w:ascii="Times New Roman" w:hAnsi="Times New Roman"/>
          <w:sz w:val="24"/>
          <w:szCs w:val="24"/>
        </w:rPr>
        <w:t xml:space="preserve"> no </w:t>
      </w:r>
      <w:r w:rsidR="211712B9" w:rsidRPr="469479B5">
        <w:rPr>
          <w:rFonts w:ascii="Times New Roman" w:hAnsi="Times New Roman"/>
          <w:sz w:val="24"/>
          <w:szCs w:val="24"/>
        </w:rPr>
        <w:t xml:space="preserve">to </w:t>
      </w:r>
      <w:r w:rsidR="65363CA3" w:rsidRPr="469479B5">
        <w:rPr>
          <w:rFonts w:ascii="Times New Roman" w:hAnsi="Times New Roman"/>
          <w:sz w:val="24"/>
          <w:szCs w:val="24"/>
        </w:rPr>
        <w:t>plānotajām vērtībām.</w:t>
      </w:r>
      <w:r w:rsidR="211712B9" w:rsidRPr="469479B5">
        <w:rPr>
          <w:rFonts w:ascii="Times New Roman" w:hAnsi="Times New Roman"/>
          <w:sz w:val="24"/>
          <w:szCs w:val="24"/>
        </w:rPr>
        <w:t xml:space="preserve"> Tā kā fiskālajās prognozēs NGF plūsmas </w:t>
      </w:r>
      <w:r w:rsidR="39DBD496" w:rsidRPr="469479B5">
        <w:rPr>
          <w:rFonts w:ascii="Times New Roman" w:hAnsi="Times New Roman"/>
          <w:sz w:val="24"/>
          <w:szCs w:val="24"/>
        </w:rPr>
        <w:t xml:space="preserve">tiek integrētas </w:t>
      </w:r>
      <w:r w:rsidR="4010B69F" w:rsidRPr="469479B5">
        <w:rPr>
          <w:rFonts w:ascii="Times New Roman" w:hAnsi="Times New Roman"/>
          <w:sz w:val="24"/>
          <w:szCs w:val="24"/>
        </w:rPr>
        <w:t xml:space="preserve">jau </w:t>
      </w:r>
      <w:r w:rsidR="39DBD496" w:rsidRPr="469479B5">
        <w:rPr>
          <w:rFonts w:ascii="Times New Roman" w:hAnsi="Times New Roman"/>
          <w:sz w:val="24"/>
          <w:szCs w:val="24"/>
        </w:rPr>
        <w:t>no 2018.</w:t>
      </w:r>
      <w:r w:rsidR="1620A5EC" w:rsidRPr="469479B5">
        <w:rPr>
          <w:rFonts w:ascii="Times New Roman" w:hAnsi="Times New Roman" w:cs="Times New Roman"/>
          <w:b/>
          <w:bCs/>
          <w:sz w:val="24"/>
          <w:szCs w:val="24"/>
        </w:rPr>
        <w:t xml:space="preserve"> </w:t>
      </w:r>
      <w:r w:rsidR="39DBD496" w:rsidRPr="469479B5">
        <w:rPr>
          <w:rFonts w:ascii="Times New Roman" w:hAnsi="Times New Roman"/>
          <w:sz w:val="24"/>
          <w:szCs w:val="24"/>
        </w:rPr>
        <w:t xml:space="preserve">gada datu laika rinda </w:t>
      </w:r>
      <w:r w:rsidR="4010B69F" w:rsidRPr="469479B5">
        <w:rPr>
          <w:rFonts w:ascii="Times New Roman" w:hAnsi="Times New Roman"/>
          <w:sz w:val="24"/>
          <w:szCs w:val="24"/>
        </w:rPr>
        <w:t xml:space="preserve">ir </w:t>
      </w:r>
      <w:r w:rsidR="39DBD496" w:rsidRPr="469479B5">
        <w:rPr>
          <w:rFonts w:ascii="Times New Roman" w:hAnsi="Times New Roman"/>
          <w:sz w:val="24"/>
          <w:szCs w:val="24"/>
        </w:rPr>
        <w:t xml:space="preserve">pietiekami reprezentatīva, lai varētu izdarīt pārliecinošus secinājumus par to. </w:t>
      </w:r>
      <w:r w:rsidRPr="469479B5">
        <w:rPr>
          <w:rFonts w:ascii="Times New Roman" w:hAnsi="Times New Roman"/>
          <w:sz w:val="24"/>
          <w:szCs w:val="24"/>
        </w:rPr>
        <w:t xml:space="preserve">Vienlaicīgi faktisko ieņēmumu </w:t>
      </w:r>
      <w:r w:rsidR="29EA3586" w:rsidRPr="469479B5">
        <w:rPr>
          <w:rFonts w:ascii="Times New Roman" w:hAnsi="Times New Roman"/>
          <w:sz w:val="24"/>
          <w:szCs w:val="24"/>
        </w:rPr>
        <w:t xml:space="preserve">novirzes </w:t>
      </w:r>
      <w:r w:rsidRPr="469479B5">
        <w:rPr>
          <w:rFonts w:ascii="Times New Roman" w:hAnsi="Times New Roman"/>
          <w:sz w:val="24"/>
          <w:szCs w:val="24"/>
        </w:rPr>
        <w:t xml:space="preserve">no to prognozētajām vērtībām </w:t>
      </w:r>
      <w:r w:rsidR="29EA3586" w:rsidRPr="469479B5">
        <w:rPr>
          <w:rFonts w:ascii="Times New Roman" w:hAnsi="Times New Roman"/>
          <w:sz w:val="24"/>
          <w:szCs w:val="24"/>
        </w:rPr>
        <w:t xml:space="preserve">uzrāda </w:t>
      </w:r>
      <w:r w:rsidRPr="469479B5">
        <w:rPr>
          <w:rFonts w:ascii="Times New Roman" w:hAnsi="Times New Roman"/>
          <w:sz w:val="24"/>
          <w:szCs w:val="24"/>
        </w:rPr>
        <w:t>simetriskuma principu līdzvērtīgi kā tas ir citu fiskālo risku gadījumā</w:t>
      </w:r>
      <w:r w:rsidR="22F70786" w:rsidRPr="469479B5">
        <w:rPr>
          <w:rFonts w:ascii="Times New Roman" w:hAnsi="Times New Roman"/>
          <w:sz w:val="24"/>
          <w:szCs w:val="24"/>
        </w:rPr>
        <w:t xml:space="preserve">, izņemot </w:t>
      </w:r>
      <w:r w:rsidR="32C909E0" w:rsidRPr="469479B5">
        <w:rPr>
          <w:rFonts w:ascii="Times New Roman" w:hAnsi="Times New Roman"/>
          <w:sz w:val="24"/>
          <w:szCs w:val="24"/>
        </w:rPr>
        <w:t>2021. gadu.</w:t>
      </w:r>
      <w:r w:rsidRPr="469479B5">
        <w:rPr>
          <w:rFonts w:ascii="Times New Roman" w:hAnsi="Times New Roman"/>
          <w:sz w:val="24"/>
          <w:szCs w:val="24"/>
        </w:rPr>
        <w:t xml:space="preserve"> </w:t>
      </w:r>
    </w:p>
    <w:p w14:paraId="088708B1" w14:textId="77777777" w:rsidR="003C1A08" w:rsidRPr="003C1A08" w:rsidRDefault="003C1A08" w:rsidP="003C1A08">
      <w:pPr>
        <w:spacing w:after="0" w:line="240" w:lineRule="auto"/>
        <w:ind w:firstLine="720"/>
        <w:jc w:val="both"/>
        <w:rPr>
          <w:rFonts w:ascii="Times New Roman" w:hAnsi="Times New Roman"/>
          <w:b/>
          <w:bCs/>
          <w:sz w:val="24"/>
          <w:szCs w:val="24"/>
        </w:rPr>
      </w:pPr>
    </w:p>
    <w:p w14:paraId="372DD085" w14:textId="570A426D" w:rsidR="001C210B" w:rsidRPr="00DB1FE8" w:rsidRDefault="001C210B" w:rsidP="00497710">
      <w:pPr>
        <w:spacing w:after="120" w:line="240" w:lineRule="auto"/>
        <w:jc w:val="right"/>
        <w:rPr>
          <w:rFonts w:ascii="Times New Roman" w:hAnsi="Times New Roman" w:cs="Times New Roman"/>
          <w:b/>
          <w:sz w:val="24"/>
          <w:szCs w:val="24"/>
        </w:rPr>
      </w:pPr>
      <w:r w:rsidRPr="00DB1FE8">
        <w:rPr>
          <w:rFonts w:ascii="Times New Roman" w:hAnsi="Times New Roman" w:cs="Times New Roman"/>
          <w:b/>
          <w:sz w:val="24"/>
          <w:szCs w:val="24"/>
        </w:rPr>
        <w:t>Tabula Nr.</w:t>
      </w:r>
      <w:r w:rsidR="0077673B" w:rsidRPr="00DB1FE8">
        <w:rPr>
          <w:rFonts w:ascii="Times New Roman" w:hAnsi="Times New Roman" w:cs="Times New Roman"/>
          <w:b/>
          <w:sz w:val="24"/>
          <w:szCs w:val="24"/>
        </w:rPr>
        <w:t>2.1</w:t>
      </w:r>
      <w:r w:rsidR="002E5B72">
        <w:rPr>
          <w:rFonts w:ascii="Times New Roman" w:hAnsi="Times New Roman" w:cs="Times New Roman"/>
          <w:b/>
          <w:sz w:val="24"/>
          <w:szCs w:val="24"/>
        </w:rPr>
        <w:t>5</w:t>
      </w:r>
      <w:r w:rsidR="0077673B" w:rsidRPr="00DB1FE8">
        <w:rPr>
          <w:rFonts w:ascii="Times New Roman" w:hAnsi="Times New Roman" w:cs="Times New Roman"/>
          <w:b/>
          <w:sz w:val="24"/>
          <w:szCs w:val="24"/>
        </w:rPr>
        <w:t>.1</w:t>
      </w:r>
      <w:r w:rsidRPr="00DB1FE8">
        <w:rPr>
          <w:rFonts w:ascii="Times New Roman" w:hAnsi="Times New Roman" w:cs="Times New Roman"/>
          <w:b/>
          <w:sz w:val="24"/>
          <w:szCs w:val="24"/>
        </w:rPr>
        <w:t xml:space="preserve"> </w:t>
      </w:r>
      <w:r w:rsidR="0073302B" w:rsidRPr="00DB1FE8">
        <w:rPr>
          <w:rFonts w:ascii="Times New Roman" w:hAnsi="Times New Roman" w:cs="Times New Roman"/>
          <w:b/>
          <w:sz w:val="24"/>
          <w:szCs w:val="24"/>
        </w:rPr>
        <w:t>NGF</w:t>
      </w:r>
      <w:r w:rsidRPr="00DB1FE8">
        <w:rPr>
          <w:rFonts w:ascii="Times New Roman" w:hAnsi="Times New Roman" w:cs="Times New Roman"/>
          <w:b/>
          <w:sz w:val="24"/>
          <w:szCs w:val="24"/>
        </w:rPr>
        <w:t xml:space="preserve"> ietekme uz vispārējās valdības budžeta bilanci, milj. </w:t>
      </w:r>
      <w:r w:rsidRPr="00DB1FE8">
        <w:rPr>
          <w:rFonts w:ascii="Times New Roman" w:hAnsi="Times New Roman" w:cs="Times New Roman"/>
          <w:b/>
          <w:i/>
          <w:sz w:val="24"/>
          <w:szCs w:val="24"/>
        </w:rPr>
        <w:t>euro</w:t>
      </w:r>
    </w:p>
    <w:tbl>
      <w:tblPr>
        <w:tblStyle w:val="GridTable6Colorful-Accent1"/>
        <w:tblW w:w="9282" w:type="dxa"/>
        <w:jc w:val="center"/>
        <w:tblLayout w:type="fixed"/>
        <w:tblLook w:val="04A0" w:firstRow="1" w:lastRow="0" w:firstColumn="1" w:lastColumn="0" w:noHBand="0" w:noVBand="1"/>
      </w:tblPr>
      <w:tblGrid>
        <w:gridCol w:w="1032"/>
        <w:gridCol w:w="1032"/>
        <w:gridCol w:w="1032"/>
        <w:gridCol w:w="1031"/>
        <w:gridCol w:w="1031"/>
        <w:gridCol w:w="1031"/>
        <w:gridCol w:w="1031"/>
        <w:gridCol w:w="1031"/>
        <w:gridCol w:w="1031"/>
      </w:tblGrid>
      <w:tr w:rsidR="00555142" w:rsidRPr="00B57D0A" w14:paraId="16E95182" w14:textId="3484F250" w:rsidTr="00DD34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4922B2CA" w14:textId="77777777" w:rsidR="00555142" w:rsidRPr="00DD346B" w:rsidRDefault="00555142" w:rsidP="00C906CF">
            <w:pPr>
              <w:ind w:hanging="90"/>
              <w:jc w:val="center"/>
              <w:rPr>
                <w:rFonts w:ascii="Times New Roman" w:hAnsi="Times New Roman" w:cs="Times New Roman"/>
                <w:color w:val="000000" w:themeColor="text1"/>
                <w:sz w:val="20"/>
                <w:szCs w:val="20"/>
              </w:rPr>
            </w:pPr>
          </w:p>
        </w:tc>
        <w:tc>
          <w:tcPr>
            <w:tcW w:w="0" w:type="dxa"/>
          </w:tcPr>
          <w:p w14:paraId="6BAFA190" w14:textId="77777777" w:rsidR="00555142" w:rsidRPr="00DD346B" w:rsidRDefault="00555142" w:rsidP="00020BF3">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2017</w:t>
            </w:r>
          </w:p>
        </w:tc>
        <w:tc>
          <w:tcPr>
            <w:tcW w:w="0" w:type="dxa"/>
          </w:tcPr>
          <w:p w14:paraId="4BD61051" w14:textId="77777777" w:rsidR="00555142" w:rsidRPr="00DD346B" w:rsidRDefault="00555142"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2018</w:t>
            </w:r>
          </w:p>
        </w:tc>
        <w:tc>
          <w:tcPr>
            <w:tcW w:w="0" w:type="dxa"/>
          </w:tcPr>
          <w:p w14:paraId="6E3CC8C4" w14:textId="77777777" w:rsidR="00555142" w:rsidRPr="00DD346B" w:rsidRDefault="00555142"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2019</w:t>
            </w:r>
          </w:p>
        </w:tc>
        <w:tc>
          <w:tcPr>
            <w:tcW w:w="0" w:type="dxa"/>
          </w:tcPr>
          <w:p w14:paraId="2CEF0323" w14:textId="77777777" w:rsidR="00555142" w:rsidRPr="00DD346B" w:rsidRDefault="00555142"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2020</w:t>
            </w:r>
          </w:p>
        </w:tc>
        <w:tc>
          <w:tcPr>
            <w:tcW w:w="0" w:type="dxa"/>
          </w:tcPr>
          <w:p w14:paraId="685819F9" w14:textId="77777777" w:rsidR="00555142" w:rsidRPr="00DD346B" w:rsidRDefault="00555142"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2021</w:t>
            </w:r>
          </w:p>
        </w:tc>
        <w:tc>
          <w:tcPr>
            <w:tcW w:w="0" w:type="dxa"/>
          </w:tcPr>
          <w:p w14:paraId="145A1DC0" w14:textId="79C9443C" w:rsidR="00555142" w:rsidRPr="00DD346B" w:rsidRDefault="00555142"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2022</w:t>
            </w:r>
          </w:p>
        </w:tc>
        <w:tc>
          <w:tcPr>
            <w:tcW w:w="0" w:type="dxa"/>
          </w:tcPr>
          <w:p w14:paraId="3D560A46" w14:textId="1133FA8C" w:rsidR="00555142" w:rsidRPr="00DD346B" w:rsidRDefault="00555142"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2023</w:t>
            </w:r>
          </w:p>
        </w:tc>
        <w:tc>
          <w:tcPr>
            <w:tcW w:w="0" w:type="dxa"/>
          </w:tcPr>
          <w:p w14:paraId="6B50B18A" w14:textId="35AF253A" w:rsidR="00555142" w:rsidRPr="00DD346B" w:rsidRDefault="00555142"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2024*</w:t>
            </w:r>
          </w:p>
        </w:tc>
      </w:tr>
      <w:tr w:rsidR="00555142" w:rsidRPr="00B57D0A" w14:paraId="4840E193" w14:textId="11B7EA1B" w:rsidTr="00DD34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0FE898DC" w14:textId="77777777" w:rsidR="00555142" w:rsidRPr="00DD346B" w:rsidRDefault="00555142" w:rsidP="00CE79ED">
            <w:pPr>
              <w:ind w:hanging="90"/>
              <w:jc w:val="center"/>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Ietekme</w:t>
            </w:r>
          </w:p>
        </w:tc>
        <w:tc>
          <w:tcPr>
            <w:tcW w:w="0" w:type="dxa"/>
            <w:vAlign w:val="center"/>
          </w:tcPr>
          <w:p w14:paraId="6880E0A1" w14:textId="77777777"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sz w:val="20"/>
                <w:szCs w:val="20"/>
              </w:rPr>
              <w:t>16,7</w:t>
            </w:r>
          </w:p>
        </w:tc>
        <w:tc>
          <w:tcPr>
            <w:tcW w:w="0" w:type="dxa"/>
            <w:vAlign w:val="center"/>
          </w:tcPr>
          <w:p w14:paraId="33365C34" w14:textId="77777777" w:rsidR="00555142" w:rsidRPr="00DD346B" w:rsidRDefault="00555142" w:rsidP="00196B0D">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sz w:val="20"/>
                <w:szCs w:val="20"/>
              </w:rPr>
              <w:t>14,1</w:t>
            </w:r>
          </w:p>
        </w:tc>
        <w:tc>
          <w:tcPr>
            <w:tcW w:w="0" w:type="dxa"/>
            <w:vAlign w:val="center"/>
          </w:tcPr>
          <w:p w14:paraId="477BF6F4" w14:textId="77777777"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sz w:val="20"/>
                <w:szCs w:val="20"/>
              </w:rPr>
              <w:t>13,5</w:t>
            </w:r>
          </w:p>
        </w:tc>
        <w:tc>
          <w:tcPr>
            <w:tcW w:w="0" w:type="dxa"/>
            <w:vAlign w:val="center"/>
          </w:tcPr>
          <w:p w14:paraId="79BDD417" w14:textId="482813B9"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DD346B">
              <w:rPr>
                <w:rFonts w:ascii="Times New Roman" w:hAnsi="Times New Roman" w:cs="Times New Roman"/>
                <w:color w:val="000000"/>
                <w:sz w:val="20"/>
                <w:szCs w:val="20"/>
              </w:rPr>
              <w:t>18,3</w:t>
            </w:r>
          </w:p>
        </w:tc>
        <w:tc>
          <w:tcPr>
            <w:tcW w:w="0" w:type="dxa"/>
            <w:vAlign w:val="center"/>
          </w:tcPr>
          <w:p w14:paraId="027E7450" w14:textId="3F3D6603"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-47,6</w:t>
            </w:r>
          </w:p>
        </w:tc>
        <w:tc>
          <w:tcPr>
            <w:tcW w:w="0" w:type="dxa"/>
            <w:vAlign w:val="center"/>
          </w:tcPr>
          <w:p w14:paraId="4956F970" w14:textId="17047F48"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19,9</w:t>
            </w:r>
          </w:p>
        </w:tc>
        <w:tc>
          <w:tcPr>
            <w:tcW w:w="0" w:type="dxa"/>
          </w:tcPr>
          <w:p w14:paraId="0B189883" w14:textId="1674A248"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26,7</w:t>
            </w:r>
          </w:p>
        </w:tc>
        <w:tc>
          <w:tcPr>
            <w:tcW w:w="0" w:type="dxa"/>
          </w:tcPr>
          <w:p w14:paraId="579CC1BC" w14:textId="77CA45F4" w:rsidR="00555142" w:rsidRPr="00DD346B" w:rsidRDefault="00224654"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29,9</w:t>
            </w:r>
          </w:p>
        </w:tc>
      </w:tr>
      <w:tr w:rsidR="00555142" w:rsidRPr="00B57D0A" w14:paraId="01DF9C51" w14:textId="33C11E6B" w:rsidTr="00DD346B">
        <w:trPr>
          <w:jc w:val="center"/>
        </w:trPr>
        <w:tc>
          <w:tcPr>
            <w:cnfStyle w:val="001000000000" w:firstRow="0" w:lastRow="0" w:firstColumn="1" w:lastColumn="0" w:oddVBand="0" w:evenVBand="0" w:oddHBand="0" w:evenHBand="0" w:firstRowFirstColumn="0" w:firstRowLastColumn="0" w:lastRowFirstColumn="0" w:lastRowLastColumn="0"/>
            <w:tcW w:w="0" w:type="dxa"/>
          </w:tcPr>
          <w:p w14:paraId="5968BE20" w14:textId="37BF4C4E" w:rsidR="00555142" w:rsidRPr="00DD346B" w:rsidRDefault="00555142" w:rsidP="00B34CE2">
            <w:pPr>
              <w:ind w:hanging="90"/>
              <w:jc w:val="center"/>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Prognoze</w:t>
            </w:r>
          </w:p>
        </w:tc>
        <w:tc>
          <w:tcPr>
            <w:tcW w:w="0" w:type="dxa"/>
            <w:vAlign w:val="center"/>
          </w:tcPr>
          <w:p w14:paraId="2E1626EB" w14:textId="782DDB79" w:rsidR="00555142" w:rsidRPr="00DD346B" w:rsidRDefault="00555142"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w:t>
            </w:r>
          </w:p>
        </w:tc>
        <w:tc>
          <w:tcPr>
            <w:tcW w:w="0" w:type="dxa"/>
            <w:vAlign w:val="center"/>
          </w:tcPr>
          <w:p w14:paraId="22DFC763" w14:textId="3EA6F9A0" w:rsidR="00555142" w:rsidRPr="00DD346B" w:rsidRDefault="00555142" w:rsidP="00196B0D">
            <w:pPr>
              <w:ind w:right="-77"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16,0</w:t>
            </w:r>
          </w:p>
        </w:tc>
        <w:tc>
          <w:tcPr>
            <w:tcW w:w="0" w:type="dxa"/>
            <w:vAlign w:val="center"/>
          </w:tcPr>
          <w:p w14:paraId="7DF0D569" w14:textId="66BF5941" w:rsidR="00555142" w:rsidRPr="00DD346B" w:rsidRDefault="00555142"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15,5</w:t>
            </w:r>
          </w:p>
        </w:tc>
        <w:tc>
          <w:tcPr>
            <w:tcW w:w="0" w:type="dxa"/>
            <w:vAlign w:val="center"/>
          </w:tcPr>
          <w:p w14:paraId="1B38230B" w14:textId="2EE6F949" w:rsidR="00555142" w:rsidRPr="00DD346B" w:rsidRDefault="00555142"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18,9</w:t>
            </w:r>
          </w:p>
        </w:tc>
        <w:tc>
          <w:tcPr>
            <w:tcW w:w="0" w:type="dxa"/>
            <w:vAlign w:val="center"/>
          </w:tcPr>
          <w:p w14:paraId="53A52740" w14:textId="0D59D1A5" w:rsidR="00555142" w:rsidRPr="00DD346B" w:rsidRDefault="00555142"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16,9</w:t>
            </w:r>
          </w:p>
        </w:tc>
        <w:tc>
          <w:tcPr>
            <w:tcW w:w="0" w:type="dxa"/>
            <w:vAlign w:val="center"/>
          </w:tcPr>
          <w:p w14:paraId="6B1E1E16" w14:textId="3ECF96E4" w:rsidR="00555142" w:rsidRPr="00DD346B" w:rsidRDefault="00555142"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19,9</w:t>
            </w:r>
          </w:p>
        </w:tc>
        <w:tc>
          <w:tcPr>
            <w:tcW w:w="0" w:type="dxa"/>
          </w:tcPr>
          <w:p w14:paraId="0A3E27FB" w14:textId="70268777" w:rsidR="00555142" w:rsidRPr="00DD346B" w:rsidRDefault="00555142"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21,4</w:t>
            </w:r>
          </w:p>
        </w:tc>
        <w:tc>
          <w:tcPr>
            <w:tcW w:w="0" w:type="dxa"/>
          </w:tcPr>
          <w:p w14:paraId="12B8AF8A" w14:textId="05E37F93" w:rsidR="00555142" w:rsidRPr="00DD346B" w:rsidRDefault="00224654"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23,1</w:t>
            </w:r>
          </w:p>
        </w:tc>
      </w:tr>
      <w:tr w:rsidR="00555142" w:rsidRPr="00B57D0A" w14:paraId="3B3A5B23" w14:textId="5232EB3E" w:rsidTr="00DD34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5A50645F" w14:textId="16B38E2E" w:rsidR="00555142" w:rsidRPr="00DD346B" w:rsidRDefault="00555142" w:rsidP="00196B0D">
            <w:pPr>
              <w:ind w:hanging="90"/>
              <w:jc w:val="center"/>
              <w:rPr>
                <w:rFonts w:ascii="Times New Roman" w:hAnsi="Times New Roman" w:cs="Times New Roman"/>
                <w:color w:val="000000" w:themeColor="text1"/>
                <w:sz w:val="20"/>
                <w:szCs w:val="20"/>
              </w:rPr>
            </w:pPr>
            <w:r w:rsidRPr="00DD346B">
              <w:rPr>
                <w:rFonts w:ascii="Times New Roman" w:hAnsi="Times New Roman" w:cs="Times New Roman"/>
                <w:color w:val="000000" w:themeColor="text1"/>
                <w:sz w:val="20"/>
                <w:szCs w:val="20"/>
              </w:rPr>
              <w:t>Novirze</w:t>
            </w:r>
          </w:p>
        </w:tc>
        <w:tc>
          <w:tcPr>
            <w:tcW w:w="0" w:type="dxa"/>
            <w:vAlign w:val="bottom"/>
          </w:tcPr>
          <w:p w14:paraId="2BE1BD63" w14:textId="53DE8701"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D346B">
              <w:rPr>
                <w:rFonts w:ascii="Times New Roman" w:hAnsi="Times New Roman" w:cs="Times New Roman"/>
                <w:color w:val="000000"/>
                <w:sz w:val="20"/>
                <w:szCs w:val="20"/>
              </w:rPr>
              <w:t>-</w:t>
            </w:r>
          </w:p>
        </w:tc>
        <w:tc>
          <w:tcPr>
            <w:tcW w:w="0" w:type="dxa"/>
          </w:tcPr>
          <w:p w14:paraId="0E2B50F1" w14:textId="04EA0BAA" w:rsidR="00555142" w:rsidRPr="00DD346B" w:rsidRDefault="00555142" w:rsidP="00196B0D">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DD346B">
              <w:rPr>
                <w:rFonts w:ascii="Times New Roman" w:hAnsi="Times New Roman" w:cs="Times New Roman"/>
                <w:b/>
                <w:bCs/>
                <w:color w:val="000000"/>
                <w:sz w:val="20"/>
                <w:szCs w:val="20"/>
              </w:rPr>
              <w:t>-1,9</w:t>
            </w:r>
          </w:p>
        </w:tc>
        <w:tc>
          <w:tcPr>
            <w:tcW w:w="0" w:type="dxa"/>
          </w:tcPr>
          <w:p w14:paraId="2ECCD617" w14:textId="08E32E5E"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DD346B">
              <w:rPr>
                <w:rFonts w:ascii="Times New Roman" w:hAnsi="Times New Roman" w:cs="Times New Roman"/>
                <w:b/>
                <w:bCs/>
                <w:color w:val="000000"/>
                <w:sz w:val="20"/>
                <w:szCs w:val="20"/>
              </w:rPr>
              <w:t>-2,0</w:t>
            </w:r>
          </w:p>
        </w:tc>
        <w:tc>
          <w:tcPr>
            <w:tcW w:w="0" w:type="dxa"/>
          </w:tcPr>
          <w:p w14:paraId="033DEE1A" w14:textId="06AEEDE3"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DD346B">
              <w:rPr>
                <w:rFonts w:ascii="Times New Roman" w:hAnsi="Times New Roman" w:cs="Times New Roman"/>
                <w:b/>
                <w:bCs/>
                <w:color w:val="000000"/>
                <w:sz w:val="20"/>
                <w:szCs w:val="20"/>
              </w:rPr>
              <w:t>-0,6</w:t>
            </w:r>
          </w:p>
        </w:tc>
        <w:tc>
          <w:tcPr>
            <w:tcW w:w="0" w:type="dxa"/>
          </w:tcPr>
          <w:p w14:paraId="79E40254" w14:textId="253A8D7B"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DD346B">
              <w:rPr>
                <w:rFonts w:ascii="Times New Roman" w:hAnsi="Times New Roman" w:cs="Times New Roman"/>
                <w:b/>
                <w:bCs/>
                <w:color w:val="000000"/>
                <w:sz w:val="20"/>
                <w:szCs w:val="20"/>
              </w:rPr>
              <w:t>-64,5</w:t>
            </w:r>
          </w:p>
        </w:tc>
        <w:tc>
          <w:tcPr>
            <w:tcW w:w="0" w:type="dxa"/>
          </w:tcPr>
          <w:p w14:paraId="119DF629" w14:textId="497AFD3A"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DD346B">
              <w:rPr>
                <w:rFonts w:ascii="Times New Roman" w:hAnsi="Times New Roman" w:cs="Times New Roman"/>
                <w:b/>
                <w:bCs/>
                <w:color w:val="000000"/>
                <w:sz w:val="20"/>
                <w:szCs w:val="20"/>
              </w:rPr>
              <w:t>0</w:t>
            </w:r>
          </w:p>
        </w:tc>
        <w:tc>
          <w:tcPr>
            <w:tcW w:w="0" w:type="dxa"/>
          </w:tcPr>
          <w:p w14:paraId="78CB4C3F" w14:textId="33791F84" w:rsidR="00555142" w:rsidRPr="00DD346B" w:rsidRDefault="00555142"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DD346B">
              <w:rPr>
                <w:rFonts w:ascii="Times New Roman" w:hAnsi="Times New Roman" w:cs="Times New Roman"/>
                <w:b/>
                <w:bCs/>
                <w:color w:val="000000"/>
                <w:sz w:val="20"/>
                <w:szCs w:val="20"/>
              </w:rPr>
              <w:t>5,3</w:t>
            </w:r>
          </w:p>
        </w:tc>
        <w:tc>
          <w:tcPr>
            <w:tcW w:w="0" w:type="dxa"/>
          </w:tcPr>
          <w:p w14:paraId="06778683" w14:textId="09762FC1" w:rsidR="00555142" w:rsidRPr="00DD346B" w:rsidRDefault="00224654"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DD346B">
              <w:rPr>
                <w:rFonts w:ascii="Times New Roman" w:hAnsi="Times New Roman" w:cs="Times New Roman"/>
                <w:b/>
                <w:bCs/>
                <w:color w:val="000000"/>
                <w:sz w:val="20"/>
                <w:szCs w:val="20"/>
              </w:rPr>
              <w:t>6,8</w:t>
            </w:r>
          </w:p>
        </w:tc>
      </w:tr>
    </w:tbl>
    <w:p w14:paraId="7C1AAD4D" w14:textId="0112496D" w:rsidR="001C210B" w:rsidRPr="00DB1FE8" w:rsidRDefault="55AF9935" w:rsidP="469479B5">
      <w:pPr>
        <w:spacing w:after="0" w:line="240" w:lineRule="auto"/>
        <w:ind w:hanging="90"/>
        <w:rPr>
          <w:rFonts w:ascii="Times New Roman" w:hAnsi="Times New Roman"/>
          <w:sz w:val="20"/>
          <w:szCs w:val="20"/>
        </w:rPr>
      </w:pPr>
      <w:r w:rsidRPr="469479B5">
        <w:rPr>
          <w:rFonts w:ascii="Times New Roman" w:hAnsi="Times New Roman"/>
          <w:sz w:val="20"/>
          <w:szCs w:val="20"/>
        </w:rPr>
        <w:t xml:space="preserve"> </w:t>
      </w:r>
      <w:r w:rsidR="2F07BDEE" w:rsidRPr="469479B5">
        <w:rPr>
          <w:rFonts w:ascii="Times New Roman" w:hAnsi="Times New Roman"/>
          <w:sz w:val="20"/>
          <w:szCs w:val="20"/>
        </w:rPr>
        <w:t>*</w:t>
      </w:r>
      <w:r w:rsidRPr="469479B5">
        <w:rPr>
          <w:rFonts w:ascii="Times New Roman" w:hAnsi="Times New Roman" w:cs="Times New Roman"/>
          <w:i/>
          <w:iCs/>
          <w:sz w:val="20"/>
          <w:szCs w:val="20"/>
        </w:rPr>
        <w:t xml:space="preserve">saskaņā ar Eurostat </w:t>
      </w:r>
      <w:r w:rsidR="52139C32" w:rsidRPr="469479B5">
        <w:rPr>
          <w:rFonts w:ascii="Times New Roman" w:hAnsi="Times New Roman" w:cs="Times New Roman"/>
          <w:i/>
          <w:iCs/>
          <w:sz w:val="20"/>
          <w:szCs w:val="20"/>
        </w:rPr>
        <w:t>202</w:t>
      </w:r>
      <w:r w:rsidR="00555142">
        <w:rPr>
          <w:rFonts w:ascii="Times New Roman" w:hAnsi="Times New Roman" w:cs="Times New Roman"/>
          <w:i/>
          <w:iCs/>
          <w:sz w:val="20"/>
          <w:szCs w:val="20"/>
        </w:rPr>
        <w:t>5</w:t>
      </w:r>
      <w:r w:rsidRPr="469479B5">
        <w:rPr>
          <w:rFonts w:ascii="Times New Roman" w:hAnsi="Times New Roman" w:cs="Times New Roman"/>
          <w:i/>
          <w:iCs/>
          <w:sz w:val="20"/>
          <w:szCs w:val="20"/>
        </w:rPr>
        <w:t>.</w:t>
      </w:r>
      <w:r w:rsidR="735BF5B8" w:rsidRPr="469479B5">
        <w:rPr>
          <w:rFonts w:ascii="Times New Roman" w:hAnsi="Times New Roman" w:cs="Times New Roman"/>
          <w:b/>
          <w:bCs/>
          <w:sz w:val="24"/>
          <w:szCs w:val="24"/>
        </w:rPr>
        <w:t xml:space="preserve"> </w:t>
      </w:r>
      <w:r w:rsidRPr="469479B5">
        <w:rPr>
          <w:rFonts w:ascii="Times New Roman" w:hAnsi="Times New Roman" w:cs="Times New Roman"/>
          <w:i/>
          <w:iCs/>
          <w:sz w:val="20"/>
          <w:szCs w:val="20"/>
        </w:rPr>
        <w:t>gada aprīļa vispārējās valdības budžeta notifikācijas datiem</w:t>
      </w:r>
    </w:p>
    <w:p w14:paraId="550F50F6" w14:textId="77777777" w:rsidR="00CE7A9A" w:rsidRPr="00DB1FE8" w:rsidRDefault="00CE7A9A" w:rsidP="002D428D">
      <w:pPr>
        <w:spacing w:after="0" w:line="240" w:lineRule="auto"/>
        <w:rPr>
          <w:rFonts w:ascii="Times New Roman" w:hAnsi="Times New Roman"/>
          <w:sz w:val="24"/>
          <w:szCs w:val="24"/>
        </w:rPr>
      </w:pPr>
    </w:p>
    <w:p w14:paraId="511A5433" w14:textId="5EAA8268" w:rsidR="00DB1FE8" w:rsidRPr="00E77718" w:rsidRDefault="547C6107" w:rsidP="00940337">
      <w:pPr>
        <w:autoSpaceDE w:val="0"/>
        <w:autoSpaceDN w:val="0"/>
        <w:adjustRightInd w:val="0"/>
        <w:spacing w:after="0" w:line="240" w:lineRule="auto"/>
        <w:ind w:firstLine="720"/>
        <w:jc w:val="both"/>
        <w:rPr>
          <w:rFonts w:ascii="CIDFont+F1" w:hAnsi="CIDFont+F1" w:cs="CIDFont+F1"/>
          <w:color w:val="0000FF"/>
          <w:sz w:val="24"/>
          <w:szCs w:val="24"/>
        </w:rPr>
      </w:pPr>
      <w:r w:rsidRPr="469479B5">
        <w:rPr>
          <w:rFonts w:ascii="Times New Roman" w:hAnsi="Times New Roman" w:cs="Times New Roman"/>
          <w:sz w:val="24"/>
          <w:szCs w:val="24"/>
        </w:rPr>
        <w:t xml:space="preserve">Izteikta </w:t>
      </w:r>
      <w:r w:rsidR="67FB6BF5" w:rsidRPr="469479B5">
        <w:rPr>
          <w:rFonts w:ascii="Times New Roman" w:hAnsi="Times New Roman" w:cs="Times New Roman"/>
          <w:sz w:val="24"/>
          <w:szCs w:val="24"/>
        </w:rPr>
        <w:t>faktisk</w:t>
      </w:r>
      <w:r w:rsidR="02089391" w:rsidRPr="469479B5">
        <w:rPr>
          <w:rFonts w:ascii="Times New Roman" w:hAnsi="Times New Roman" w:cs="Times New Roman"/>
          <w:sz w:val="24"/>
          <w:szCs w:val="24"/>
        </w:rPr>
        <w:t>o</w:t>
      </w:r>
      <w:r w:rsidR="67FB6BF5" w:rsidRPr="469479B5">
        <w:rPr>
          <w:rFonts w:ascii="Times New Roman" w:hAnsi="Times New Roman" w:cs="Times New Roman"/>
          <w:sz w:val="24"/>
          <w:szCs w:val="24"/>
        </w:rPr>
        <w:t xml:space="preserve"> ieņēmumu novirze no to prognozēt</w:t>
      </w:r>
      <w:r w:rsidR="02089391" w:rsidRPr="469479B5">
        <w:rPr>
          <w:rFonts w:ascii="Times New Roman" w:hAnsi="Times New Roman" w:cs="Times New Roman"/>
          <w:sz w:val="24"/>
          <w:szCs w:val="24"/>
        </w:rPr>
        <w:t>ās</w:t>
      </w:r>
      <w:r w:rsidR="67FB6BF5" w:rsidRPr="469479B5">
        <w:rPr>
          <w:rFonts w:ascii="Times New Roman" w:hAnsi="Times New Roman" w:cs="Times New Roman"/>
          <w:sz w:val="24"/>
          <w:szCs w:val="24"/>
        </w:rPr>
        <w:t xml:space="preserve"> vērtīb</w:t>
      </w:r>
      <w:r w:rsidR="02089391" w:rsidRPr="469479B5">
        <w:rPr>
          <w:rFonts w:ascii="Times New Roman" w:hAnsi="Times New Roman" w:cs="Times New Roman"/>
          <w:sz w:val="24"/>
          <w:szCs w:val="24"/>
        </w:rPr>
        <w:t>as</w:t>
      </w:r>
      <w:r w:rsidRPr="469479B5">
        <w:rPr>
          <w:rFonts w:ascii="Times New Roman" w:hAnsi="Times New Roman" w:cs="Times New Roman"/>
          <w:sz w:val="24"/>
          <w:szCs w:val="24"/>
        </w:rPr>
        <w:t xml:space="preserve"> 2021. gadā ir </w:t>
      </w:r>
      <w:r w:rsidR="67FB6BF5" w:rsidRPr="469479B5">
        <w:rPr>
          <w:rFonts w:ascii="Times New Roman" w:hAnsi="Times New Roman" w:cs="Times New Roman"/>
          <w:sz w:val="24"/>
          <w:szCs w:val="24"/>
        </w:rPr>
        <w:t>skaidrojama ar NGF pieņemto lēmumu veidot uzkrājumus 6</w:t>
      </w:r>
      <w:r w:rsidR="738EB4E1" w:rsidRPr="469479B5">
        <w:rPr>
          <w:rFonts w:ascii="Times New Roman" w:hAnsi="Times New Roman" w:cs="Times New Roman"/>
          <w:sz w:val="24"/>
          <w:szCs w:val="24"/>
        </w:rPr>
        <w:t>6</w:t>
      </w:r>
      <w:r w:rsidRPr="469479B5">
        <w:rPr>
          <w:rFonts w:ascii="Times New Roman" w:hAnsi="Times New Roman" w:cs="Times New Roman"/>
          <w:sz w:val="24"/>
          <w:szCs w:val="24"/>
        </w:rPr>
        <w:t>,5</w:t>
      </w:r>
      <w:r w:rsidR="67FB6BF5" w:rsidRPr="469479B5">
        <w:rPr>
          <w:rFonts w:ascii="Times New Roman" w:hAnsi="Times New Roman" w:cs="Times New Roman"/>
          <w:sz w:val="24"/>
          <w:szCs w:val="24"/>
        </w:rPr>
        <w:t xml:space="preserve"> milj. </w:t>
      </w:r>
      <w:r w:rsidR="67FB6BF5" w:rsidRPr="469479B5">
        <w:rPr>
          <w:rFonts w:ascii="Times New Roman" w:hAnsi="Times New Roman" w:cs="Times New Roman"/>
          <w:i/>
          <w:iCs/>
          <w:sz w:val="24"/>
          <w:szCs w:val="24"/>
        </w:rPr>
        <w:t>euro</w:t>
      </w:r>
      <w:r w:rsidR="67FB6BF5" w:rsidRPr="469479B5">
        <w:rPr>
          <w:rFonts w:ascii="Times New Roman" w:hAnsi="Times New Roman" w:cs="Times New Roman"/>
          <w:sz w:val="24"/>
          <w:szCs w:val="24"/>
        </w:rPr>
        <w:t xml:space="preserve"> apmērā par neatgūstamo prasības daļu par izmaksātajām garantētajām atlīdzībām AS </w:t>
      </w:r>
      <w:r w:rsidR="00E31135">
        <w:rPr>
          <w:rFonts w:ascii="Times New Roman" w:hAnsi="Times New Roman" w:cs="Times New Roman"/>
          <w:sz w:val="24"/>
          <w:szCs w:val="24"/>
        </w:rPr>
        <w:t>“</w:t>
      </w:r>
      <w:r w:rsidR="67FB6BF5" w:rsidRPr="469479B5">
        <w:rPr>
          <w:rFonts w:ascii="Times New Roman" w:hAnsi="Times New Roman" w:cs="Times New Roman"/>
          <w:sz w:val="24"/>
          <w:szCs w:val="24"/>
        </w:rPr>
        <w:t>PNB Banka</w:t>
      </w:r>
      <w:r w:rsidR="00E31135">
        <w:rPr>
          <w:rFonts w:ascii="Times New Roman" w:hAnsi="Times New Roman" w:cs="Times New Roman"/>
          <w:sz w:val="24"/>
          <w:szCs w:val="24"/>
        </w:rPr>
        <w:t>”</w:t>
      </w:r>
      <w:r w:rsidR="67FB6BF5" w:rsidRPr="469479B5">
        <w:rPr>
          <w:rFonts w:ascii="Times New Roman" w:hAnsi="Times New Roman" w:cs="Times New Roman"/>
          <w:sz w:val="24"/>
          <w:szCs w:val="24"/>
        </w:rPr>
        <w:t xml:space="preserve"> noguldītājiem</w:t>
      </w:r>
      <w:r w:rsidR="02089391" w:rsidRPr="469479B5">
        <w:rPr>
          <w:rFonts w:ascii="Times New Roman" w:hAnsi="Times New Roman" w:cs="Times New Roman"/>
          <w:sz w:val="24"/>
          <w:szCs w:val="24"/>
        </w:rPr>
        <w:t>.</w:t>
      </w:r>
      <w:r w:rsidRPr="469479B5">
        <w:rPr>
          <w:rFonts w:ascii="Times New Roman" w:hAnsi="Times New Roman" w:cs="Times New Roman"/>
          <w:sz w:val="24"/>
          <w:szCs w:val="24"/>
        </w:rPr>
        <w:t xml:space="preserve"> </w:t>
      </w:r>
      <w:r w:rsidR="73746E39" w:rsidRPr="469479B5">
        <w:rPr>
          <w:rFonts w:ascii="Times New Roman" w:hAnsi="Times New Roman" w:cs="Times New Roman"/>
          <w:sz w:val="24"/>
          <w:szCs w:val="24"/>
        </w:rPr>
        <w:t xml:space="preserve">Ievērojot minēto, riskus, kas saistīti ar NGF ir jāturpina analizēt, bet tam pašreiz </w:t>
      </w:r>
      <w:r w:rsidR="73746E39" w:rsidRPr="469479B5">
        <w:rPr>
          <w:rFonts w:ascii="Times New Roman" w:hAnsi="Times New Roman" w:cs="Times New Roman"/>
          <w:b/>
          <w:bCs/>
          <w:sz w:val="24"/>
          <w:szCs w:val="24"/>
        </w:rPr>
        <w:t>netiek veidota fiskālā nodrošinājuma rezerve.</w:t>
      </w:r>
    </w:p>
    <w:p w14:paraId="7FBC58A8" w14:textId="4B9162BE" w:rsidR="00F455BF" w:rsidRDefault="00F455BF">
      <w:pPr>
        <w:rPr>
          <w:rFonts w:ascii="Times New Roman" w:hAnsi="Times New Roman"/>
          <w:sz w:val="24"/>
          <w:szCs w:val="24"/>
        </w:rPr>
      </w:pPr>
      <w:r>
        <w:rPr>
          <w:rFonts w:ascii="Times New Roman" w:hAnsi="Times New Roman"/>
          <w:sz w:val="24"/>
          <w:szCs w:val="24"/>
        </w:rPr>
        <w:br w:type="page"/>
      </w:r>
    </w:p>
    <w:p w14:paraId="6D5D0C47" w14:textId="77777777" w:rsidR="008F58C9" w:rsidRPr="00DB1FE8" w:rsidRDefault="008F58C9" w:rsidP="0058124B">
      <w:pPr>
        <w:pStyle w:val="Heading1"/>
        <w:numPr>
          <w:ilvl w:val="0"/>
          <w:numId w:val="4"/>
        </w:numPr>
        <w:jc w:val="center"/>
        <w:rPr>
          <w:rFonts w:ascii="Times New Roman" w:hAnsi="Times New Roman" w:cs="Times New Roman"/>
          <w:sz w:val="32"/>
        </w:rPr>
      </w:pPr>
      <w:bookmarkStart w:id="137" w:name="_Toc80106059"/>
      <w:bookmarkStart w:id="138" w:name="_Toc536779069"/>
      <w:bookmarkStart w:id="139" w:name="_Toc205554427"/>
      <w:bookmarkEnd w:id="137"/>
      <w:r w:rsidRPr="00DB1FE8">
        <w:rPr>
          <w:rFonts w:ascii="Times New Roman" w:hAnsi="Times New Roman" w:cs="Times New Roman"/>
          <w:sz w:val="32"/>
        </w:rPr>
        <w:t>Nekvantificējamie fiskālie riski</w:t>
      </w:r>
      <w:bookmarkEnd w:id="138"/>
      <w:bookmarkEnd w:id="139"/>
    </w:p>
    <w:p w14:paraId="5219C101" w14:textId="77777777" w:rsidR="00822D84" w:rsidRPr="00980D91" w:rsidRDefault="00822D84" w:rsidP="0058124B">
      <w:pPr>
        <w:pStyle w:val="Heading2"/>
        <w:numPr>
          <w:ilvl w:val="1"/>
          <w:numId w:val="4"/>
        </w:numPr>
        <w:tabs>
          <w:tab w:val="left" w:pos="3261"/>
        </w:tabs>
        <w:spacing w:before="120" w:after="120" w:line="240" w:lineRule="auto"/>
        <w:ind w:left="567" w:hanging="501"/>
        <w:rPr>
          <w:rFonts w:cs="Times New Roman"/>
          <w:bCs w:val="0"/>
          <w:color w:val="auto"/>
          <w:szCs w:val="24"/>
        </w:rPr>
      </w:pPr>
      <w:bookmarkStart w:id="140" w:name="_Toc79678124"/>
      <w:bookmarkStart w:id="141" w:name="_Toc80036173"/>
      <w:bookmarkStart w:id="142" w:name="_Toc80036240"/>
      <w:bookmarkStart w:id="143" w:name="_Toc80106061"/>
      <w:bookmarkStart w:id="144" w:name="_Toc79678125"/>
      <w:bookmarkStart w:id="145" w:name="_Toc80036174"/>
      <w:bookmarkStart w:id="146" w:name="_Toc80036241"/>
      <w:bookmarkStart w:id="147" w:name="_Toc80106062"/>
      <w:bookmarkStart w:id="148" w:name="_Toc79678126"/>
      <w:bookmarkStart w:id="149" w:name="_Toc80036175"/>
      <w:bookmarkStart w:id="150" w:name="_Toc80036242"/>
      <w:bookmarkStart w:id="151" w:name="_Toc80106063"/>
      <w:bookmarkStart w:id="152" w:name="_Toc79678127"/>
      <w:bookmarkStart w:id="153" w:name="_Toc80036176"/>
      <w:bookmarkStart w:id="154" w:name="_Toc80036243"/>
      <w:bookmarkStart w:id="155" w:name="_Toc80106064"/>
      <w:bookmarkStart w:id="156" w:name="_Toc79678128"/>
      <w:bookmarkStart w:id="157" w:name="_Toc80036177"/>
      <w:bookmarkStart w:id="158" w:name="_Toc80036244"/>
      <w:bookmarkStart w:id="159" w:name="_Toc80106065"/>
      <w:bookmarkStart w:id="160" w:name="_Toc79678129"/>
      <w:bookmarkStart w:id="161" w:name="_Toc80036178"/>
      <w:bookmarkStart w:id="162" w:name="_Toc80036245"/>
      <w:bookmarkStart w:id="163" w:name="_Toc80106066"/>
      <w:bookmarkStart w:id="164" w:name="_Toc79678130"/>
      <w:bookmarkStart w:id="165" w:name="_Toc80036179"/>
      <w:bookmarkStart w:id="166" w:name="_Toc80036246"/>
      <w:bookmarkStart w:id="167" w:name="_Toc80106067"/>
      <w:bookmarkStart w:id="168" w:name="_Toc79678131"/>
      <w:bookmarkStart w:id="169" w:name="_Toc80036180"/>
      <w:bookmarkStart w:id="170" w:name="_Toc80036247"/>
      <w:bookmarkStart w:id="171" w:name="_Toc80106068"/>
      <w:bookmarkStart w:id="172" w:name="_Toc79678132"/>
      <w:bookmarkStart w:id="173" w:name="_Toc80036181"/>
      <w:bookmarkStart w:id="174" w:name="_Toc80036248"/>
      <w:bookmarkStart w:id="175" w:name="_Toc80106069"/>
      <w:bookmarkStart w:id="176" w:name="_Toc79678133"/>
      <w:bookmarkStart w:id="177" w:name="_Toc80036182"/>
      <w:bookmarkStart w:id="178" w:name="_Toc80036249"/>
      <w:bookmarkStart w:id="179" w:name="_Toc80106070"/>
      <w:bookmarkStart w:id="180" w:name="_Toc79678134"/>
      <w:bookmarkStart w:id="181" w:name="_Toc80036183"/>
      <w:bookmarkStart w:id="182" w:name="_Toc80036250"/>
      <w:bookmarkStart w:id="183" w:name="_Toc80106071"/>
      <w:bookmarkStart w:id="184" w:name="_Toc79678135"/>
      <w:bookmarkStart w:id="185" w:name="_Toc80036184"/>
      <w:bookmarkStart w:id="186" w:name="_Toc80036251"/>
      <w:bookmarkStart w:id="187" w:name="_Toc80106072"/>
      <w:bookmarkStart w:id="188" w:name="_Toc79678139"/>
      <w:bookmarkStart w:id="189" w:name="_Toc80036188"/>
      <w:bookmarkStart w:id="190" w:name="_Toc80036255"/>
      <w:bookmarkStart w:id="191" w:name="_Toc80106076"/>
      <w:bookmarkStart w:id="192" w:name="_Toc79678159"/>
      <w:bookmarkStart w:id="193" w:name="_Toc80036208"/>
      <w:bookmarkStart w:id="194" w:name="_Toc80036275"/>
      <w:bookmarkStart w:id="195" w:name="_Toc80106096"/>
      <w:bookmarkStart w:id="196" w:name="_Toc79678160"/>
      <w:bookmarkStart w:id="197" w:name="_Toc80036209"/>
      <w:bookmarkStart w:id="198" w:name="_Toc80036276"/>
      <w:bookmarkStart w:id="199" w:name="_Toc80106097"/>
      <w:bookmarkStart w:id="200" w:name="_Toc79678161"/>
      <w:bookmarkStart w:id="201" w:name="_Toc80036210"/>
      <w:bookmarkStart w:id="202" w:name="_Toc80036277"/>
      <w:bookmarkStart w:id="203" w:name="_Toc80106098"/>
      <w:bookmarkStart w:id="204" w:name="_Toc79678162"/>
      <w:bookmarkStart w:id="205" w:name="_Toc80036211"/>
      <w:bookmarkStart w:id="206" w:name="_Toc80036278"/>
      <w:bookmarkStart w:id="207" w:name="_Toc80106099"/>
      <w:bookmarkStart w:id="208" w:name="_Toc79678163"/>
      <w:bookmarkStart w:id="209" w:name="_Toc80036212"/>
      <w:bookmarkStart w:id="210" w:name="_Toc80036279"/>
      <w:bookmarkStart w:id="211" w:name="_Toc80106100"/>
      <w:bookmarkStart w:id="212" w:name="_Toc79678164"/>
      <w:bookmarkStart w:id="213" w:name="_Toc80036213"/>
      <w:bookmarkStart w:id="214" w:name="_Toc80036280"/>
      <w:bookmarkStart w:id="215" w:name="_Toc80106101"/>
      <w:bookmarkStart w:id="216" w:name="_Toc405371087"/>
      <w:bookmarkStart w:id="217" w:name="_Toc536779071"/>
      <w:bookmarkStart w:id="218" w:name="_Hlk168395256"/>
      <w:bookmarkStart w:id="219" w:name="_Toc205554428"/>
      <w:bookmarkStart w:id="220" w:name="_Hlk205289909"/>
      <w:bookmarkStart w:id="221" w:name="_Hlk199747691"/>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980D91">
        <w:rPr>
          <w:rFonts w:cs="Times New Roman"/>
          <w:bCs w:val="0"/>
          <w:color w:val="auto"/>
          <w:szCs w:val="24"/>
        </w:rPr>
        <w:t>Starptautisko tiesu un Satversmes tiesas spriedumu izpilde</w:t>
      </w:r>
      <w:bookmarkEnd w:id="216"/>
      <w:bookmarkEnd w:id="217"/>
      <w:bookmarkEnd w:id="218"/>
      <w:bookmarkEnd w:id="219"/>
    </w:p>
    <w:p w14:paraId="410E1D81" w14:textId="0340CD9D" w:rsidR="00626E14" w:rsidRPr="00DB1FE8" w:rsidRDefault="00626E14" w:rsidP="00D327CE">
      <w:pPr>
        <w:spacing w:after="0" w:line="240" w:lineRule="auto"/>
        <w:ind w:firstLine="720"/>
        <w:jc w:val="both"/>
        <w:rPr>
          <w:rFonts w:ascii="Times New Roman" w:eastAsiaTheme="minorHAnsi" w:hAnsi="Times New Roman" w:cs="Times New Roman"/>
          <w:sz w:val="24"/>
          <w:szCs w:val="24"/>
        </w:rPr>
      </w:pPr>
      <w:bookmarkStart w:id="222" w:name="_Hlk168395284"/>
      <w:bookmarkEnd w:id="220"/>
      <w:r w:rsidRPr="00DB1FE8">
        <w:rPr>
          <w:rFonts w:ascii="Times New Roman" w:eastAsiaTheme="minorHAnsi" w:hAnsi="Times New Roman" w:cs="Times New Roman"/>
          <w:sz w:val="24"/>
          <w:szCs w:val="24"/>
        </w:rPr>
        <w:t xml:space="preserve">Fiskālā riska avots šajā gadījumā ir tiesas procesa rezultāts, kas ir saistīts ar valsts budžeta izdevumu pieaugumu un līdz ar to pasliktina vispārējās valdības budžeta bilanci. Tomēr vēsturiskā pieredze liecina, ka atsevišķos gadījumos </w:t>
      </w:r>
      <w:r w:rsidR="00CA7612" w:rsidRPr="00DB1FE8">
        <w:rPr>
          <w:rFonts w:ascii="Times New Roman" w:eastAsiaTheme="minorHAnsi" w:hAnsi="Times New Roman" w:cs="Times New Roman"/>
          <w:sz w:val="24"/>
          <w:szCs w:val="24"/>
        </w:rPr>
        <w:t xml:space="preserve">EK </w:t>
      </w:r>
      <w:r w:rsidRPr="00DB1FE8">
        <w:rPr>
          <w:rFonts w:ascii="Times New Roman" w:eastAsiaTheme="minorHAnsi" w:hAnsi="Times New Roman" w:cs="Times New Roman"/>
          <w:sz w:val="24"/>
          <w:szCs w:val="24"/>
        </w:rPr>
        <w:t>šos izdevumus uzskata par vienreizējiem pasākumiem, kas līdz ar to ietekmē vispārējās valdības nominālo budžeta bilanci, bet neietekmē vispārējās valdības strukturālo budžeta bilanci. Tiesvedības procesi skar atšķirīgus jautājumus, tāpēc to vienota uzskaite ir grūti īstenojama. Vienlaikus šim specifisko risku kopumam nevar novērtēt iestāšanās varbūtību un fiskālo ietekmi, to var mēģināt novērtēt tikai atsevišķiem tiesvedības procesiem.</w:t>
      </w:r>
    </w:p>
    <w:p w14:paraId="53BA577A" w14:textId="2AB127D9" w:rsidR="0056708F" w:rsidRPr="00933336" w:rsidRDefault="0056708F" w:rsidP="00D327CE">
      <w:pPr>
        <w:spacing w:after="0" w:line="240" w:lineRule="auto"/>
        <w:ind w:firstLine="720"/>
        <w:jc w:val="both"/>
      </w:pPr>
      <w:r w:rsidRPr="00DB1FE8">
        <w:rPr>
          <w:rFonts w:ascii="Times New Roman" w:hAnsi="Times New Roman" w:cs="Times New Roman"/>
          <w:sz w:val="24"/>
          <w:szCs w:val="24"/>
        </w:rPr>
        <w:t xml:space="preserve">Saistībā ar tiesvedībām </w:t>
      </w:r>
      <w:r w:rsidRPr="00DB1FE8">
        <w:rPr>
          <w:rFonts w:ascii="Times New Roman" w:hAnsi="Times New Roman" w:cs="Times New Roman"/>
          <w:b/>
          <w:bCs/>
          <w:sz w:val="24"/>
          <w:szCs w:val="24"/>
        </w:rPr>
        <w:t>ES Tiesā</w:t>
      </w:r>
      <w:r w:rsidRPr="00DB1FE8">
        <w:rPr>
          <w:rFonts w:ascii="Times New Roman" w:hAnsi="Times New Roman" w:cs="Times New Roman"/>
          <w:sz w:val="24"/>
          <w:szCs w:val="24"/>
        </w:rPr>
        <w:t xml:space="preserve"> norādāms, ka ES Tiesa var pieņemt divu veidu spriedumus, t.i., vienā gadījumā ES Tiesa ar pirmo spriedumu paredz finansiālas sankcijas. Tas tā ir gadījumā, ja laicīgi nav pārņemta ES direktīva. Savukārt otrajā gadījumā ES Tiesa pieņem spriedumu, ar kuru tiek konstatēts pārkāpums (strīds pēc būtības </w:t>
      </w:r>
      <w:r w:rsidRPr="00DB1FE8">
        <w:rPr>
          <w:rFonts w:ascii="Times New Roman" w:hAnsi="Times New Roman" w:cs="Times New Roman"/>
          <w:color w:val="000000"/>
          <w:sz w:val="24"/>
          <w:szCs w:val="24"/>
        </w:rPr>
        <w:t>–</w:t>
      </w:r>
      <w:r w:rsidRPr="00DB1FE8">
        <w:rPr>
          <w:rFonts w:ascii="Times New Roman" w:hAnsi="Times New Roman" w:cs="Times New Roman"/>
          <w:sz w:val="24"/>
          <w:szCs w:val="24"/>
        </w:rPr>
        <w:t xml:space="preserve"> </w:t>
      </w:r>
      <w:r w:rsidR="00581E5C">
        <w:rPr>
          <w:rFonts w:ascii="Times New Roman" w:hAnsi="Times New Roman" w:cs="Times New Roman"/>
          <w:sz w:val="24"/>
          <w:szCs w:val="24"/>
        </w:rPr>
        <w:t>Latvijas</w:t>
      </w:r>
      <w:r w:rsidR="00581E5C" w:rsidRPr="00DB1FE8">
        <w:rPr>
          <w:rFonts w:ascii="Times New Roman" w:hAnsi="Times New Roman" w:cs="Times New Roman"/>
          <w:sz w:val="24"/>
          <w:szCs w:val="24"/>
        </w:rPr>
        <w:t xml:space="preserve"> </w:t>
      </w:r>
      <w:r w:rsidRPr="00DB1FE8">
        <w:rPr>
          <w:rFonts w:ascii="Times New Roman" w:hAnsi="Times New Roman" w:cs="Times New Roman"/>
          <w:sz w:val="24"/>
          <w:szCs w:val="24"/>
        </w:rPr>
        <w:t xml:space="preserve">nacionālā normatīvā regulējuma atbilstību ES tiesībām) un tikai tad, ja šis spriedums, ar kuru konstatēts pārkāpums, netiek novērsts, ES Tiesa pieņem otru spriedumu, ar kuru nosaka finansiālas sankcijas. </w:t>
      </w:r>
    </w:p>
    <w:p w14:paraId="4C8A647B" w14:textId="66B48267" w:rsidR="0056708F" w:rsidRPr="00933336" w:rsidRDefault="1CAEAF78" w:rsidP="001E3254">
      <w:pPr>
        <w:spacing w:after="0" w:line="240" w:lineRule="auto"/>
        <w:ind w:firstLine="720"/>
        <w:jc w:val="both"/>
      </w:pPr>
      <w:bookmarkStart w:id="223" w:name="_Hlk173241917"/>
      <w:r w:rsidRPr="469479B5">
        <w:rPr>
          <w:rFonts w:ascii="Times New Roman" w:hAnsi="Times New Roman" w:cs="Times New Roman"/>
          <w:sz w:val="24"/>
          <w:szCs w:val="24"/>
        </w:rPr>
        <w:t>Tieslietu ministrija</w:t>
      </w:r>
      <w:r w:rsidR="006C3ADD">
        <w:rPr>
          <w:rFonts w:ascii="Times New Roman" w:hAnsi="Times New Roman" w:cs="Times New Roman"/>
          <w:sz w:val="24"/>
          <w:szCs w:val="24"/>
        </w:rPr>
        <w:t xml:space="preserve"> (turpmāk – TM)</w:t>
      </w:r>
      <w:r w:rsidRPr="469479B5">
        <w:rPr>
          <w:rFonts w:ascii="Times New Roman" w:hAnsi="Times New Roman" w:cs="Times New Roman"/>
          <w:sz w:val="24"/>
          <w:szCs w:val="24"/>
        </w:rPr>
        <w:t xml:space="preserve"> par visām pārkāpuma procedūrām, iespējamām tiesvedībām un to sekām informē MK – atbilstoši MK 2011.</w:t>
      </w:r>
      <w:r w:rsidR="16BD8738"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12.</w:t>
      </w:r>
      <w:r w:rsidR="0B1A5576"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jūlija noteikumu Nr.550 </w:t>
      </w:r>
      <w:r w:rsidR="00BC13A3">
        <w:rPr>
          <w:rFonts w:ascii="Times New Roman" w:hAnsi="Times New Roman" w:cs="Times New Roman"/>
          <w:sz w:val="24"/>
          <w:szCs w:val="24"/>
        </w:rPr>
        <w:t>“</w:t>
      </w:r>
      <w:r w:rsidRPr="469479B5">
        <w:rPr>
          <w:rFonts w:ascii="Times New Roman" w:hAnsi="Times New Roman" w:cs="Times New Roman"/>
          <w:sz w:val="24"/>
          <w:szCs w:val="24"/>
        </w:rPr>
        <w:t>Noteikumi par institūciju sadarbību Līguma par ES darbību pārkāpuma procedūras ietvaros un pirms pārkāpuma procedūras ierosināšanas” 6.2.</w:t>
      </w:r>
      <w:r w:rsidR="3FFE33ED"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apakšpunktā noteiktajam šādu informāciju </w:t>
      </w:r>
      <w:r w:rsidR="006C3ADD">
        <w:rPr>
          <w:rFonts w:ascii="Times New Roman" w:hAnsi="Times New Roman" w:cs="Times New Roman"/>
          <w:sz w:val="24"/>
          <w:szCs w:val="24"/>
        </w:rPr>
        <w:t>TM</w:t>
      </w:r>
      <w:r w:rsidRPr="469479B5">
        <w:rPr>
          <w:rFonts w:ascii="Times New Roman" w:hAnsi="Times New Roman" w:cs="Times New Roman"/>
          <w:sz w:val="24"/>
          <w:szCs w:val="24"/>
        </w:rPr>
        <w:t xml:space="preserve"> iesniedz MK divas reizes gadā. </w:t>
      </w:r>
      <w:r w:rsidR="6378014E" w:rsidRPr="469479B5">
        <w:rPr>
          <w:rFonts w:ascii="Times New Roman" w:hAnsi="Times New Roman" w:cs="Times New Roman"/>
          <w:sz w:val="24"/>
          <w:szCs w:val="24"/>
        </w:rPr>
        <w:t xml:space="preserve">Pēdējais </w:t>
      </w:r>
      <w:r w:rsidR="00D0077B">
        <w:rPr>
          <w:rFonts w:ascii="Times New Roman" w:hAnsi="Times New Roman" w:cs="Times New Roman"/>
          <w:sz w:val="24"/>
          <w:szCs w:val="24"/>
        </w:rPr>
        <w:t>informatīvais</w:t>
      </w:r>
      <w:r w:rsidR="00D0077B" w:rsidRPr="469479B5">
        <w:rPr>
          <w:rFonts w:ascii="Times New Roman" w:hAnsi="Times New Roman" w:cs="Times New Roman"/>
          <w:sz w:val="24"/>
          <w:szCs w:val="24"/>
        </w:rPr>
        <w:t xml:space="preserve"> </w:t>
      </w:r>
      <w:r w:rsidR="6378014E" w:rsidRPr="469479B5">
        <w:rPr>
          <w:rFonts w:ascii="Times New Roman" w:hAnsi="Times New Roman" w:cs="Times New Roman"/>
          <w:sz w:val="24"/>
          <w:szCs w:val="24"/>
        </w:rPr>
        <w:t xml:space="preserve">ziņojums </w:t>
      </w:r>
      <w:r w:rsidR="00271DB1">
        <w:rPr>
          <w:rFonts w:ascii="Times New Roman" w:hAnsi="Times New Roman" w:cs="Times New Roman"/>
          <w:sz w:val="24"/>
          <w:szCs w:val="24"/>
        </w:rPr>
        <w:t>“</w:t>
      </w:r>
      <w:r w:rsidR="6378014E" w:rsidRPr="469479B5">
        <w:rPr>
          <w:rFonts w:ascii="Times New Roman" w:hAnsi="Times New Roman" w:cs="Times New Roman"/>
          <w:sz w:val="24"/>
          <w:szCs w:val="24"/>
        </w:rPr>
        <w:t>Par Latvijas kā ES dalībvalsts saistību izpildi līdz 202</w:t>
      </w:r>
      <w:r w:rsidR="00271DB1">
        <w:rPr>
          <w:rFonts w:ascii="Times New Roman" w:hAnsi="Times New Roman" w:cs="Times New Roman"/>
          <w:sz w:val="24"/>
          <w:szCs w:val="24"/>
        </w:rPr>
        <w:t>5</w:t>
      </w:r>
      <w:r w:rsidR="6378014E" w:rsidRPr="469479B5">
        <w:rPr>
          <w:rFonts w:ascii="Times New Roman" w:hAnsi="Times New Roman" w:cs="Times New Roman"/>
          <w:sz w:val="24"/>
          <w:szCs w:val="24"/>
        </w:rPr>
        <w:t xml:space="preserve">. gada </w:t>
      </w:r>
      <w:r w:rsidR="00271DB1">
        <w:rPr>
          <w:rFonts w:ascii="Times New Roman" w:hAnsi="Times New Roman" w:cs="Times New Roman"/>
          <w:sz w:val="24"/>
          <w:szCs w:val="24"/>
        </w:rPr>
        <w:t>31. decembrim</w:t>
      </w:r>
      <w:r w:rsidR="6378014E" w:rsidRPr="469479B5">
        <w:rPr>
          <w:rFonts w:ascii="Times New Roman" w:hAnsi="Times New Roman" w:cs="Times New Roman"/>
          <w:sz w:val="24"/>
          <w:szCs w:val="24"/>
        </w:rPr>
        <w:t xml:space="preserve"> un par ierosinātajām (turpinātajām) pārkāpuma procedūru lietām pret Latviju laika periodā līdz 202</w:t>
      </w:r>
      <w:r w:rsidR="00271DB1">
        <w:rPr>
          <w:rFonts w:ascii="Times New Roman" w:hAnsi="Times New Roman" w:cs="Times New Roman"/>
          <w:sz w:val="24"/>
          <w:szCs w:val="24"/>
        </w:rPr>
        <w:t>4</w:t>
      </w:r>
      <w:r w:rsidR="6378014E" w:rsidRPr="469479B5">
        <w:rPr>
          <w:rFonts w:ascii="Times New Roman" w:hAnsi="Times New Roman" w:cs="Times New Roman"/>
          <w:sz w:val="24"/>
          <w:szCs w:val="24"/>
        </w:rPr>
        <w:t>. gada 30. jūnijam</w:t>
      </w:r>
      <w:r w:rsidR="00271DB1">
        <w:rPr>
          <w:rFonts w:ascii="Times New Roman" w:hAnsi="Times New Roman" w:cs="Times New Roman"/>
          <w:sz w:val="24"/>
          <w:szCs w:val="24"/>
        </w:rPr>
        <w:t>”</w:t>
      </w:r>
      <w:r w:rsidR="6378014E" w:rsidRPr="469479B5">
        <w:rPr>
          <w:rFonts w:ascii="Times New Roman" w:hAnsi="Times New Roman" w:cs="Times New Roman"/>
          <w:sz w:val="24"/>
          <w:szCs w:val="24"/>
        </w:rPr>
        <w:t xml:space="preserve"> tika izskatīts</w:t>
      </w:r>
      <w:r w:rsidR="00271DB1">
        <w:rPr>
          <w:rFonts w:ascii="Times New Roman" w:hAnsi="Times New Roman" w:cs="Times New Roman"/>
          <w:sz w:val="24"/>
          <w:szCs w:val="24"/>
        </w:rPr>
        <w:t xml:space="preserve"> 2024. gada 17. decembra</w:t>
      </w:r>
      <w:r w:rsidR="6378014E" w:rsidRPr="469479B5">
        <w:rPr>
          <w:rFonts w:ascii="Times New Roman" w:hAnsi="Times New Roman" w:cs="Times New Roman"/>
          <w:sz w:val="24"/>
          <w:szCs w:val="24"/>
        </w:rPr>
        <w:t xml:space="preserve"> M</w:t>
      </w:r>
      <w:r w:rsidR="78B72E90" w:rsidRPr="469479B5">
        <w:rPr>
          <w:rFonts w:ascii="Times New Roman" w:hAnsi="Times New Roman" w:cs="Times New Roman"/>
          <w:sz w:val="24"/>
          <w:szCs w:val="24"/>
        </w:rPr>
        <w:t xml:space="preserve">K </w:t>
      </w:r>
      <w:r w:rsidR="6378014E" w:rsidRPr="469479B5">
        <w:rPr>
          <w:rFonts w:ascii="Times New Roman" w:hAnsi="Times New Roman" w:cs="Times New Roman"/>
          <w:sz w:val="24"/>
          <w:szCs w:val="24"/>
        </w:rPr>
        <w:t>sēdē</w:t>
      </w:r>
      <w:r w:rsidR="2D601742" w:rsidRPr="469479B5">
        <w:rPr>
          <w:rFonts w:ascii="Times New Roman" w:hAnsi="Times New Roman" w:cs="Times New Roman"/>
          <w:sz w:val="24"/>
          <w:szCs w:val="24"/>
        </w:rPr>
        <w:t xml:space="preserve"> (</w:t>
      </w:r>
      <w:r w:rsidR="00271DB1">
        <w:rPr>
          <w:rFonts w:ascii="Times New Roman" w:hAnsi="Times New Roman" w:cs="Times New Roman"/>
          <w:sz w:val="24"/>
          <w:szCs w:val="24"/>
        </w:rPr>
        <w:t>24-TA-1760</w:t>
      </w:r>
      <w:r w:rsidR="2D601742" w:rsidRPr="00BA7836">
        <w:rPr>
          <w:rFonts w:ascii="Times New Roman" w:hAnsi="Times New Roman" w:cs="Times New Roman"/>
          <w:sz w:val="24"/>
          <w:szCs w:val="24"/>
        </w:rPr>
        <w:t>)</w:t>
      </w:r>
      <w:r w:rsidR="00271DB1">
        <w:rPr>
          <w:rFonts w:ascii="Times New Roman" w:hAnsi="Times New Roman" w:cs="Times New Roman"/>
          <w:sz w:val="24"/>
          <w:szCs w:val="24"/>
        </w:rPr>
        <w:t>.</w:t>
      </w:r>
    </w:p>
    <w:p w14:paraId="4363B2D4" w14:textId="2BD3E80C" w:rsidR="00FD0C96" w:rsidRPr="00DB1FE8" w:rsidRDefault="6325265F" w:rsidP="001E3254">
      <w:pPr>
        <w:spacing w:after="0" w:line="240" w:lineRule="auto"/>
        <w:ind w:firstLine="709"/>
        <w:jc w:val="both"/>
        <w:rPr>
          <w:rFonts w:ascii="Times New Roman" w:hAnsi="Times New Roman" w:cs="Times New Roman"/>
          <w:b/>
          <w:bCs/>
          <w:sz w:val="24"/>
          <w:szCs w:val="24"/>
        </w:rPr>
      </w:pPr>
      <w:bookmarkStart w:id="224" w:name="_Hlk173242010"/>
      <w:bookmarkStart w:id="225" w:name="_Hlk173164446"/>
      <w:bookmarkEnd w:id="223"/>
      <w:r w:rsidRPr="469479B5">
        <w:rPr>
          <w:rFonts w:ascii="Times New Roman" w:hAnsi="Times New Roman"/>
          <w:b/>
          <w:bCs/>
          <w:sz w:val="24"/>
          <w:szCs w:val="24"/>
        </w:rPr>
        <w:t>Eiropas Cilvēktiesību tiesa</w:t>
      </w:r>
      <w:r w:rsidRPr="469479B5">
        <w:rPr>
          <w:rFonts w:ascii="Times New Roman" w:hAnsi="Times New Roman" w:cs="Times New Roman"/>
          <w:sz w:val="24"/>
          <w:szCs w:val="24"/>
        </w:rPr>
        <w:t xml:space="preserve"> ir starptautiska tiesa, kas skata fizisku vai juridisku personu vai, atsevišķos gadījumos, valstu iesniegumus, ja valsts ir pārkāpusi Eiropas Cilvēktiesību un pamatbrīvību konvencijā noteiktās tiesības. Latvijā Eiropas Cilvēktiesību un pamatbrīvību konvencija ir spēkā kopš 1997.</w:t>
      </w:r>
      <w:r w:rsidR="5764DAA8"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27.</w:t>
      </w:r>
      <w:r w:rsidR="265977C1"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jūnija. </w:t>
      </w:r>
      <w:r w:rsidR="2903827C" w:rsidRPr="469479B5">
        <w:rPr>
          <w:rFonts w:ascii="Times New Roman" w:hAnsi="Times New Roman" w:cs="Times New Roman"/>
          <w:sz w:val="24"/>
          <w:szCs w:val="24"/>
        </w:rPr>
        <w:t>T</w:t>
      </w:r>
      <w:r w:rsidRPr="469479B5">
        <w:rPr>
          <w:rFonts w:ascii="Times New Roman" w:hAnsi="Times New Roman" w:cs="Times New Roman"/>
          <w:sz w:val="24"/>
          <w:szCs w:val="24"/>
        </w:rPr>
        <w:t>abulā</w:t>
      </w:r>
      <w:r w:rsidR="2903827C" w:rsidRPr="469479B5">
        <w:rPr>
          <w:rFonts w:ascii="Times New Roman" w:hAnsi="Times New Roman" w:cs="Times New Roman"/>
          <w:sz w:val="24"/>
          <w:szCs w:val="24"/>
        </w:rPr>
        <w:t xml:space="preserve"> Nr.3.1.1</w:t>
      </w:r>
      <w:r w:rsidRPr="469479B5">
        <w:rPr>
          <w:rFonts w:ascii="Times New Roman" w:hAnsi="Times New Roman" w:cs="Times New Roman"/>
          <w:sz w:val="24"/>
          <w:szCs w:val="24"/>
        </w:rPr>
        <w:t xml:space="preserve"> ir apkopots piešķirtais finansējums Eiropas Cilvēktiesību tiesas spriedumu izpildei laika periodā no 20</w:t>
      </w:r>
      <w:r w:rsidR="00E03A96">
        <w:rPr>
          <w:rFonts w:ascii="Times New Roman" w:hAnsi="Times New Roman" w:cs="Times New Roman"/>
          <w:sz w:val="24"/>
          <w:szCs w:val="24"/>
        </w:rPr>
        <w:t>14</w:t>
      </w:r>
      <w:r w:rsidRPr="469479B5">
        <w:rPr>
          <w:rFonts w:ascii="Times New Roman" w:hAnsi="Times New Roman" w:cs="Times New Roman"/>
          <w:sz w:val="24"/>
          <w:szCs w:val="24"/>
        </w:rPr>
        <w:t>. līdz 20</w:t>
      </w:r>
      <w:r w:rsidR="57B100E9" w:rsidRPr="469479B5">
        <w:rPr>
          <w:rFonts w:ascii="Times New Roman" w:hAnsi="Times New Roman" w:cs="Times New Roman"/>
          <w:sz w:val="24"/>
          <w:szCs w:val="24"/>
        </w:rPr>
        <w:t>2</w:t>
      </w:r>
      <w:r w:rsidR="00E03A96">
        <w:rPr>
          <w:rFonts w:ascii="Times New Roman" w:hAnsi="Times New Roman" w:cs="Times New Roman"/>
          <w:sz w:val="24"/>
          <w:szCs w:val="24"/>
        </w:rPr>
        <w:t>4</w:t>
      </w:r>
      <w:r w:rsidRPr="469479B5">
        <w:rPr>
          <w:rFonts w:ascii="Times New Roman" w:hAnsi="Times New Roman" w:cs="Times New Roman"/>
          <w:sz w:val="24"/>
          <w:szCs w:val="24"/>
        </w:rPr>
        <w:t>.</w:t>
      </w:r>
      <w:r w:rsidR="27738409"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gadam, kas norāda, ka piešķirtā finansējuma apjoms tiesas spriedumu izpildei pa gadiem ir atšķirīgs. Finansējums tiesu spriedumu izpildei tiek piešķirts no ieplānotā finansējuma budžeta programmā </w:t>
      </w:r>
      <w:r w:rsidR="00BC13A3">
        <w:rPr>
          <w:rFonts w:ascii="Times New Roman" w:hAnsi="Times New Roman" w:cs="Times New Roman"/>
          <w:sz w:val="24"/>
          <w:szCs w:val="24"/>
        </w:rPr>
        <w:t>“</w:t>
      </w:r>
      <w:r w:rsidRPr="469479B5">
        <w:rPr>
          <w:rFonts w:ascii="Times New Roman" w:hAnsi="Times New Roman" w:cs="Times New Roman"/>
          <w:sz w:val="24"/>
          <w:szCs w:val="24"/>
        </w:rPr>
        <w:t>Līdzekļi neparedzētiem gadījumiem</w:t>
      </w:r>
      <w:r w:rsidR="00BC13A3">
        <w:rPr>
          <w:rFonts w:ascii="Times New Roman" w:hAnsi="Times New Roman" w:cs="Times New Roman"/>
          <w:sz w:val="24"/>
          <w:szCs w:val="24"/>
        </w:rPr>
        <w:t>”</w:t>
      </w:r>
      <w:r w:rsidRPr="469479B5">
        <w:rPr>
          <w:rFonts w:ascii="Times New Roman" w:hAnsi="Times New Roman" w:cs="Times New Roman"/>
          <w:sz w:val="24"/>
          <w:szCs w:val="24"/>
        </w:rPr>
        <w:t>, kas nepasliktina vispārējās valdības budžeta bilanci</w:t>
      </w:r>
      <w:r w:rsidR="00545AFB">
        <w:rPr>
          <w:rFonts w:ascii="Times New Roman" w:hAnsi="Times New Roman" w:cs="Times New Roman"/>
          <w:sz w:val="24"/>
          <w:szCs w:val="24"/>
        </w:rPr>
        <w:t>,</w:t>
      </w:r>
      <w:r w:rsidR="00545AFB" w:rsidRPr="00545AFB">
        <w:rPr>
          <w:rFonts w:ascii="Times New Roman" w:hAnsi="Times New Roman" w:cs="Times New Roman"/>
          <w:sz w:val="24"/>
          <w:szCs w:val="24"/>
        </w:rPr>
        <w:t xml:space="preserve"> ja izpildes nodrošināšanai netiek palielinātā budžeta programmas </w:t>
      </w:r>
      <w:r w:rsidR="00BC13A3">
        <w:rPr>
          <w:rFonts w:ascii="Times New Roman" w:hAnsi="Times New Roman" w:cs="Times New Roman"/>
          <w:sz w:val="24"/>
          <w:szCs w:val="24"/>
        </w:rPr>
        <w:t>“</w:t>
      </w:r>
      <w:r w:rsidR="00545AFB" w:rsidRPr="00545AFB">
        <w:rPr>
          <w:rFonts w:ascii="Times New Roman" w:hAnsi="Times New Roman" w:cs="Times New Roman"/>
          <w:sz w:val="24"/>
          <w:szCs w:val="24"/>
        </w:rPr>
        <w:t>Līdzekļi neparedzētiem gadījumiem</w:t>
      </w:r>
      <w:r w:rsidR="00BC13A3">
        <w:rPr>
          <w:rFonts w:ascii="Times New Roman" w:hAnsi="Times New Roman" w:cs="Times New Roman"/>
          <w:sz w:val="24"/>
          <w:szCs w:val="24"/>
        </w:rPr>
        <w:t>”</w:t>
      </w:r>
      <w:r w:rsidR="00545AFB" w:rsidRPr="00545AFB">
        <w:rPr>
          <w:rFonts w:ascii="Times New Roman" w:hAnsi="Times New Roman" w:cs="Times New Roman"/>
          <w:sz w:val="24"/>
          <w:szCs w:val="24"/>
        </w:rPr>
        <w:t xml:space="preserve"> apropriācija</w:t>
      </w:r>
      <w:r w:rsidRPr="469479B5">
        <w:rPr>
          <w:rFonts w:ascii="Times New Roman" w:hAnsi="Times New Roman" w:cs="Times New Roman"/>
          <w:sz w:val="24"/>
          <w:szCs w:val="24"/>
        </w:rPr>
        <w:t>.</w:t>
      </w:r>
    </w:p>
    <w:bookmarkEnd w:id="224"/>
    <w:p w14:paraId="23D039C6" w14:textId="118167A3" w:rsidR="00626E14" w:rsidRPr="00DB1FE8" w:rsidRDefault="60154356" w:rsidP="469479B5">
      <w:pPr>
        <w:spacing w:after="120" w:line="240" w:lineRule="auto"/>
        <w:jc w:val="right"/>
        <w:rPr>
          <w:rFonts w:ascii="Times New Roman" w:hAnsi="Times New Roman" w:cs="Times New Roman"/>
          <w:b/>
          <w:bCs/>
          <w:sz w:val="24"/>
          <w:szCs w:val="24"/>
        </w:rPr>
      </w:pPr>
      <w:r w:rsidRPr="469479B5">
        <w:rPr>
          <w:rFonts w:ascii="Times New Roman" w:hAnsi="Times New Roman" w:cs="Times New Roman"/>
          <w:b/>
          <w:bCs/>
          <w:sz w:val="24"/>
          <w:szCs w:val="24"/>
        </w:rPr>
        <w:t>Tabula Nr.</w:t>
      </w:r>
      <w:r w:rsidR="193417EE" w:rsidRPr="469479B5">
        <w:rPr>
          <w:rFonts w:ascii="Times New Roman" w:hAnsi="Times New Roman" w:cs="Times New Roman"/>
          <w:b/>
          <w:bCs/>
          <w:sz w:val="24"/>
          <w:szCs w:val="24"/>
        </w:rPr>
        <w:t>3.1.1</w:t>
      </w:r>
      <w:r w:rsidRPr="469479B5">
        <w:rPr>
          <w:rFonts w:ascii="Times New Roman" w:hAnsi="Times New Roman" w:cs="Times New Roman"/>
          <w:b/>
          <w:bCs/>
          <w:sz w:val="24"/>
          <w:szCs w:val="24"/>
        </w:rPr>
        <w:t xml:space="preserve"> Piešķirtais finansējums Eiropas Cilvēktiesību tiesas spriedumu izpildei </w:t>
      </w:r>
      <w:r w:rsidR="00626E14">
        <w:br/>
      </w:r>
      <w:r w:rsidR="09B54C33" w:rsidRPr="469479B5">
        <w:rPr>
          <w:rFonts w:ascii="Times New Roman" w:hAnsi="Times New Roman" w:cs="Times New Roman"/>
          <w:b/>
          <w:bCs/>
          <w:sz w:val="24"/>
          <w:szCs w:val="24"/>
        </w:rPr>
        <w:t>201</w:t>
      </w:r>
      <w:r w:rsidR="00E03A96">
        <w:rPr>
          <w:rFonts w:ascii="Times New Roman" w:hAnsi="Times New Roman" w:cs="Times New Roman"/>
          <w:b/>
          <w:bCs/>
          <w:sz w:val="24"/>
          <w:szCs w:val="24"/>
        </w:rPr>
        <w:t>4</w:t>
      </w:r>
      <w:r w:rsidRPr="469479B5">
        <w:rPr>
          <w:rFonts w:ascii="Times New Roman" w:hAnsi="Times New Roman" w:cs="Times New Roman"/>
          <w:b/>
          <w:bCs/>
          <w:sz w:val="24"/>
          <w:szCs w:val="24"/>
        </w:rPr>
        <w:t>.</w:t>
      </w:r>
      <w:r w:rsidR="2688675D" w:rsidRPr="469479B5">
        <w:rPr>
          <w:rFonts w:ascii="Times New Roman" w:hAnsi="Times New Roman" w:cs="Times New Roman"/>
          <w:color w:val="000000" w:themeColor="text1"/>
          <w:sz w:val="24"/>
          <w:szCs w:val="24"/>
        </w:rPr>
        <w:t xml:space="preserve"> –</w:t>
      </w:r>
      <w:r w:rsidR="5CC9CE73" w:rsidRPr="469479B5">
        <w:rPr>
          <w:rFonts w:ascii="Times New Roman" w:hAnsi="Times New Roman" w:cs="Times New Roman"/>
          <w:color w:val="000000" w:themeColor="text1"/>
          <w:sz w:val="24"/>
          <w:szCs w:val="24"/>
        </w:rPr>
        <w:t xml:space="preserve"> </w:t>
      </w:r>
      <w:r w:rsidR="09B54C33" w:rsidRPr="469479B5">
        <w:rPr>
          <w:rFonts w:ascii="Times New Roman" w:hAnsi="Times New Roman" w:cs="Times New Roman"/>
          <w:b/>
          <w:bCs/>
          <w:sz w:val="24"/>
          <w:szCs w:val="24"/>
        </w:rPr>
        <w:t>202</w:t>
      </w:r>
      <w:r w:rsidR="00E03A96">
        <w:rPr>
          <w:rFonts w:ascii="Times New Roman" w:hAnsi="Times New Roman" w:cs="Times New Roman"/>
          <w:b/>
          <w:bCs/>
          <w:sz w:val="24"/>
          <w:szCs w:val="24"/>
        </w:rPr>
        <w:t>4</w:t>
      </w:r>
      <w:r w:rsidRPr="469479B5">
        <w:rPr>
          <w:rFonts w:ascii="Times New Roman" w:hAnsi="Times New Roman" w:cs="Times New Roman"/>
          <w:b/>
          <w:bCs/>
          <w:sz w:val="24"/>
          <w:szCs w:val="24"/>
        </w:rPr>
        <w:t>.</w:t>
      </w:r>
      <w:r w:rsidR="79556151"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 xml:space="preserve">gadā, </w:t>
      </w:r>
      <w:r w:rsidRPr="469479B5">
        <w:rPr>
          <w:rFonts w:ascii="Times New Roman" w:hAnsi="Times New Roman" w:cs="Times New Roman"/>
          <w:b/>
          <w:bCs/>
          <w:i/>
          <w:iCs/>
          <w:sz w:val="24"/>
          <w:szCs w:val="24"/>
        </w:rPr>
        <w:t>euro</w:t>
      </w:r>
    </w:p>
    <w:tbl>
      <w:tblPr>
        <w:tblStyle w:val="GridTable6Colorful-Accent1"/>
        <w:tblW w:w="5000" w:type="pct"/>
        <w:jc w:val="center"/>
        <w:tblLook w:val="04A0" w:firstRow="1" w:lastRow="0" w:firstColumn="1" w:lastColumn="0" w:noHBand="0" w:noVBand="1"/>
      </w:tblPr>
      <w:tblGrid>
        <w:gridCol w:w="1747"/>
        <w:gridCol w:w="4083"/>
        <w:gridCol w:w="4081"/>
      </w:tblGrid>
      <w:tr w:rsidR="00626E14" w:rsidRPr="00B57D0A" w14:paraId="1F04A8F8" w14:textId="77777777" w:rsidTr="006472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vAlign w:val="center"/>
          </w:tcPr>
          <w:p w14:paraId="064522F2" w14:textId="77777777" w:rsidR="00626E14" w:rsidRPr="001E3254" w:rsidRDefault="00626E14" w:rsidP="00120DF9">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Gads</w:t>
            </w:r>
          </w:p>
        </w:tc>
        <w:tc>
          <w:tcPr>
            <w:tcW w:w="2060" w:type="pct"/>
            <w:vAlign w:val="center"/>
          </w:tcPr>
          <w:p w14:paraId="255A525E" w14:textId="77777777" w:rsidR="00626E14" w:rsidRPr="001E3254"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Piešķirtais finansējums</w:t>
            </w:r>
          </w:p>
        </w:tc>
        <w:tc>
          <w:tcPr>
            <w:tcW w:w="2059" w:type="pct"/>
            <w:vAlign w:val="center"/>
          </w:tcPr>
          <w:p w14:paraId="15169952" w14:textId="77777777" w:rsidR="00626E14" w:rsidRPr="001E3254"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Tiesas spriedumu skaits</w:t>
            </w:r>
            <w:r w:rsidR="00015F91" w:rsidRPr="001E3254">
              <w:rPr>
                <w:rFonts w:ascii="Times New Roman" w:hAnsi="Times New Roman" w:cs="Times New Roman"/>
                <w:color w:val="000000" w:themeColor="text1"/>
                <w:sz w:val="20"/>
                <w:szCs w:val="20"/>
              </w:rPr>
              <w:t>*</w:t>
            </w:r>
          </w:p>
        </w:tc>
      </w:tr>
      <w:tr w:rsidR="006748CA" w:rsidRPr="00B57D0A" w14:paraId="63FE86F8"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vAlign w:val="center"/>
          </w:tcPr>
          <w:p w14:paraId="08942B1C" w14:textId="70AE958A" w:rsidR="006748CA" w:rsidRPr="001E3254" w:rsidRDefault="006748CA" w:rsidP="00120DF9">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2014</w:t>
            </w:r>
          </w:p>
        </w:tc>
        <w:tc>
          <w:tcPr>
            <w:tcW w:w="2060" w:type="pct"/>
            <w:vAlign w:val="center"/>
          </w:tcPr>
          <w:p w14:paraId="374696A2" w14:textId="77C25ADF" w:rsidR="006748CA" w:rsidRPr="001E3254" w:rsidRDefault="006748CA"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1 306 073</w:t>
            </w:r>
          </w:p>
        </w:tc>
        <w:tc>
          <w:tcPr>
            <w:tcW w:w="2059" w:type="pct"/>
            <w:vAlign w:val="center"/>
          </w:tcPr>
          <w:p w14:paraId="2A0D86F1" w14:textId="158351E7" w:rsidR="006748CA" w:rsidRPr="001E3254" w:rsidRDefault="006748CA"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13</w:t>
            </w:r>
          </w:p>
        </w:tc>
      </w:tr>
      <w:tr w:rsidR="006748CA" w:rsidRPr="00B57D0A" w14:paraId="13A012D8" w14:textId="77777777" w:rsidTr="006472A7">
        <w:trPr>
          <w:jc w:val="center"/>
        </w:trPr>
        <w:tc>
          <w:tcPr>
            <w:cnfStyle w:val="001000000000" w:firstRow="0" w:lastRow="0" w:firstColumn="1" w:lastColumn="0" w:oddVBand="0" w:evenVBand="0" w:oddHBand="0" w:evenHBand="0" w:firstRowFirstColumn="0" w:firstRowLastColumn="0" w:lastRowFirstColumn="0" w:lastRowLastColumn="0"/>
            <w:tcW w:w="881" w:type="pct"/>
            <w:vAlign w:val="center"/>
          </w:tcPr>
          <w:p w14:paraId="51A5F4BD" w14:textId="388E9092" w:rsidR="006748CA" w:rsidRPr="001E3254" w:rsidRDefault="006748CA" w:rsidP="00120DF9">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2015</w:t>
            </w:r>
          </w:p>
        </w:tc>
        <w:tc>
          <w:tcPr>
            <w:tcW w:w="2060" w:type="pct"/>
            <w:vAlign w:val="center"/>
          </w:tcPr>
          <w:p w14:paraId="66AACCC0" w14:textId="691A0FE8" w:rsidR="006748CA" w:rsidRPr="001E3254" w:rsidRDefault="005D00B2"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104 247</w:t>
            </w:r>
          </w:p>
        </w:tc>
        <w:tc>
          <w:tcPr>
            <w:tcW w:w="2059" w:type="pct"/>
            <w:vAlign w:val="center"/>
          </w:tcPr>
          <w:p w14:paraId="417DD6A3" w14:textId="35FB647F" w:rsidR="006748CA" w:rsidRPr="001E3254" w:rsidRDefault="006748CA"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w:t>
            </w:r>
            <w:r w:rsidR="005D00B2" w:rsidRPr="001E3254">
              <w:rPr>
                <w:rFonts w:ascii="Times New Roman" w:hAnsi="Times New Roman" w:cs="Times New Roman"/>
                <w:color w:val="000000" w:themeColor="text1"/>
                <w:sz w:val="20"/>
                <w:szCs w:val="20"/>
              </w:rPr>
              <w:t>8</w:t>
            </w:r>
          </w:p>
        </w:tc>
      </w:tr>
      <w:tr w:rsidR="006748CA" w:rsidRPr="00B57D0A" w14:paraId="7B700C3B"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vAlign w:val="center"/>
          </w:tcPr>
          <w:p w14:paraId="36AA7AAF" w14:textId="369DD052" w:rsidR="006748CA" w:rsidRPr="001E3254" w:rsidRDefault="006748CA" w:rsidP="00120DF9">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2016</w:t>
            </w:r>
          </w:p>
        </w:tc>
        <w:tc>
          <w:tcPr>
            <w:tcW w:w="2060" w:type="pct"/>
            <w:vAlign w:val="center"/>
          </w:tcPr>
          <w:p w14:paraId="4531584D" w14:textId="1B1A7D39" w:rsidR="006748CA" w:rsidRPr="001E3254" w:rsidRDefault="006748CA"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34 246</w:t>
            </w:r>
          </w:p>
        </w:tc>
        <w:tc>
          <w:tcPr>
            <w:tcW w:w="2059" w:type="pct"/>
            <w:vAlign w:val="center"/>
          </w:tcPr>
          <w:p w14:paraId="11155BD1" w14:textId="137C8720" w:rsidR="006748CA" w:rsidRPr="001E3254" w:rsidRDefault="006748CA"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9</w:t>
            </w:r>
          </w:p>
        </w:tc>
      </w:tr>
      <w:tr w:rsidR="00B82F22" w:rsidRPr="00B57D0A" w14:paraId="34B56D00" w14:textId="77777777" w:rsidTr="006472A7">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1D696BA1" w14:textId="77777777" w:rsidR="00B82F22" w:rsidRPr="001E3254" w:rsidRDefault="00B82F22" w:rsidP="00B82F22">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2017</w:t>
            </w:r>
          </w:p>
        </w:tc>
        <w:tc>
          <w:tcPr>
            <w:tcW w:w="2060" w:type="pct"/>
          </w:tcPr>
          <w:p w14:paraId="7052C146" w14:textId="77777777" w:rsidR="00B82F22" w:rsidRPr="001E3254"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147 184</w:t>
            </w:r>
          </w:p>
        </w:tc>
        <w:tc>
          <w:tcPr>
            <w:tcW w:w="2059" w:type="pct"/>
          </w:tcPr>
          <w:p w14:paraId="31CD86B4" w14:textId="07B1067F" w:rsidR="00B82F22" w:rsidRPr="001E3254"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13</w:t>
            </w:r>
          </w:p>
        </w:tc>
      </w:tr>
      <w:tr w:rsidR="00B82F22" w:rsidRPr="00B57D0A" w14:paraId="7EBE6762"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2F236906" w14:textId="77777777" w:rsidR="00B82F22" w:rsidRPr="001E3254" w:rsidRDefault="00B82F22" w:rsidP="00B82F22">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2018</w:t>
            </w:r>
          </w:p>
        </w:tc>
        <w:tc>
          <w:tcPr>
            <w:tcW w:w="2060" w:type="pct"/>
          </w:tcPr>
          <w:p w14:paraId="7C80E4B7" w14:textId="2D52DDB3" w:rsidR="00B82F22" w:rsidRPr="001E3254"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15 910</w:t>
            </w:r>
          </w:p>
        </w:tc>
        <w:tc>
          <w:tcPr>
            <w:tcW w:w="2059" w:type="pct"/>
          </w:tcPr>
          <w:p w14:paraId="77D34301" w14:textId="77777777" w:rsidR="00B82F22" w:rsidRPr="001E3254"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3</w:t>
            </w:r>
          </w:p>
        </w:tc>
      </w:tr>
      <w:tr w:rsidR="00FD0C96" w:rsidRPr="00B57D0A" w14:paraId="4F03FA2B" w14:textId="77777777" w:rsidTr="006472A7">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0DE048E5" w14:textId="733551FF" w:rsidR="00FD0C96" w:rsidRPr="001E3254" w:rsidRDefault="00FD0C96" w:rsidP="00FD0C96">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2019</w:t>
            </w:r>
          </w:p>
        </w:tc>
        <w:tc>
          <w:tcPr>
            <w:tcW w:w="2060" w:type="pct"/>
          </w:tcPr>
          <w:p w14:paraId="70593A74" w14:textId="5F979EE4" w:rsidR="00FD0C96" w:rsidRPr="001E3254"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9 763</w:t>
            </w:r>
          </w:p>
        </w:tc>
        <w:tc>
          <w:tcPr>
            <w:tcW w:w="2059" w:type="pct"/>
          </w:tcPr>
          <w:p w14:paraId="2A245600" w14:textId="56B78963" w:rsidR="00FD0C96" w:rsidRPr="001E3254"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3</w:t>
            </w:r>
          </w:p>
        </w:tc>
      </w:tr>
      <w:tr w:rsidR="00690E31" w:rsidRPr="00B57D0A" w14:paraId="05CF4C04"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0893DF7A" w14:textId="29E08904" w:rsidR="00690E31" w:rsidRPr="001E3254" w:rsidRDefault="00690E31" w:rsidP="00FD0C96">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2020</w:t>
            </w:r>
          </w:p>
        </w:tc>
        <w:tc>
          <w:tcPr>
            <w:tcW w:w="2060" w:type="pct"/>
          </w:tcPr>
          <w:p w14:paraId="2BF0F8A7" w14:textId="4309A1D3" w:rsidR="00690E31" w:rsidRPr="001E3254"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20 504</w:t>
            </w:r>
          </w:p>
        </w:tc>
        <w:tc>
          <w:tcPr>
            <w:tcW w:w="2059" w:type="pct"/>
          </w:tcPr>
          <w:p w14:paraId="567FF463" w14:textId="713D0273" w:rsidR="00690E31" w:rsidRPr="001E3254"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6</w:t>
            </w:r>
          </w:p>
        </w:tc>
      </w:tr>
      <w:tr w:rsidR="00002D94" w:rsidRPr="00B57D0A" w14:paraId="6800EB3E" w14:textId="77777777" w:rsidTr="006472A7">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24647368" w14:textId="74DF7F61" w:rsidR="00002D94" w:rsidRPr="001E3254" w:rsidRDefault="00002D94" w:rsidP="00002D94">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2021</w:t>
            </w:r>
          </w:p>
        </w:tc>
        <w:tc>
          <w:tcPr>
            <w:tcW w:w="2060" w:type="pct"/>
          </w:tcPr>
          <w:p w14:paraId="3CAC1979" w14:textId="1742CDEF" w:rsidR="00002D94" w:rsidRPr="001E3254" w:rsidRDefault="00002D94" w:rsidP="00002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17 532</w:t>
            </w:r>
          </w:p>
        </w:tc>
        <w:tc>
          <w:tcPr>
            <w:tcW w:w="2059" w:type="pct"/>
          </w:tcPr>
          <w:p w14:paraId="315A15BE" w14:textId="650A6F28" w:rsidR="00002D94" w:rsidRPr="001E3254" w:rsidRDefault="00002D94" w:rsidP="00002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4</w:t>
            </w:r>
          </w:p>
        </w:tc>
      </w:tr>
      <w:tr w:rsidR="006E7898" w:rsidRPr="00B57D0A" w14:paraId="05C38103"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66BB1430" w14:textId="77777777" w:rsidR="006E7898" w:rsidRPr="001E3254" w:rsidRDefault="006E7898" w:rsidP="00921CE6">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2022</w:t>
            </w:r>
          </w:p>
        </w:tc>
        <w:tc>
          <w:tcPr>
            <w:tcW w:w="2060" w:type="pct"/>
          </w:tcPr>
          <w:p w14:paraId="3202690E" w14:textId="77777777" w:rsidR="006E7898" w:rsidRPr="001E3254" w:rsidRDefault="006E7898" w:rsidP="00921C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44 563</w:t>
            </w:r>
          </w:p>
        </w:tc>
        <w:tc>
          <w:tcPr>
            <w:tcW w:w="2059" w:type="pct"/>
          </w:tcPr>
          <w:p w14:paraId="2184FBFB" w14:textId="77777777" w:rsidR="006E7898" w:rsidRPr="001E3254" w:rsidRDefault="006E7898" w:rsidP="00921C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3</w:t>
            </w:r>
          </w:p>
        </w:tc>
      </w:tr>
      <w:tr w:rsidR="006472A7" w:rsidRPr="00B57D0A" w14:paraId="76EF37CD" w14:textId="77777777" w:rsidTr="006472A7">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7B127272" w14:textId="75E8613A" w:rsidR="006472A7" w:rsidRPr="001E3254" w:rsidRDefault="006472A7" w:rsidP="006472A7">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2023</w:t>
            </w:r>
          </w:p>
        </w:tc>
        <w:tc>
          <w:tcPr>
            <w:tcW w:w="2060" w:type="pct"/>
          </w:tcPr>
          <w:p w14:paraId="0DBD8936" w14:textId="2238F789" w:rsidR="006472A7" w:rsidRPr="001E3254" w:rsidRDefault="006472A7" w:rsidP="0064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43 577</w:t>
            </w:r>
          </w:p>
        </w:tc>
        <w:tc>
          <w:tcPr>
            <w:tcW w:w="2059" w:type="pct"/>
          </w:tcPr>
          <w:p w14:paraId="3B459198" w14:textId="7E7D06BA" w:rsidR="006472A7" w:rsidRPr="001E3254" w:rsidRDefault="006472A7" w:rsidP="006472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3</w:t>
            </w:r>
          </w:p>
        </w:tc>
      </w:tr>
      <w:tr w:rsidR="00555142" w:rsidRPr="00B57D0A" w14:paraId="55347844"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45FD1021" w14:textId="3956A0D2" w:rsidR="00555142" w:rsidRPr="001E3254" w:rsidRDefault="00555142" w:rsidP="006472A7">
            <w:pPr>
              <w:jc w:val="center"/>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2024</w:t>
            </w:r>
          </w:p>
        </w:tc>
        <w:tc>
          <w:tcPr>
            <w:tcW w:w="2060" w:type="pct"/>
          </w:tcPr>
          <w:p w14:paraId="1860A2B9" w14:textId="19843827" w:rsidR="00555142" w:rsidRPr="001E3254" w:rsidRDefault="00937D89" w:rsidP="0064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17 150</w:t>
            </w:r>
          </w:p>
        </w:tc>
        <w:tc>
          <w:tcPr>
            <w:tcW w:w="2059" w:type="pct"/>
          </w:tcPr>
          <w:p w14:paraId="4E4F59CA" w14:textId="3B0FC1BC" w:rsidR="00555142" w:rsidRPr="001E3254" w:rsidRDefault="00937D89" w:rsidP="0064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1E3254">
              <w:rPr>
                <w:rFonts w:ascii="Times New Roman" w:hAnsi="Times New Roman" w:cs="Times New Roman"/>
                <w:color w:val="000000" w:themeColor="text1"/>
                <w:sz w:val="20"/>
                <w:szCs w:val="20"/>
              </w:rPr>
              <w:t>3</w:t>
            </w:r>
          </w:p>
        </w:tc>
      </w:tr>
    </w:tbl>
    <w:p w14:paraId="69911BB3" w14:textId="48C0415F" w:rsidR="00626E14" w:rsidRPr="00BA7836" w:rsidRDefault="00015F91" w:rsidP="002D428D">
      <w:pPr>
        <w:spacing w:after="0" w:line="240" w:lineRule="auto"/>
        <w:rPr>
          <w:rFonts w:ascii="Times New Roman" w:hAnsi="Times New Roman" w:cs="Times New Roman"/>
          <w:i/>
          <w:iCs/>
          <w:sz w:val="20"/>
          <w:szCs w:val="20"/>
        </w:rPr>
      </w:pPr>
      <w:r w:rsidRPr="00BA7836">
        <w:rPr>
          <w:rFonts w:ascii="Times New Roman" w:hAnsi="Times New Roman" w:cs="Times New Roman"/>
          <w:i/>
          <w:iCs/>
          <w:sz w:val="20"/>
          <w:szCs w:val="20"/>
        </w:rPr>
        <w:t>* Tiesas spriedumu skaits var atšķirties no rīkojumu skaita, jo dažos rīkojumiem iekļauti vairāki pieprasījumi</w:t>
      </w:r>
    </w:p>
    <w:p w14:paraId="7EE0A107" w14:textId="77777777" w:rsidR="00015F91" w:rsidRPr="00DB1FE8" w:rsidRDefault="00626E14" w:rsidP="00626E14">
      <w:pPr>
        <w:spacing w:after="0" w:line="240" w:lineRule="auto"/>
        <w:jc w:val="both"/>
        <w:rPr>
          <w:rFonts w:ascii="Times New Roman" w:hAnsi="Times New Roman" w:cs="Times New Roman"/>
          <w:sz w:val="24"/>
          <w:szCs w:val="24"/>
        </w:rPr>
      </w:pPr>
      <w:r w:rsidRPr="00DB1FE8">
        <w:rPr>
          <w:rFonts w:ascii="Times New Roman" w:hAnsi="Times New Roman" w:cs="Times New Roman"/>
          <w:sz w:val="24"/>
          <w:szCs w:val="24"/>
        </w:rPr>
        <w:tab/>
      </w:r>
    </w:p>
    <w:p w14:paraId="3570A2F6" w14:textId="309BFEA1" w:rsidR="00E03A96" w:rsidRPr="006601D2" w:rsidRDefault="006601D2" w:rsidP="005D00B2">
      <w:pPr>
        <w:spacing w:after="0" w:line="240" w:lineRule="auto"/>
        <w:ind w:firstLine="720"/>
        <w:jc w:val="both"/>
        <w:rPr>
          <w:rFonts w:ascii="Times New Roman" w:eastAsiaTheme="minorHAnsi" w:hAnsi="Times New Roman"/>
          <w:sz w:val="24"/>
          <w:szCs w:val="24"/>
        </w:rPr>
      </w:pPr>
      <w:bookmarkStart w:id="226" w:name="_Toc121870868"/>
      <w:bookmarkStart w:id="227" w:name="_Toc125316312"/>
      <w:bookmarkStart w:id="228" w:name="_Toc125316673"/>
      <w:bookmarkStart w:id="229" w:name="_Toc125362734"/>
      <w:bookmarkStart w:id="230" w:name="_Toc79678166"/>
      <w:bookmarkStart w:id="231" w:name="_Toc80036215"/>
      <w:bookmarkStart w:id="232" w:name="_Toc80036282"/>
      <w:bookmarkStart w:id="233" w:name="_Toc80106103"/>
      <w:bookmarkStart w:id="234" w:name="_Toc121870869"/>
      <w:bookmarkStart w:id="235" w:name="_Toc125316313"/>
      <w:bookmarkStart w:id="236" w:name="_Toc125316674"/>
      <w:bookmarkStart w:id="237" w:name="_Toc125362735"/>
      <w:bookmarkStart w:id="238" w:name="_Toc121870870"/>
      <w:bookmarkStart w:id="239" w:name="_Toc125316314"/>
      <w:bookmarkStart w:id="240" w:name="_Toc125316675"/>
      <w:bookmarkStart w:id="241" w:name="_Toc125362736"/>
      <w:bookmarkStart w:id="242" w:name="_Toc121870871"/>
      <w:bookmarkStart w:id="243" w:name="_Toc125316315"/>
      <w:bookmarkStart w:id="244" w:name="_Toc125316676"/>
      <w:bookmarkStart w:id="245" w:name="_Toc125362737"/>
      <w:bookmarkStart w:id="246" w:name="_Toc121870872"/>
      <w:bookmarkStart w:id="247" w:name="_Toc125316316"/>
      <w:bookmarkStart w:id="248" w:name="_Toc125316677"/>
      <w:bookmarkStart w:id="249" w:name="_Toc125362738"/>
      <w:bookmarkStart w:id="250" w:name="_Toc121870873"/>
      <w:bookmarkStart w:id="251" w:name="_Toc125316317"/>
      <w:bookmarkStart w:id="252" w:name="_Toc125316678"/>
      <w:bookmarkStart w:id="253" w:name="_Toc125362739"/>
      <w:bookmarkStart w:id="254" w:name="_Toc121870874"/>
      <w:bookmarkStart w:id="255" w:name="_Toc125316318"/>
      <w:bookmarkStart w:id="256" w:name="_Toc125316679"/>
      <w:bookmarkStart w:id="257" w:name="_Toc125362740"/>
      <w:bookmarkStart w:id="258" w:name="_Toc121870875"/>
      <w:bookmarkStart w:id="259" w:name="_Toc125316319"/>
      <w:bookmarkStart w:id="260" w:name="_Toc125316680"/>
      <w:bookmarkStart w:id="261" w:name="_Toc125362741"/>
      <w:bookmarkStart w:id="262" w:name="_Toc121870876"/>
      <w:bookmarkStart w:id="263" w:name="_Toc125316320"/>
      <w:bookmarkStart w:id="264" w:name="_Toc125316681"/>
      <w:bookmarkStart w:id="265" w:name="_Toc125362742"/>
      <w:bookmarkStart w:id="266" w:name="_Toc121870877"/>
      <w:bookmarkStart w:id="267" w:name="_Toc125316321"/>
      <w:bookmarkStart w:id="268" w:name="_Toc125316682"/>
      <w:bookmarkStart w:id="269" w:name="_Toc125362743"/>
      <w:bookmarkStart w:id="270" w:name="_Toc121870878"/>
      <w:bookmarkStart w:id="271" w:name="_Toc125316322"/>
      <w:bookmarkStart w:id="272" w:name="_Toc125316683"/>
      <w:bookmarkStart w:id="273" w:name="_Toc125362744"/>
      <w:bookmarkStart w:id="274" w:name="_Toc121870879"/>
      <w:bookmarkStart w:id="275" w:name="_Toc125316323"/>
      <w:bookmarkStart w:id="276" w:name="_Toc125316684"/>
      <w:bookmarkStart w:id="277" w:name="_Toc125362745"/>
      <w:bookmarkStart w:id="278" w:name="_Toc121870880"/>
      <w:bookmarkStart w:id="279" w:name="_Toc125316324"/>
      <w:bookmarkStart w:id="280" w:name="_Toc125316685"/>
      <w:bookmarkStart w:id="281" w:name="_Toc125362746"/>
      <w:bookmarkStart w:id="282" w:name="_Toc121870898"/>
      <w:bookmarkStart w:id="283" w:name="_Toc125316342"/>
      <w:bookmarkStart w:id="284" w:name="_Toc125316703"/>
      <w:bookmarkStart w:id="285" w:name="_Toc125362764"/>
      <w:bookmarkStart w:id="286" w:name="_Toc79678168"/>
      <w:bookmarkStart w:id="287" w:name="_Toc80036217"/>
      <w:bookmarkStart w:id="288" w:name="_Toc80036284"/>
      <w:bookmarkStart w:id="289" w:name="_Toc80106105"/>
      <w:bookmarkStart w:id="290" w:name="_Toc79678169"/>
      <w:bookmarkStart w:id="291" w:name="_Toc80036218"/>
      <w:bookmarkStart w:id="292" w:name="_Toc80036285"/>
      <w:bookmarkStart w:id="293" w:name="_Toc80106106"/>
      <w:bookmarkStart w:id="294" w:name="_Toc80106107"/>
      <w:bookmarkStart w:id="295" w:name="_Toc80106108"/>
      <w:bookmarkStart w:id="296" w:name="_Toc80106109"/>
      <w:bookmarkStart w:id="297" w:name="_Toc80106110"/>
      <w:bookmarkStart w:id="298" w:name="_Toc80106111"/>
      <w:bookmarkStart w:id="299" w:name="_Toc80106112"/>
      <w:bookmarkStart w:id="300" w:name="_Toc80106113"/>
      <w:bookmarkStart w:id="301" w:name="_Toc80106114"/>
      <w:bookmarkStart w:id="302" w:name="_Toc80106115"/>
      <w:bookmarkStart w:id="303" w:name="_Toc80106145"/>
      <w:bookmarkStart w:id="304" w:name="_Toc80106146"/>
      <w:bookmarkStart w:id="305" w:name="_Toc80106147"/>
      <w:bookmarkStart w:id="306" w:name="_Toc80106148"/>
      <w:bookmarkStart w:id="307" w:name="_Toc80106149"/>
      <w:bookmarkStart w:id="308" w:name="_Toc80106150"/>
      <w:bookmarkStart w:id="309" w:name="_Toc80106151"/>
      <w:bookmarkStart w:id="310" w:name="_Toc80106152"/>
      <w:bookmarkStart w:id="311" w:name="_Toc80106153"/>
      <w:bookmarkStart w:id="312" w:name="_Toc80106154"/>
      <w:bookmarkStart w:id="313" w:name="_Toc80106155"/>
      <w:bookmarkStart w:id="314" w:name="_Toc80106156"/>
      <w:bookmarkStart w:id="315" w:name="_Toc80106157"/>
      <w:bookmarkStart w:id="316" w:name="_Toc80106158"/>
      <w:bookmarkStart w:id="317" w:name="_Toc80106159"/>
      <w:bookmarkStart w:id="318" w:name="_Toc80106160"/>
      <w:bookmarkStart w:id="319" w:name="_Toc80106161"/>
      <w:bookmarkStart w:id="320" w:name="_Toc457318329"/>
      <w:bookmarkStart w:id="321" w:name="_Toc536779073"/>
      <w:bookmarkStart w:id="322" w:name="_Toc405371088"/>
      <w:bookmarkEnd w:id="222"/>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6601D2">
        <w:rPr>
          <w:rFonts w:ascii="Times New Roman" w:eastAsiaTheme="minorHAnsi" w:hAnsi="Times New Roman"/>
          <w:b/>
          <w:sz w:val="24"/>
          <w:szCs w:val="24"/>
        </w:rPr>
        <w:t>Satversmes tiesa</w:t>
      </w:r>
      <w:r w:rsidRPr="006601D2">
        <w:rPr>
          <w:rFonts w:ascii="Times New Roman" w:eastAsiaTheme="minorHAnsi" w:hAnsi="Times New Roman"/>
          <w:sz w:val="24"/>
          <w:szCs w:val="24"/>
        </w:rPr>
        <w:t xml:space="preserve"> ir neatkarīga tiesu varas institūcija, kas izskata lietas par likumu un citu normatīvo aktu atbilstību Satversmei, kā arī citas ar likumu tās kompetencē nodotās lietas. Satversmes tiesas spriedumam, ar kuru tiek atzīta par spēkā neesošu tiesību norma vai tiesību akts, var būt ietekme uz budžetu, ja grozījumi tiesību aktos ietekmē kādas grupas tiesību apjomu, ko tās var saņemt no valsts. Satversmes tiesas praksē daudzkārt bija princips, ka attiecībā uz pieteicēju prettiesiskā tiesību norma tiek atzīta par spēkā neesošu ar atpakaļejošu datumu (tātad uz pieteicēju prettiesiskā norma nav piemērojama), tajā pašā laikā attiecībā uz citām personām tiesību norma var tikt atzīta par spēkā neesošu gan no sprieduma spēkā stāšanās, gan ar atpakaļejošu datumu vai no kāda cita tiesas noteikta datuma nākotnē, vadoties no lietas materiāliem. Satversmes tiesa, pieņemot spriedumu, apzinās un vērtē, ka tiesību normas atzīšana par spēkā neesošu rada ietekmi uz budžetu, sabiedrību un administratīvajām procedūrām, tāpēc spriedumā arī norāda </w:t>
      </w:r>
      <w:r w:rsidR="000A2936">
        <w:rPr>
          <w:rFonts w:ascii="Times New Roman" w:eastAsiaTheme="minorHAnsi" w:hAnsi="Times New Roman"/>
          <w:sz w:val="24"/>
          <w:szCs w:val="24"/>
        </w:rPr>
        <w:t>“</w:t>
      </w:r>
      <w:r w:rsidRPr="006601D2">
        <w:rPr>
          <w:rFonts w:ascii="Times New Roman" w:eastAsiaTheme="minorHAnsi" w:hAnsi="Times New Roman"/>
          <w:sz w:val="24"/>
          <w:szCs w:val="24"/>
        </w:rPr>
        <w:t>pāreju” uz jauno regulējumu.</w:t>
      </w:r>
      <w:r w:rsidR="00E03A96">
        <w:rPr>
          <w:rFonts w:ascii="Times New Roman" w:eastAsiaTheme="minorHAnsi" w:hAnsi="Times New Roman"/>
          <w:sz w:val="24"/>
          <w:szCs w:val="24"/>
        </w:rPr>
        <w:t xml:space="preserve"> </w:t>
      </w:r>
    </w:p>
    <w:p w14:paraId="718A1661" w14:textId="40B584BC" w:rsidR="000A2936" w:rsidRDefault="4C0D644C"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Ja fiskālā ietekme ir </w:t>
      </w:r>
      <w:r w:rsidR="008463F3">
        <w:rPr>
          <w:rFonts w:ascii="Times New Roman" w:hAnsi="Times New Roman"/>
          <w:sz w:val="24"/>
          <w:szCs w:val="24"/>
        </w:rPr>
        <w:t>nebūtiska</w:t>
      </w:r>
      <w:r w:rsidRPr="469479B5">
        <w:rPr>
          <w:rFonts w:ascii="Times New Roman" w:hAnsi="Times New Roman"/>
          <w:sz w:val="24"/>
          <w:szCs w:val="24"/>
        </w:rPr>
        <w:t xml:space="preserve">, finansējums tiesu spriedumu izpildei tiek piešķirts no budžeta programmas </w:t>
      </w:r>
      <w:r w:rsidR="00BC13A3">
        <w:rPr>
          <w:rFonts w:ascii="Times New Roman" w:hAnsi="Times New Roman"/>
          <w:sz w:val="24"/>
          <w:szCs w:val="24"/>
        </w:rPr>
        <w:t>“</w:t>
      </w:r>
      <w:r w:rsidRPr="469479B5">
        <w:rPr>
          <w:rFonts w:ascii="Times New Roman" w:hAnsi="Times New Roman"/>
          <w:sz w:val="24"/>
          <w:szCs w:val="24"/>
        </w:rPr>
        <w:t>Līdzekļi neparedzētiem gadījumiem</w:t>
      </w:r>
      <w:r w:rsidR="00BC13A3">
        <w:rPr>
          <w:rFonts w:ascii="Times New Roman" w:hAnsi="Times New Roman"/>
          <w:sz w:val="24"/>
          <w:szCs w:val="24"/>
        </w:rPr>
        <w:t>”</w:t>
      </w:r>
      <w:r w:rsidRPr="469479B5">
        <w:rPr>
          <w:rFonts w:ascii="Times New Roman" w:hAnsi="Times New Roman"/>
          <w:sz w:val="24"/>
          <w:szCs w:val="24"/>
        </w:rPr>
        <w:t>, kas nepasliktina vispārējās valdības budžeta bilanci</w:t>
      </w:r>
      <w:r w:rsidR="008463F3">
        <w:rPr>
          <w:rFonts w:ascii="Times New Roman" w:hAnsi="Times New Roman"/>
          <w:sz w:val="24"/>
          <w:szCs w:val="24"/>
        </w:rPr>
        <w:t xml:space="preserve">, </w:t>
      </w:r>
      <w:r w:rsidR="008463F3" w:rsidRPr="000C4109">
        <w:rPr>
          <w:rFonts w:ascii="Times New Roman" w:hAnsi="Times New Roman" w:cs="Times New Roman"/>
          <w:sz w:val="24"/>
          <w:szCs w:val="24"/>
        </w:rPr>
        <w:t xml:space="preserve">ja izpildes nodrošināšanai netiek palielinātā budžeta programmas </w:t>
      </w:r>
      <w:r w:rsidR="006F338E">
        <w:rPr>
          <w:rFonts w:ascii="Times New Roman" w:hAnsi="Times New Roman" w:cs="Times New Roman"/>
          <w:sz w:val="24"/>
          <w:szCs w:val="24"/>
        </w:rPr>
        <w:t>“</w:t>
      </w:r>
      <w:r w:rsidR="008463F3" w:rsidRPr="000C4109">
        <w:rPr>
          <w:rFonts w:ascii="Times New Roman" w:hAnsi="Times New Roman" w:cs="Times New Roman"/>
          <w:sz w:val="24"/>
          <w:szCs w:val="24"/>
        </w:rPr>
        <w:t>Līdzekļi neparedzētiem gadījumiem</w:t>
      </w:r>
      <w:r w:rsidR="006F338E">
        <w:rPr>
          <w:rFonts w:ascii="Times New Roman" w:hAnsi="Times New Roman" w:cs="Times New Roman"/>
          <w:sz w:val="24"/>
          <w:szCs w:val="24"/>
        </w:rPr>
        <w:t>”</w:t>
      </w:r>
      <w:r w:rsidR="008463F3" w:rsidRPr="000C4109">
        <w:rPr>
          <w:rFonts w:ascii="Times New Roman" w:hAnsi="Times New Roman" w:cs="Times New Roman"/>
          <w:sz w:val="24"/>
          <w:szCs w:val="24"/>
        </w:rPr>
        <w:t xml:space="preserve"> apropriācija</w:t>
      </w:r>
      <w:r w:rsidRPr="469479B5">
        <w:rPr>
          <w:rFonts w:ascii="Times New Roman" w:hAnsi="Times New Roman"/>
          <w:sz w:val="24"/>
          <w:szCs w:val="24"/>
        </w:rPr>
        <w:t xml:space="preserve">. </w:t>
      </w:r>
      <w:r w:rsidR="00937D89">
        <w:rPr>
          <w:rFonts w:ascii="Times New Roman" w:hAnsi="Times New Roman"/>
          <w:sz w:val="24"/>
          <w:szCs w:val="24"/>
        </w:rPr>
        <w:t>No budžeta programmas “Līdzekļi neparedzētiem gadījumiem” finansējums Satversmes tiesas spriedumu izpildei 2024. gadā tika piešķirts 157,2 tūks</w:t>
      </w:r>
      <w:r w:rsidR="008463F3">
        <w:rPr>
          <w:rFonts w:ascii="Times New Roman" w:hAnsi="Times New Roman"/>
          <w:sz w:val="24"/>
          <w:szCs w:val="24"/>
        </w:rPr>
        <w:t>t.</w:t>
      </w:r>
      <w:r w:rsidR="00937D89">
        <w:rPr>
          <w:rFonts w:ascii="Times New Roman" w:hAnsi="Times New Roman"/>
          <w:sz w:val="24"/>
          <w:szCs w:val="24"/>
        </w:rPr>
        <w:t xml:space="preserve"> </w:t>
      </w:r>
      <w:r w:rsidR="00937D89" w:rsidRPr="00F504AD">
        <w:rPr>
          <w:rFonts w:ascii="Times New Roman" w:hAnsi="Times New Roman"/>
          <w:i/>
          <w:iCs/>
          <w:sz w:val="24"/>
          <w:szCs w:val="24"/>
        </w:rPr>
        <w:t>euro</w:t>
      </w:r>
      <w:r w:rsidR="00937D89">
        <w:rPr>
          <w:rFonts w:ascii="Times New Roman" w:hAnsi="Times New Roman"/>
          <w:sz w:val="24"/>
          <w:szCs w:val="24"/>
        </w:rPr>
        <w:t xml:space="preserve"> apmērā, savukārt iepriekšējā reize, kad šāda nepieciešamība bija bijusi ir 2012. gads</w:t>
      </w:r>
      <w:r w:rsidR="00562734">
        <w:rPr>
          <w:rFonts w:ascii="Times New Roman" w:hAnsi="Times New Roman"/>
          <w:sz w:val="24"/>
          <w:szCs w:val="24"/>
        </w:rPr>
        <w:t>.</w:t>
      </w:r>
      <w:r w:rsidR="00937D89" w:rsidRPr="469479B5">
        <w:rPr>
          <w:rFonts w:ascii="Times New Roman" w:hAnsi="Times New Roman"/>
          <w:sz w:val="24"/>
          <w:szCs w:val="24"/>
        </w:rPr>
        <w:t xml:space="preserve"> </w:t>
      </w:r>
      <w:r w:rsidRPr="469479B5">
        <w:rPr>
          <w:rFonts w:ascii="Times New Roman" w:hAnsi="Times New Roman"/>
          <w:sz w:val="24"/>
          <w:szCs w:val="24"/>
        </w:rPr>
        <w:t xml:space="preserve">Šajā gadījumā tas nav uzskatāms par fiskālo risku šīs deklarācijas izpratnē. Fiskālais risks ir saistīts ar tādiem Satversmes tiesas spriedumiem, kam ir būtiska fiskālā ietekme un to nevar segt no budžeta programmas </w:t>
      </w:r>
      <w:r w:rsidR="006F338E">
        <w:rPr>
          <w:rFonts w:ascii="Times New Roman" w:hAnsi="Times New Roman"/>
          <w:sz w:val="24"/>
          <w:szCs w:val="24"/>
        </w:rPr>
        <w:t>“</w:t>
      </w:r>
      <w:r w:rsidRPr="469479B5">
        <w:rPr>
          <w:rFonts w:ascii="Times New Roman" w:hAnsi="Times New Roman"/>
          <w:sz w:val="24"/>
          <w:szCs w:val="24"/>
        </w:rPr>
        <w:t>Līdzekļi neparedzētiem gadījumiem</w:t>
      </w:r>
      <w:r w:rsidR="006F338E">
        <w:rPr>
          <w:rFonts w:ascii="Times New Roman" w:hAnsi="Times New Roman"/>
          <w:sz w:val="24"/>
          <w:szCs w:val="24"/>
        </w:rPr>
        <w:t>”</w:t>
      </w:r>
      <w:r w:rsidRPr="469479B5">
        <w:rPr>
          <w:rFonts w:ascii="Times New Roman" w:hAnsi="Times New Roman"/>
          <w:sz w:val="24"/>
          <w:szCs w:val="24"/>
        </w:rPr>
        <w:t>.</w:t>
      </w:r>
    </w:p>
    <w:p w14:paraId="7ED1F93A" w14:textId="3D7CF7C9" w:rsidR="004825B0" w:rsidRDefault="0080084C" w:rsidP="00120BC3">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Tomēr, </w:t>
      </w:r>
      <w:r w:rsidRPr="469479B5">
        <w:rPr>
          <w:rFonts w:ascii="Times New Roman" w:hAnsi="Times New Roman" w:cs="Times New Roman"/>
          <w:sz w:val="24"/>
          <w:szCs w:val="24"/>
        </w:rPr>
        <w:t xml:space="preserve">kā tika atzīmēts iepriekš, </w:t>
      </w:r>
      <w:r w:rsidRPr="469479B5">
        <w:rPr>
          <w:rFonts w:ascii="Times New Roman" w:hAnsi="Times New Roman"/>
          <w:sz w:val="24"/>
          <w:szCs w:val="24"/>
        </w:rPr>
        <w:t xml:space="preserve">parasti Satversmes tiesa dod iespēju valstij sagatavoties papildu izdevumu nodrošināšanai. </w:t>
      </w:r>
      <w:r w:rsidR="000A2936">
        <w:rPr>
          <w:rFonts w:ascii="Times New Roman" w:hAnsi="Times New Roman"/>
          <w:sz w:val="24"/>
          <w:szCs w:val="24"/>
        </w:rPr>
        <w:t xml:space="preserve">Piemēram, </w:t>
      </w:r>
      <w:r w:rsidR="000A2936" w:rsidRPr="00CB2E9B">
        <w:rPr>
          <w:rFonts w:ascii="Times New Roman" w:hAnsi="Times New Roman"/>
          <w:sz w:val="24"/>
          <w:szCs w:val="24"/>
        </w:rPr>
        <w:t>Satversmes tiesa 2023. gada 5. oktobr</w:t>
      </w:r>
      <w:r w:rsidR="00E8772D">
        <w:rPr>
          <w:rFonts w:ascii="Times New Roman" w:hAnsi="Times New Roman"/>
          <w:sz w:val="24"/>
          <w:szCs w:val="24"/>
        </w:rPr>
        <w:t>a spriedumā</w:t>
      </w:r>
      <w:r w:rsidR="000A2936" w:rsidRPr="00CB2E9B">
        <w:rPr>
          <w:rFonts w:ascii="Times New Roman" w:hAnsi="Times New Roman"/>
          <w:sz w:val="24"/>
          <w:szCs w:val="24"/>
        </w:rPr>
        <w:t xml:space="preserve"> lietā Nr. 2022-34-01</w:t>
      </w:r>
      <w:r w:rsidR="00E8772D">
        <w:rPr>
          <w:rStyle w:val="FootnoteReference"/>
          <w:rFonts w:ascii="Times New Roman" w:hAnsi="Times New Roman"/>
          <w:sz w:val="24"/>
          <w:szCs w:val="24"/>
        </w:rPr>
        <w:footnoteReference w:id="54"/>
      </w:r>
      <w:r w:rsidR="000A2936" w:rsidRPr="00CB2E9B">
        <w:rPr>
          <w:rFonts w:ascii="Times New Roman" w:hAnsi="Times New Roman"/>
          <w:sz w:val="24"/>
          <w:szCs w:val="24"/>
        </w:rPr>
        <w:t xml:space="preserve"> ir atzinusi likumu normas par minimālo ienākumu slieksni un tā pārskatīšanas kārtību par neatbilstošām Satversmei</w:t>
      </w:r>
      <w:r w:rsidR="00FB5A09">
        <w:rPr>
          <w:rFonts w:ascii="Times New Roman" w:hAnsi="Times New Roman"/>
          <w:sz w:val="24"/>
          <w:szCs w:val="24"/>
        </w:rPr>
        <w:t xml:space="preserve"> un spēkā neesošas no 2025. gada 1. janvāra</w:t>
      </w:r>
      <w:r w:rsidR="000A2936" w:rsidRPr="00CB2E9B">
        <w:rPr>
          <w:rFonts w:ascii="Times New Roman" w:hAnsi="Times New Roman"/>
          <w:sz w:val="24"/>
          <w:szCs w:val="24"/>
        </w:rPr>
        <w:t>, norādot, ka joprojām nav izveidota tāda sociālās palīdzības sistēma, kas nodrošina pārredzamu atbalsta sniegšanu.</w:t>
      </w:r>
      <w:r w:rsidR="4C0D644C" w:rsidRPr="469479B5">
        <w:rPr>
          <w:rFonts w:ascii="Times New Roman" w:hAnsi="Times New Roman"/>
          <w:sz w:val="24"/>
          <w:szCs w:val="24"/>
        </w:rPr>
        <w:t xml:space="preserve"> </w:t>
      </w:r>
      <w:r w:rsidR="00E8772D" w:rsidRPr="00120BC3">
        <w:rPr>
          <w:rFonts w:ascii="Times New Roman" w:hAnsi="Times New Roman"/>
          <w:sz w:val="24"/>
          <w:szCs w:val="24"/>
        </w:rPr>
        <w:t xml:space="preserve">Satversmes tiesa </w:t>
      </w:r>
      <w:r w:rsidR="00120BC3" w:rsidRPr="001E3254">
        <w:rPr>
          <w:rFonts w:ascii="Times New Roman" w:hAnsi="Times New Roman"/>
          <w:sz w:val="24"/>
          <w:szCs w:val="24"/>
        </w:rPr>
        <w:t>norādīja</w:t>
      </w:r>
      <w:r w:rsidR="00E8772D" w:rsidRPr="00120BC3">
        <w:rPr>
          <w:rFonts w:ascii="Times New Roman" w:hAnsi="Times New Roman"/>
          <w:sz w:val="24"/>
          <w:szCs w:val="24"/>
        </w:rPr>
        <w:t>,</w:t>
      </w:r>
      <w:r w:rsidR="002A7282" w:rsidRPr="00120BC3">
        <w:rPr>
          <w:rFonts w:ascii="Times New Roman" w:hAnsi="Times New Roman"/>
          <w:sz w:val="24"/>
          <w:szCs w:val="24"/>
        </w:rPr>
        <w:t xml:space="preserve"> ka sākotnēji apstrīdēto normu atzīšana par spēkā neesošām no to pieņemšanas brīža</w:t>
      </w:r>
      <w:r w:rsidR="00120BC3" w:rsidRPr="001E3254">
        <w:rPr>
          <w:rFonts w:ascii="Times New Roman" w:hAnsi="Times New Roman"/>
          <w:sz w:val="24"/>
          <w:szCs w:val="24"/>
        </w:rPr>
        <w:t xml:space="preserve"> varētu</w:t>
      </w:r>
      <w:r w:rsidR="002A7282" w:rsidRPr="00120BC3">
        <w:rPr>
          <w:rFonts w:ascii="Times New Roman" w:hAnsi="Times New Roman"/>
          <w:sz w:val="24"/>
          <w:szCs w:val="24"/>
        </w:rPr>
        <w:t xml:space="preserve"> radīt tiesisko nestabilitāti un būtu pretēja sociālās palīdzības mērķim. </w:t>
      </w:r>
      <w:r w:rsidR="000A2936">
        <w:rPr>
          <w:rFonts w:ascii="Times New Roman" w:hAnsi="Times New Roman"/>
          <w:sz w:val="24"/>
          <w:szCs w:val="24"/>
        </w:rPr>
        <w:t>Attiecīgi</w:t>
      </w:r>
      <w:r w:rsidR="4C0D644C" w:rsidRPr="469479B5">
        <w:rPr>
          <w:rFonts w:ascii="Times New Roman" w:hAnsi="Times New Roman"/>
          <w:sz w:val="24"/>
          <w:szCs w:val="24"/>
        </w:rPr>
        <w:t xml:space="preserve"> </w:t>
      </w:r>
      <w:r w:rsidR="000A2936">
        <w:rPr>
          <w:rFonts w:ascii="Times New Roman" w:hAnsi="Times New Roman"/>
          <w:sz w:val="24"/>
          <w:szCs w:val="24"/>
        </w:rPr>
        <w:t>izdevumus</w:t>
      </w:r>
      <w:r w:rsidR="4C0D644C" w:rsidRPr="469479B5">
        <w:rPr>
          <w:rFonts w:ascii="Times New Roman" w:hAnsi="Times New Roman"/>
          <w:sz w:val="24"/>
          <w:szCs w:val="24"/>
        </w:rPr>
        <w:t xml:space="preserve"> </w:t>
      </w:r>
      <w:r w:rsidR="000A2936">
        <w:rPr>
          <w:rFonts w:ascii="Times New Roman" w:hAnsi="Times New Roman"/>
          <w:sz w:val="24"/>
          <w:szCs w:val="24"/>
        </w:rPr>
        <w:t xml:space="preserve">bija </w:t>
      </w:r>
      <w:r w:rsidR="4C0D644C" w:rsidRPr="469479B5">
        <w:rPr>
          <w:rFonts w:ascii="Times New Roman" w:hAnsi="Times New Roman"/>
          <w:sz w:val="24"/>
          <w:szCs w:val="24"/>
        </w:rPr>
        <w:t>iespējams plānot nākamā likumprojekta par budžetu kārtējam gadam un vidēja termiņa budžeta ietvara sagatavošanas procesā</w:t>
      </w:r>
      <w:r w:rsidR="000A2936">
        <w:rPr>
          <w:rFonts w:ascii="Times New Roman" w:hAnsi="Times New Roman"/>
          <w:sz w:val="24"/>
          <w:szCs w:val="24"/>
        </w:rPr>
        <w:t xml:space="preserve"> un arī </w:t>
      </w:r>
      <w:r w:rsidR="4C0D644C" w:rsidRPr="469479B5">
        <w:rPr>
          <w:rFonts w:ascii="Times New Roman" w:hAnsi="Times New Roman"/>
          <w:sz w:val="24"/>
          <w:szCs w:val="24"/>
        </w:rPr>
        <w:t xml:space="preserve">šajā gadījumā tas nav fiskālais risks. </w:t>
      </w:r>
      <w:bookmarkStart w:id="323" w:name="_Hlk199847901"/>
    </w:p>
    <w:p w14:paraId="74200F7B" w14:textId="77777777" w:rsidR="0084332B" w:rsidRDefault="0084332B" w:rsidP="00120BC3">
      <w:pPr>
        <w:spacing w:after="0" w:line="240" w:lineRule="auto"/>
        <w:ind w:firstLine="720"/>
        <w:jc w:val="both"/>
        <w:rPr>
          <w:rFonts w:ascii="Times New Roman" w:hAnsi="Times New Roman"/>
          <w:sz w:val="24"/>
          <w:szCs w:val="24"/>
        </w:rPr>
      </w:pPr>
    </w:p>
    <w:p w14:paraId="06FC0E43" w14:textId="61CDE61B" w:rsidR="008463F3" w:rsidRPr="0084332B" w:rsidRDefault="008463F3" w:rsidP="008463F3">
      <w:pPr>
        <w:spacing w:after="0" w:line="240" w:lineRule="auto"/>
        <w:ind w:firstLine="720"/>
        <w:jc w:val="both"/>
        <w:rPr>
          <w:rFonts w:ascii="Times New Roman" w:hAnsi="Times New Roman" w:cs="Times New Roman"/>
          <w:sz w:val="24"/>
          <w:szCs w:val="24"/>
        </w:rPr>
      </w:pPr>
      <w:bookmarkStart w:id="324" w:name="_Hlk205289875"/>
      <w:r w:rsidRPr="0084332B">
        <w:rPr>
          <w:rFonts w:ascii="Times New Roman" w:hAnsi="Times New Roman" w:cs="Times New Roman"/>
          <w:sz w:val="24"/>
          <w:szCs w:val="24"/>
        </w:rPr>
        <w:t>Likuma “Par valsts budžetu 2026. gadam un budžeta ietvaru 2026., 2027. un 2028. gadam” izpildes laikā Satversmes tiesa varētu pieņemt spriedumu</w:t>
      </w:r>
      <w:r w:rsidR="00302AAA">
        <w:rPr>
          <w:rFonts w:ascii="Times New Roman" w:hAnsi="Times New Roman" w:cs="Times New Roman"/>
          <w:sz w:val="24"/>
          <w:szCs w:val="24"/>
        </w:rPr>
        <w:t>s</w:t>
      </w:r>
      <w:r w:rsidRPr="0084332B">
        <w:rPr>
          <w:rFonts w:ascii="Times New Roman" w:hAnsi="Times New Roman" w:cs="Times New Roman"/>
          <w:sz w:val="24"/>
          <w:szCs w:val="24"/>
        </w:rPr>
        <w:t xml:space="preserve"> vairākās lietās ar būtisku fiskālo ietekmi.</w:t>
      </w:r>
    </w:p>
    <w:p w14:paraId="0EBBCF53" w14:textId="7E64D4B5" w:rsidR="008463F3" w:rsidRPr="0084332B" w:rsidRDefault="008463F3" w:rsidP="008463F3">
      <w:pPr>
        <w:pStyle w:val="ListParagraph"/>
        <w:numPr>
          <w:ilvl w:val="0"/>
          <w:numId w:val="64"/>
        </w:numPr>
        <w:ind w:left="0" w:firstLine="720"/>
        <w:rPr>
          <w:rFonts w:ascii="Times New Roman" w:hAnsi="Times New Roman"/>
          <w:sz w:val="24"/>
          <w:szCs w:val="24"/>
        </w:rPr>
      </w:pPr>
      <w:r w:rsidRPr="0084332B">
        <w:rPr>
          <w:rFonts w:ascii="Times New Roman" w:hAnsi="Times New Roman"/>
          <w:sz w:val="24"/>
          <w:szCs w:val="24"/>
        </w:rPr>
        <w:t>2023. gada 6. decembrī</w:t>
      </w:r>
      <w:r w:rsidR="00830023">
        <w:rPr>
          <w:rFonts w:ascii="Times New Roman" w:hAnsi="Times New Roman"/>
          <w:sz w:val="24"/>
          <w:szCs w:val="24"/>
        </w:rPr>
        <w:t>,</w:t>
      </w:r>
      <w:r w:rsidRPr="0084332B">
        <w:rPr>
          <w:rFonts w:ascii="Times New Roman" w:hAnsi="Times New Roman"/>
          <w:sz w:val="24"/>
          <w:szCs w:val="24"/>
        </w:rPr>
        <w:t xml:space="preserve"> ņemot vērā straujo EURIBOR likmju kāpumu un inflācijas rezultātā pieaugušo kredīta maksājumu un patēriņa cenu radīto izmaksu slogu mājsaimniecībām, Saeimā tika lemts par mērķētu atbalsta mehānismu hipotekāro kredītu aizņēmējiem mājokļa iegādei vai būvniecībai. Ar grozījumiem “Patērētāju tiesību aizsardzības likumā”, papildinot likumu ar jaunu 8.</w:t>
      </w:r>
      <w:r w:rsidRPr="0084332B">
        <w:rPr>
          <w:rFonts w:ascii="Times New Roman" w:hAnsi="Times New Roman"/>
          <w:sz w:val="24"/>
          <w:szCs w:val="24"/>
          <w:vertAlign w:val="superscript"/>
        </w:rPr>
        <w:t>4</w:t>
      </w:r>
      <w:r w:rsidRPr="0084332B">
        <w:rPr>
          <w:rFonts w:ascii="Times New Roman" w:hAnsi="Times New Roman"/>
          <w:sz w:val="24"/>
          <w:szCs w:val="24"/>
        </w:rPr>
        <w:t xml:space="preserve"> pantu par hipotekārā kredīta ņēmēju aizsardzības nodevu (turpmāk – nodeva), no kuras ieņēmumiem tiek veikta kredīta procentu kompensācijas izmaksa hipotekārā kredīta ņēmējiem. 2023. gada 11. decembrī Eiropas Centrālā banka (turpmāk – ECB) publicēja atzinumu par hipotekārā kredīta ņēmēju aizsardzības pagaidu nodevu kredītiestādēm. Savukārt</w:t>
      </w:r>
      <w:r w:rsidR="00D40F08">
        <w:rPr>
          <w:rFonts w:ascii="Times New Roman" w:hAnsi="Times New Roman"/>
          <w:sz w:val="24"/>
          <w:szCs w:val="24"/>
        </w:rPr>
        <w:t>,</w:t>
      </w:r>
      <w:r w:rsidRPr="0084332B">
        <w:rPr>
          <w:rFonts w:ascii="Times New Roman" w:hAnsi="Times New Roman"/>
          <w:sz w:val="24"/>
          <w:szCs w:val="24"/>
        </w:rPr>
        <w:t xml:space="preserve"> 2023. gada 20. decembrī Valsts prezidents izsludināja minēto likumu un tas stājās spēkā 2024. gada 1. janvārī un bija piemērojams līdz 2024. gada 31. decembrim. </w:t>
      </w:r>
    </w:p>
    <w:p w14:paraId="560D525B" w14:textId="1F912D26" w:rsidR="008463F3" w:rsidRPr="0084332B" w:rsidRDefault="008463F3" w:rsidP="003C1A08">
      <w:pPr>
        <w:spacing w:after="0" w:line="240" w:lineRule="auto"/>
        <w:ind w:firstLine="720"/>
        <w:jc w:val="both"/>
        <w:rPr>
          <w:rFonts w:ascii="Times New Roman" w:hAnsi="Times New Roman" w:cs="Times New Roman"/>
          <w:sz w:val="24"/>
          <w:szCs w:val="24"/>
        </w:rPr>
      </w:pPr>
      <w:r w:rsidRPr="0084332B">
        <w:rPr>
          <w:rFonts w:ascii="Times New Roman" w:hAnsi="Times New Roman" w:cs="Times New Roman"/>
          <w:sz w:val="24"/>
          <w:szCs w:val="24"/>
        </w:rPr>
        <w:t>Satversmes tiesā 2024. gadā tika ierosinātas divas lietas: viena – pēc divu fizisku personu – hipotekārā kredīta ņēmēju pieteikuma un otra – pēc nodevas maksātāja AS “SEB banka” pieteikuma. 2025. gada 14. janvārī tika lemts par abu lietu apvienošanu</w:t>
      </w:r>
      <w:r w:rsidRPr="0084332B">
        <w:rPr>
          <w:rFonts w:ascii="Times New Roman" w:hAnsi="Times New Roman" w:cs="Times New Roman"/>
          <w:vertAlign w:val="superscript"/>
        </w:rPr>
        <w:footnoteReference w:id="55"/>
      </w:r>
      <w:r w:rsidRPr="0084332B">
        <w:rPr>
          <w:rFonts w:ascii="Times New Roman" w:hAnsi="Times New Roman" w:cs="Times New Roman"/>
          <w:sz w:val="24"/>
          <w:szCs w:val="24"/>
        </w:rPr>
        <w:t xml:space="preserve"> vienā lietā Nr. 2024-09-01</w:t>
      </w:r>
      <w:r w:rsidRPr="0084332B">
        <w:rPr>
          <w:rFonts w:ascii="Times New Roman" w:hAnsi="Times New Roman" w:cs="Times New Roman"/>
          <w:vertAlign w:val="superscript"/>
        </w:rPr>
        <w:footnoteReference w:id="56"/>
      </w:r>
      <w:r w:rsidRPr="0084332B">
        <w:rPr>
          <w:rFonts w:ascii="Times New Roman" w:hAnsi="Times New Roman" w:cs="Times New Roman"/>
          <w:sz w:val="24"/>
          <w:szCs w:val="24"/>
        </w:rPr>
        <w:t>. Pieteikumā apstrīdētās normas ir par nodevas objektu, subjektiem, kas maksā nodevu, nodevas apmēru, kā arī kredīta ņēmēj</w:t>
      </w:r>
      <w:r w:rsidR="005705D0">
        <w:rPr>
          <w:rFonts w:ascii="Times New Roman" w:hAnsi="Times New Roman" w:cs="Times New Roman"/>
          <w:sz w:val="24"/>
          <w:szCs w:val="24"/>
        </w:rPr>
        <w:t>iem</w:t>
      </w:r>
      <w:r w:rsidRPr="0084332B">
        <w:rPr>
          <w:rFonts w:ascii="Times New Roman" w:hAnsi="Times New Roman" w:cs="Times New Roman"/>
          <w:sz w:val="24"/>
          <w:szCs w:val="24"/>
        </w:rPr>
        <w:t>, kuri ir tiesīgi saņemt kompensāciju, un darbībām, kas nodevas maksātājam jāveic, lai aprēķinātu kompensāciju, kā arī laika periodu, par kuru ir piemērojama nodeva un kompensācija. Tā kā tiek apstrīdēts arī likuma punkts, kas nosaka kredīta ņēmējus, kuri ir tiesīgi saņemt kompensāciju</w:t>
      </w:r>
      <w:r w:rsidR="00636C4A">
        <w:rPr>
          <w:rFonts w:ascii="Times New Roman" w:hAnsi="Times New Roman" w:cs="Times New Roman"/>
          <w:sz w:val="24"/>
          <w:szCs w:val="24"/>
        </w:rPr>
        <w:t>,</w:t>
      </w:r>
      <w:r w:rsidRPr="0084332B">
        <w:rPr>
          <w:rFonts w:ascii="Times New Roman" w:hAnsi="Times New Roman" w:cs="Times New Roman"/>
          <w:sz w:val="24"/>
          <w:szCs w:val="24"/>
        </w:rPr>
        <w:t xml:space="preserve"> pieteikuma iesniedzēju</w:t>
      </w:r>
      <w:r w:rsidR="00636C4A">
        <w:rPr>
          <w:rFonts w:ascii="Times New Roman" w:hAnsi="Times New Roman" w:cs="Times New Roman"/>
          <w:sz w:val="24"/>
          <w:szCs w:val="24"/>
        </w:rPr>
        <w:t xml:space="preserve"> -</w:t>
      </w:r>
      <w:r w:rsidRPr="0084332B">
        <w:rPr>
          <w:rFonts w:ascii="Times New Roman" w:hAnsi="Times New Roman" w:cs="Times New Roman"/>
          <w:sz w:val="24"/>
          <w:szCs w:val="24"/>
        </w:rPr>
        <w:t xml:space="preserve"> divu fizisko personu</w:t>
      </w:r>
      <w:r w:rsidR="00636C4A">
        <w:rPr>
          <w:rFonts w:ascii="Times New Roman" w:hAnsi="Times New Roman" w:cs="Times New Roman"/>
          <w:sz w:val="24"/>
          <w:szCs w:val="24"/>
        </w:rPr>
        <w:t>, kuru</w:t>
      </w:r>
      <w:r w:rsidRPr="0084332B">
        <w:rPr>
          <w:rFonts w:ascii="Times New Roman" w:hAnsi="Times New Roman" w:cs="Times New Roman"/>
          <w:sz w:val="24"/>
          <w:szCs w:val="24"/>
        </w:rPr>
        <w:t xml:space="preserve"> hipotekārā kredīta atlikums pārsniedz 250 000</w:t>
      </w:r>
      <w:r w:rsidRPr="0084332B">
        <w:rPr>
          <w:rFonts w:ascii="Times New Roman" w:hAnsi="Times New Roman" w:cs="Times New Roman"/>
          <w:i/>
          <w:iCs/>
          <w:sz w:val="24"/>
          <w:szCs w:val="24"/>
        </w:rPr>
        <w:t xml:space="preserve"> euro</w:t>
      </w:r>
      <w:r w:rsidRPr="0084332B">
        <w:rPr>
          <w:rFonts w:ascii="Times New Roman" w:hAnsi="Times New Roman" w:cs="Times New Roman"/>
          <w:sz w:val="24"/>
          <w:szCs w:val="24"/>
        </w:rPr>
        <w:t xml:space="preserve"> un tām nebija tiesību saņemt šā kredīta procentu kompensāciju, līdz ar to, Satversmes tiesā tiks vērtēts arī kritērijs par apjoma ierobežojumu atbilstību Satversmei.</w:t>
      </w:r>
    </w:p>
    <w:p w14:paraId="581D5788" w14:textId="76C9CFDA" w:rsidR="008463F3" w:rsidRPr="0084332B" w:rsidRDefault="008463F3" w:rsidP="003C1A08">
      <w:pPr>
        <w:spacing w:after="0" w:line="240" w:lineRule="auto"/>
        <w:ind w:firstLine="720"/>
        <w:jc w:val="both"/>
        <w:rPr>
          <w:rFonts w:ascii="Times New Roman" w:hAnsi="Times New Roman" w:cs="Times New Roman"/>
          <w:sz w:val="24"/>
          <w:szCs w:val="24"/>
        </w:rPr>
      </w:pPr>
      <w:r w:rsidRPr="0084332B">
        <w:rPr>
          <w:rFonts w:ascii="Times New Roman" w:hAnsi="Times New Roman" w:cs="Times New Roman"/>
          <w:sz w:val="24"/>
          <w:szCs w:val="24"/>
        </w:rPr>
        <w:t xml:space="preserve">Valsts budžetā iemaksātās nodevas apmērs veido 97,5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w:t>
      </w:r>
      <w:r w:rsidRPr="0084332B">
        <w:rPr>
          <w:rFonts w:ascii="Times New Roman" w:hAnsi="Times New Roman" w:cs="Times New Roman"/>
          <w:i/>
          <w:iCs/>
          <w:sz w:val="24"/>
          <w:szCs w:val="24"/>
        </w:rPr>
        <w:t xml:space="preserve"> </w:t>
      </w:r>
      <w:r w:rsidRPr="0084332B">
        <w:rPr>
          <w:rFonts w:ascii="Times New Roman" w:hAnsi="Times New Roman" w:cs="Times New Roman"/>
          <w:sz w:val="24"/>
          <w:szCs w:val="24"/>
        </w:rPr>
        <w:t>Atbilstoši Patērētāju tiesību aizsardzības likuma 8.</w:t>
      </w:r>
      <w:r w:rsidRPr="0084332B">
        <w:rPr>
          <w:rFonts w:ascii="Times New Roman" w:hAnsi="Times New Roman" w:cs="Times New Roman"/>
          <w:sz w:val="24"/>
          <w:szCs w:val="24"/>
          <w:vertAlign w:val="superscript"/>
        </w:rPr>
        <w:t>4</w:t>
      </w:r>
      <w:r w:rsidRPr="0084332B">
        <w:rPr>
          <w:rFonts w:ascii="Times New Roman" w:hAnsi="Times New Roman" w:cs="Times New Roman"/>
          <w:sz w:val="24"/>
          <w:szCs w:val="24"/>
        </w:rPr>
        <w:t xml:space="preserve"> pantam fiziskām personām — kredītu ņēmējiem tika izmaksāta kompensācija 78,3 milj. </w:t>
      </w:r>
      <w:r w:rsidRPr="0084332B">
        <w:rPr>
          <w:rFonts w:ascii="Times New Roman" w:hAnsi="Times New Roman" w:cs="Times New Roman"/>
          <w:i/>
          <w:iCs/>
          <w:sz w:val="24"/>
          <w:szCs w:val="24"/>
        </w:rPr>
        <w:t xml:space="preserve">euro </w:t>
      </w:r>
      <w:r w:rsidRPr="0084332B">
        <w:rPr>
          <w:rFonts w:ascii="Times New Roman" w:hAnsi="Times New Roman" w:cs="Times New Roman"/>
          <w:sz w:val="24"/>
          <w:szCs w:val="24"/>
        </w:rPr>
        <w:t>apmērā</w:t>
      </w:r>
      <w:r w:rsidRPr="0084332B">
        <w:rPr>
          <w:rFonts w:ascii="Times New Roman" w:hAnsi="Times New Roman" w:cs="Times New Roman"/>
          <w:i/>
          <w:iCs/>
          <w:sz w:val="24"/>
          <w:szCs w:val="24"/>
        </w:rPr>
        <w:t xml:space="preserve"> </w:t>
      </w:r>
      <w:r w:rsidRPr="0084332B">
        <w:rPr>
          <w:rFonts w:ascii="Times New Roman" w:hAnsi="Times New Roman" w:cs="Times New Roman"/>
          <w:sz w:val="24"/>
          <w:szCs w:val="24"/>
        </w:rPr>
        <w:t xml:space="preserve">(60,5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 xml:space="preserve"> 2024. gadā un 17,8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 xml:space="preserve"> 2025. gada janvārī), attiecīgi pārmaksātais nodevas apmērs veido 19,2 milj. </w:t>
      </w:r>
      <w:r w:rsidRPr="0084332B">
        <w:rPr>
          <w:rFonts w:ascii="Times New Roman" w:hAnsi="Times New Roman" w:cs="Times New Roman"/>
          <w:i/>
          <w:iCs/>
          <w:sz w:val="24"/>
          <w:szCs w:val="24"/>
        </w:rPr>
        <w:t xml:space="preserve">euro. </w:t>
      </w:r>
    </w:p>
    <w:p w14:paraId="78B3DA83" w14:textId="77777777" w:rsidR="008463F3" w:rsidRPr="0084332B" w:rsidRDefault="008463F3" w:rsidP="008463F3">
      <w:pPr>
        <w:spacing w:after="0" w:line="240" w:lineRule="auto"/>
        <w:ind w:firstLine="720"/>
        <w:jc w:val="both"/>
        <w:rPr>
          <w:rFonts w:ascii="Times New Roman" w:hAnsi="Times New Roman" w:cs="Times New Roman"/>
          <w:sz w:val="24"/>
          <w:szCs w:val="24"/>
        </w:rPr>
      </w:pPr>
      <w:r w:rsidRPr="0084332B">
        <w:rPr>
          <w:rFonts w:ascii="Times New Roman" w:hAnsi="Times New Roman" w:cs="Times New Roman"/>
          <w:sz w:val="24"/>
          <w:szCs w:val="24"/>
        </w:rPr>
        <w:t>Ir iespējami vairāki scenāriji tiesvedības iznākumam:</w:t>
      </w:r>
    </w:p>
    <w:p w14:paraId="26D2D930" w14:textId="77777777" w:rsidR="008463F3" w:rsidRPr="0084332B" w:rsidRDefault="008463F3" w:rsidP="004171C1">
      <w:pPr>
        <w:pStyle w:val="ListParagraph"/>
        <w:numPr>
          <w:ilvl w:val="0"/>
          <w:numId w:val="65"/>
        </w:numPr>
        <w:ind w:left="938" w:hanging="938"/>
        <w:rPr>
          <w:rFonts w:ascii="Times New Roman" w:hAnsi="Times New Roman"/>
          <w:i/>
          <w:iCs/>
          <w:sz w:val="24"/>
          <w:szCs w:val="24"/>
        </w:rPr>
      </w:pPr>
      <w:r w:rsidRPr="0084332B">
        <w:rPr>
          <w:rFonts w:ascii="Times New Roman" w:hAnsi="Times New Roman"/>
          <w:sz w:val="24"/>
          <w:szCs w:val="24"/>
        </w:rPr>
        <w:t xml:space="preserve">Scenārijs: Gadījumā, ja lietā Nr. 2024-09-01 par nodevu un ar to saistīto kredīta procentu kompensāciju Satversmes tiesa lemtu, ka apstrīdētās normas atzīstamas par spēkā neesošām </w:t>
      </w:r>
      <w:r w:rsidRPr="0084332B">
        <w:rPr>
          <w:rFonts w:ascii="Times New Roman" w:hAnsi="Times New Roman"/>
          <w:sz w:val="24"/>
          <w:szCs w:val="24"/>
          <w:u w:val="single"/>
        </w:rPr>
        <w:t>no to pieņemšanas brīža</w:t>
      </w:r>
      <w:r w:rsidRPr="0084332B">
        <w:rPr>
          <w:rFonts w:ascii="Times New Roman" w:hAnsi="Times New Roman"/>
          <w:sz w:val="24"/>
          <w:szCs w:val="24"/>
        </w:rPr>
        <w:t>, tad:</w:t>
      </w:r>
    </w:p>
    <w:p w14:paraId="01E2DB2F" w14:textId="77777777" w:rsidR="008463F3" w:rsidRPr="0084332B" w:rsidRDefault="008463F3" w:rsidP="004171C1">
      <w:pPr>
        <w:numPr>
          <w:ilvl w:val="1"/>
          <w:numId w:val="65"/>
        </w:numPr>
        <w:spacing w:after="0" w:line="240" w:lineRule="auto"/>
        <w:ind w:left="938" w:hanging="513"/>
        <w:jc w:val="both"/>
        <w:rPr>
          <w:rFonts w:ascii="Times New Roman" w:hAnsi="Times New Roman" w:cs="Times New Roman"/>
          <w:i/>
          <w:iCs/>
          <w:sz w:val="24"/>
          <w:szCs w:val="24"/>
        </w:rPr>
      </w:pPr>
      <w:r w:rsidRPr="0084332B">
        <w:rPr>
          <w:rFonts w:ascii="Times New Roman" w:hAnsi="Times New Roman" w:cs="Times New Roman"/>
          <w:sz w:val="24"/>
          <w:szCs w:val="24"/>
        </w:rPr>
        <w:t>kredītiestādēm un kapitālsabiedrībām, kas saņēmušas licenci patērētāju kreditēšanai, un ir maksājušas nodevu, atbilstoši Patērētāju tiesību aizsardzības likuma 8.</w:t>
      </w:r>
      <w:r w:rsidRPr="0084332B">
        <w:rPr>
          <w:rFonts w:ascii="Times New Roman" w:hAnsi="Times New Roman" w:cs="Times New Roman"/>
          <w:sz w:val="24"/>
          <w:szCs w:val="24"/>
          <w:vertAlign w:val="superscript"/>
        </w:rPr>
        <w:t>4</w:t>
      </w:r>
      <w:r w:rsidRPr="0084332B">
        <w:rPr>
          <w:rFonts w:ascii="Times New Roman" w:hAnsi="Times New Roman" w:cs="Times New Roman"/>
          <w:sz w:val="24"/>
          <w:szCs w:val="24"/>
        </w:rPr>
        <w:t xml:space="preserve"> pantam, rastos tiesības prasīt to samaksātās nodevas atmaksu no valsts budžeta pilnā apmērā;</w:t>
      </w:r>
    </w:p>
    <w:p w14:paraId="3DCFEF0F" w14:textId="15637B74" w:rsidR="008463F3" w:rsidRPr="0084332B" w:rsidRDefault="008463F3" w:rsidP="004171C1">
      <w:pPr>
        <w:numPr>
          <w:ilvl w:val="1"/>
          <w:numId w:val="65"/>
        </w:numPr>
        <w:spacing w:after="0" w:line="240" w:lineRule="auto"/>
        <w:ind w:left="938" w:hanging="513"/>
        <w:jc w:val="both"/>
        <w:rPr>
          <w:rFonts w:ascii="Times New Roman" w:hAnsi="Times New Roman" w:cs="Times New Roman"/>
          <w:i/>
          <w:iCs/>
          <w:sz w:val="24"/>
          <w:szCs w:val="24"/>
        </w:rPr>
      </w:pPr>
      <w:r w:rsidRPr="0084332B">
        <w:rPr>
          <w:rFonts w:ascii="Times New Roman" w:hAnsi="Times New Roman" w:cs="Times New Roman"/>
          <w:sz w:val="24"/>
          <w:szCs w:val="24"/>
        </w:rPr>
        <w:t>var arī tikt lemts atlīdzināt iemaksāto summu vienīgi lietas ierosinātājam</w:t>
      </w:r>
      <w:r w:rsidR="00830023">
        <w:rPr>
          <w:rFonts w:ascii="Times New Roman" w:hAnsi="Times New Roman" w:cs="Times New Roman"/>
          <w:sz w:val="24"/>
          <w:szCs w:val="24"/>
        </w:rPr>
        <w:t xml:space="preserve"> – nodevas</w:t>
      </w:r>
      <w:r w:rsidRPr="0084332B">
        <w:rPr>
          <w:rFonts w:ascii="Times New Roman" w:hAnsi="Times New Roman" w:cs="Times New Roman"/>
          <w:sz w:val="24"/>
          <w:szCs w:val="24"/>
        </w:rPr>
        <w:t xml:space="preserve"> maksātājam AS “SEB banka”</w:t>
      </w:r>
      <w:r w:rsidRPr="0084332B">
        <w:rPr>
          <w:rFonts w:ascii="Times New Roman" w:hAnsi="Times New Roman" w:cs="Times New Roman"/>
          <w:i/>
          <w:iCs/>
          <w:sz w:val="24"/>
          <w:szCs w:val="24"/>
        </w:rPr>
        <w:t>.</w:t>
      </w:r>
    </w:p>
    <w:p w14:paraId="6D12DE33" w14:textId="25EEDFF3" w:rsidR="008463F3" w:rsidRPr="0084332B" w:rsidRDefault="008463F3" w:rsidP="004171C1">
      <w:pPr>
        <w:pStyle w:val="ListParagraph"/>
        <w:numPr>
          <w:ilvl w:val="0"/>
          <w:numId w:val="66"/>
        </w:numPr>
        <w:ind w:left="938" w:hanging="938"/>
        <w:rPr>
          <w:rFonts w:ascii="Times New Roman" w:hAnsi="Times New Roman"/>
          <w:sz w:val="24"/>
          <w:szCs w:val="24"/>
        </w:rPr>
      </w:pPr>
      <w:r w:rsidRPr="0084332B">
        <w:rPr>
          <w:rFonts w:ascii="Times New Roman" w:hAnsi="Times New Roman"/>
          <w:sz w:val="24"/>
          <w:szCs w:val="24"/>
        </w:rPr>
        <w:t xml:space="preserve">Scenārijs: </w:t>
      </w:r>
      <w:r w:rsidR="0056244A" w:rsidRPr="0084332B">
        <w:rPr>
          <w:rFonts w:ascii="Times New Roman" w:hAnsi="Times New Roman"/>
          <w:sz w:val="24"/>
          <w:szCs w:val="24"/>
        </w:rPr>
        <w:t>T</w:t>
      </w:r>
      <w:r w:rsidRPr="0084332B">
        <w:rPr>
          <w:rFonts w:ascii="Times New Roman" w:hAnsi="Times New Roman"/>
          <w:sz w:val="24"/>
          <w:szCs w:val="24"/>
        </w:rPr>
        <w:t>iek atzīts, ka kritērijs par apjoma ierobežojumu neatbilst Satversmei:</w:t>
      </w:r>
    </w:p>
    <w:p w14:paraId="07E33CDF" w14:textId="66E53B63" w:rsidR="008463F3" w:rsidRPr="0084332B" w:rsidRDefault="008463F3" w:rsidP="004171C1">
      <w:pPr>
        <w:pStyle w:val="ListParagraph"/>
        <w:numPr>
          <w:ilvl w:val="1"/>
          <w:numId w:val="66"/>
        </w:numPr>
        <w:ind w:left="938" w:hanging="426"/>
        <w:rPr>
          <w:rFonts w:ascii="Times New Roman" w:hAnsi="Times New Roman"/>
          <w:sz w:val="24"/>
          <w:szCs w:val="24"/>
        </w:rPr>
      </w:pPr>
      <w:r w:rsidRPr="0084332B">
        <w:rPr>
          <w:rFonts w:ascii="Times New Roman" w:hAnsi="Times New Roman"/>
          <w:sz w:val="24"/>
          <w:szCs w:val="24"/>
        </w:rPr>
        <w:t>var tikt lemts par kompensācijas izmaksu pieteikuma iesniedzējiem – divām fiziskām personām;</w:t>
      </w:r>
    </w:p>
    <w:p w14:paraId="33A2F1AF" w14:textId="77777777" w:rsidR="008463F3" w:rsidRPr="0084332B" w:rsidRDefault="008463F3" w:rsidP="004171C1">
      <w:pPr>
        <w:numPr>
          <w:ilvl w:val="1"/>
          <w:numId w:val="66"/>
        </w:numPr>
        <w:spacing w:after="0" w:line="240" w:lineRule="auto"/>
        <w:ind w:left="938" w:hanging="426"/>
        <w:jc w:val="both"/>
        <w:rPr>
          <w:rFonts w:ascii="Times New Roman" w:hAnsi="Times New Roman" w:cs="Times New Roman"/>
          <w:sz w:val="24"/>
          <w:szCs w:val="24"/>
        </w:rPr>
      </w:pPr>
      <w:r w:rsidRPr="0084332B">
        <w:rPr>
          <w:rFonts w:ascii="Times New Roman" w:hAnsi="Times New Roman" w:cs="Times New Roman"/>
          <w:sz w:val="24"/>
          <w:szCs w:val="24"/>
        </w:rPr>
        <w:t>var tikt lemts par kompensācijas izmaksu visiem hipotekāro kredītu saņēmējiem, kuru hipotekārā kredīta atlikums pārsniedz 250 000</w:t>
      </w:r>
      <w:r w:rsidRPr="0084332B">
        <w:rPr>
          <w:rFonts w:ascii="Times New Roman" w:hAnsi="Times New Roman" w:cs="Times New Roman"/>
          <w:i/>
          <w:iCs/>
          <w:sz w:val="24"/>
          <w:szCs w:val="24"/>
        </w:rPr>
        <w:t xml:space="preserve"> euro</w:t>
      </w:r>
      <w:r w:rsidRPr="0084332B">
        <w:rPr>
          <w:rFonts w:ascii="Times New Roman" w:hAnsi="Times New Roman" w:cs="Times New Roman"/>
          <w:sz w:val="24"/>
          <w:szCs w:val="24"/>
        </w:rPr>
        <w:t>, kuri atbilst pārējiem nosacījumiem kompensācijas saņemšanai.</w:t>
      </w:r>
    </w:p>
    <w:p w14:paraId="6687A785" w14:textId="5B9B1479" w:rsidR="008463F3" w:rsidRPr="0084332B" w:rsidRDefault="008463F3" w:rsidP="004171C1">
      <w:pPr>
        <w:pStyle w:val="ListParagraph"/>
        <w:numPr>
          <w:ilvl w:val="0"/>
          <w:numId w:val="66"/>
        </w:numPr>
        <w:ind w:left="938" w:hanging="938"/>
        <w:rPr>
          <w:rFonts w:ascii="Times New Roman" w:hAnsi="Times New Roman"/>
          <w:sz w:val="24"/>
          <w:szCs w:val="24"/>
        </w:rPr>
      </w:pPr>
      <w:r w:rsidRPr="0084332B">
        <w:rPr>
          <w:rFonts w:ascii="Times New Roman" w:hAnsi="Times New Roman"/>
          <w:sz w:val="24"/>
          <w:szCs w:val="24"/>
        </w:rPr>
        <w:t>Scenārijs: Satversmes tiesa apstrīdētās normas atzīst par atbilstošām Satversmei, neradot negatīvu ietekmi uz valsts budžetu.</w:t>
      </w:r>
    </w:p>
    <w:p w14:paraId="7D328B81" w14:textId="77777777" w:rsidR="008463F3" w:rsidRPr="0084332B" w:rsidRDefault="008463F3" w:rsidP="008463F3">
      <w:pPr>
        <w:spacing w:after="0" w:line="240" w:lineRule="auto"/>
        <w:ind w:firstLine="720"/>
        <w:jc w:val="both"/>
        <w:rPr>
          <w:rFonts w:ascii="Times New Roman" w:hAnsi="Times New Roman" w:cs="Times New Roman"/>
          <w:sz w:val="24"/>
          <w:szCs w:val="24"/>
        </w:rPr>
      </w:pPr>
      <w:r w:rsidRPr="0084332B">
        <w:rPr>
          <w:rFonts w:ascii="Times New Roman" w:hAnsi="Times New Roman" w:cs="Times New Roman"/>
          <w:sz w:val="24"/>
          <w:szCs w:val="24"/>
        </w:rPr>
        <w:t>Pieprasot zaudējumu atlīdzinājumu, zaudējumu apmērs prasītājam jāpierāda ar pierādīšanas līdzekļiem.</w:t>
      </w:r>
    </w:p>
    <w:p w14:paraId="171ECD2D" w14:textId="7D41C051" w:rsidR="008463F3" w:rsidRPr="0084332B" w:rsidRDefault="008463F3" w:rsidP="008463F3">
      <w:pPr>
        <w:spacing w:after="0" w:line="240" w:lineRule="auto"/>
        <w:ind w:firstLine="720"/>
        <w:jc w:val="both"/>
        <w:rPr>
          <w:rFonts w:ascii="Times New Roman" w:hAnsi="Times New Roman" w:cs="Times New Roman"/>
          <w:sz w:val="24"/>
          <w:szCs w:val="24"/>
        </w:rPr>
      </w:pPr>
      <w:r w:rsidRPr="0084332B">
        <w:rPr>
          <w:rFonts w:ascii="Times New Roman" w:hAnsi="Times New Roman" w:cs="Times New Roman"/>
          <w:sz w:val="24"/>
          <w:szCs w:val="24"/>
        </w:rPr>
        <w:t>Saskaņā ar Satversmes tiesas likuma 32.</w:t>
      </w:r>
      <w:r w:rsidR="00830023">
        <w:rPr>
          <w:rFonts w:ascii="Times New Roman" w:hAnsi="Times New Roman" w:cs="Times New Roman"/>
          <w:sz w:val="24"/>
          <w:szCs w:val="24"/>
        </w:rPr>
        <w:t xml:space="preserve"> </w:t>
      </w:r>
      <w:r w:rsidRPr="0084332B">
        <w:rPr>
          <w:rFonts w:ascii="Times New Roman" w:hAnsi="Times New Roman" w:cs="Times New Roman"/>
          <w:sz w:val="24"/>
          <w:szCs w:val="24"/>
        </w:rPr>
        <w:t xml:space="preserve">panta otro daļu Satversmes tiesas spriedums un tajā sniegtā attiecīgās tiesību normas interpretācija ir obligāta visām valsts un pašvaldību institūcijām (arī tiesām) un amatpersonām, kā arī fiziskajām un juridiskajām personām. </w:t>
      </w:r>
    </w:p>
    <w:p w14:paraId="5F1190B8" w14:textId="032420D5" w:rsidR="008463F3" w:rsidRPr="00E252EB" w:rsidRDefault="008463F3" w:rsidP="00E252EB">
      <w:pPr>
        <w:spacing w:after="0" w:line="240" w:lineRule="auto"/>
        <w:ind w:firstLine="720"/>
        <w:jc w:val="both"/>
        <w:rPr>
          <w:rFonts w:ascii="Times New Roman" w:hAnsi="Times New Roman"/>
          <w:sz w:val="24"/>
          <w:szCs w:val="24"/>
        </w:rPr>
      </w:pPr>
      <w:r w:rsidRPr="0084332B">
        <w:rPr>
          <w:rFonts w:ascii="Times New Roman" w:hAnsi="Times New Roman" w:cs="Times New Roman"/>
          <w:sz w:val="24"/>
          <w:szCs w:val="24"/>
        </w:rPr>
        <w:t>Saskaņā ar pieejamo informāciju šī gada 2. aprīlī tika plānots pasludināt Satversmes tiesas nolēmumu minētajā lietā, tomēr ņemot vērā Satversmes tiesai radušās šaubas par to, kā interpretējams dalībvalsts savlaicīgas apspriešanās pienākums ar ECB, proti, vai ES tiesību aktu izpratnē šis pienākums ir izpildīts arī tad, ja dalībvalsts parlaments pieņem likumu pirms ECB atzinuma saņemšanas, bet atbilstoši nacionālajam regulējumam ir iespējama šā likuma otrreizēja caurlūkošana pirms tā izsludināšanas un spēkā stāšanās. Satversmes tiesa šī gada 31. martā pieņēma lēmumu par jautājumu uzdošanu Eiropas Savienības Tiesai prejudiciāla nolēmuma pieņemšanai minētajā lietā</w:t>
      </w:r>
      <w:r w:rsidRPr="0084332B">
        <w:rPr>
          <w:rFonts w:ascii="Times New Roman" w:hAnsi="Times New Roman" w:cs="Times New Roman"/>
          <w:sz w:val="24"/>
          <w:szCs w:val="24"/>
          <w:vertAlign w:val="superscript"/>
        </w:rPr>
        <w:footnoteReference w:id="57"/>
      </w:r>
      <w:r w:rsidRPr="0084332B">
        <w:rPr>
          <w:rFonts w:ascii="Times New Roman" w:hAnsi="Times New Roman" w:cs="Times New Roman"/>
          <w:sz w:val="24"/>
          <w:szCs w:val="24"/>
        </w:rPr>
        <w:t>. Savukārt</w:t>
      </w:r>
      <w:r w:rsidR="005705D0">
        <w:rPr>
          <w:rFonts w:ascii="Times New Roman" w:hAnsi="Times New Roman" w:cs="Times New Roman"/>
          <w:sz w:val="24"/>
          <w:szCs w:val="24"/>
        </w:rPr>
        <w:t>,</w:t>
      </w:r>
      <w:r w:rsidRPr="0084332B">
        <w:rPr>
          <w:rFonts w:ascii="Times New Roman" w:hAnsi="Times New Roman" w:cs="Times New Roman"/>
          <w:sz w:val="24"/>
          <w:szCs w:val="24"/>
        </w:rPr>
        <w:t xml:space="preserve"> šī gada 14. maijā Satversmes tiesa lēma</w:t>
      </w:r>
      <w:r w:rsidRPr="0084332B">
        <w:rPr>
          <w:rFonts w:ascii="Times New Roman" w:hAnsi="Times New Roman" w:cs="Times New Roman"/>
          <w:sz w:val="24"/>
          <w:szCs w:val="24"/>
          <w:vertAlign w:val="superscript"/>
        </w:rPr>
        <w:footnoteReference w:id="58"/>
      </w:r>
      <w:r w:rsidRPr="0084332B">
        <w:rPr>
          <w:rFonts w:ascii="Times New Roman" w:hAnsi="Times New Roman" w:cs="Times New Roman"/>
          <w:sz w:val="24"/>
          <w:szCs w:val="24"/>
        </w:rPr>
        <w:t xml:space="preserve"> par atļauju ECB iepazīties ar lietas materiāliem. </w:t>
      </w:r>
      <w:r w:rsidRPr="0084332B">
        <w:rPr>
          <w:rFonts w:ascii="Times New Roman" w:hAnsi="Times New Roman" w:cs="Times New Roman"/>
          <w:b/>
          <w:bCs/>
          <w:sz w:val="24"/>
          <w:szCs w:val="24"/>
        </w:rPr>
        <w:t>Tādējādi šobrīd tiek gaidīts Eiropas Savienības Tiesas prejudiciālais nolēmums, pēc kura saņemšanas tiks izsludināts Satversmes tiesas nolēmums.</w:t>
      </w:r>
    </w:p>
    <w:p w14:paraId="3FE9C29A" w14:textId="33184B04" w:rsidR="008463F3" w:rsidRPr="0084332B" w:rsidRDefault="008463F3" w:rsidP="008463F3">
      <w:pPr>
        <w:pStyle w:val="ListParagraph"/>
        <w:numPr>
          <w:ilvl w:val="0"/>
          <w:numId w:val="64"/>
        </w:numPr>
        <w:ind w:left="0" w:firstLine="720"/>
        <w:rPr>
          <w:rFonts w:ascii="Times New Roman" w:hAnsi="Times New Roman"/>
          <w:sz w:val="24"/>
          <w:szCs w:val="24"/>
        </w:rPr>
      </w:pPr>
      <w:r w:rsidRPr="0084332B">
        <w:rPr>
          <w:rFonts w:ascii="Times New Roman" w:hAnsi="Times New Roman"/>
          <w:sz w:val="24"/>
          <w:szCs w:val="24"/>
        </w:rPr>
        <w:t>2024. gada 4. decembrī tika pieņemti grozījumi Valsts fondēto pensiju likumā</w:t>
      </w:r>
      <w:r w:rsidRPr="0084332B">
        <w:rPr>
          <w:rStyle w:val="FootnoteReference"/>
          <w:rFonts w:ascii="Times New Roman" w:hAnsi="Times New Roman"/>
          <w:sz w:val="24"/>
          <w:szCs w:val="24"/>
        </w:rPr>
        <w:footnoteReference w:id="59"/>
      </w:r>
      <w:r w:rsidRPr="0084332B">
        <w:rPr>
          <w:rFonts w:ascii="Times New Roman" w:hAnsi="Times New Roman"/>
          <w:sz w:val="24"/>
          <w:szCs w:val="24"/>
        </w:rPr>
        <w:t>, ar mērķi kompensēt darbaspēka nodokļu izmaiņu radīto samazinājumu valsts un pašvaldību budžeta ieņēmumos</w:t>
      </w:r>
      <w:r w:rsidRPr="0084332B">
        <w:rPr>
          <w:rStyle w:val="FootnoteReference"/>
          <w:rFonts w:ascii="Times New Roman" w:hAnsi="Times New Roman"/>
          <w:sz w:val="24"/>
          <w:szCs w:val="24"/>
        </w:rPr>
        <w:footnoteReference w:id="60"/>
      </w:r>
      <w:r w:rsidR="00E42D43" w:rsidRPr="0084332B">
        <w:rPr>
          <w:rFonts w:ascii="Times New Roman" w:hAnsi="Times New Roman"/>
          <w:sz w:val="24"/>
          <w:szCs w:val="24"/>
        </w:rPr>
        <w:t>.</w:t>
      </w:r>
    </w:p>
    <w:p w14:paraId="05DB6D08" w14:textId="77777777" w:rsidR="008463F3" w:rsidRPr="0084332B" w:rsidRDefault="008463F3" w:rsidP="008463F3">
      <w:pPr>
        <w:ind w:firstLine="720"/>
        <w:jc w:val="both"/>
        <w:rPr>
          <w:rFonts w:ascii="Times New Roman" w:hAnsi="Times New Roman" w:cs="Times New Roman"/>
          <w:sz w:val="24"/>
          <w:szCs w:val="24"/>
        </w:rPr>
      </w:pPr>
      <w:r w:rsidRPr="0084332B">
        <w:rPr>
          <w:rFonts w:ascii="Times New Roman" w:hAnsi="Times New Roman" w:cs="Times New Roman"/>
          <w:sz w:val="24"/>
          <w:szCs w:val="24"/>
        </w:rPr>
        <w:t>Satversmes tiesā 2025. gada 30. maijā, pēc divdesmit viena Saeimas deputāta pieteikuma, ierosināta lieta Nr. 2025-14-01 “Par Valsts fondēto pensiju likuma pārejas noteikumu 40. punkta</w:t>
      </w:r>
      <w:r w:rsidRPr="0084332B">
        <w:rPr>
          <w:rStyle w:val="FootnoteReference"/>
          <w:rFonts w:ascii="Times New Roman" w:hAnsi="Times New Roman" w:cs="Times New Roman"/>
          <w:sz w:val="24"/>
          <w:szCs w:val="24"/>
        </w:rPr>
        <w:footnoteReference w:id="61"/>
      </w:r>
      <w:r w:rsidRPr="0084332B">
        <w:rPr>
          <w:rFonts w:ascii="Times New Roman" w:hAnsi="Times New Roman" w:cs="Times New Roman"/>
          <w:sz w:val="24"/>
          <w:szCs w:val="24"/>
        </w:rPr>
        <w:t xml:space="preserve"> atbilstību Latvijas Republikas Satversmes 1. un 109. pantam”</w:t>
      </w:r>
      <w:r w:rsidRPr="0084332B">
        <w:rPr>
          <w:rStyle w:val="FootnoteReference"/>
          <w:rFonts w:ascii="Times New Roman" w:hAnsi="Times New Roman" w:cs="Times New Roman"/>
          <w:sz w:val="24"/>
          <w:szCs w:val="24"/>
        </w:rPr>
        <w:footnoteReference w:id="62"/>
      </w:r>
      <w:r w:rsidRPr="0084332B">
        <w:rPr>
          <w:rFonts w:ascii="Times New Roman" w:hAnsi="Times New Roman" w:cs="Times New Roman"/>
          <w:sz w:val="24"/>
          <w:szCs w:val="24"/>
        </w:rPr>
        <w:t>.</w:t>
      </w:r>
    </w:p>
    <w:tbl>
      <w:tblPr>
        <w:tblStyle w:val="TableGrid"/>
        <w:tblW w:w="9918" w:type="dxa"/>
        <w:tblLook w:val="04A0" w:firstRow="1" w:lastRow="0" w:firstColumn="1" w:lastColumn="0" w:noHBand="0" w:noVBand="1"/>
      </w:tblPr>
      <w:tblGrid>
        <w:gridCol w:w="9918"/>
      </w:tblGrid>
      <w:tr w:rsidR="008463F3" w:rsidRPr="00B047D8" w14:paraId="34D0CCC7" w14:textId="77777777" w:rsidTr="0064250D">
        <w:trPr>
          <w:trHeight w:val="3107"/>
        </w:trPr>
        <w:tc>
          <w:tcPr>
            <w:tcW w:w="9918" w:type="dxa"/>
            <w:tcBorders>
              <w:bottom w:val="single" w:sz="4" w:space="0" w:color="auto"/>
            </w:tcBorders>
            <w:shd w:val="clear" w:color="auto" w:fill="DEEAF6" w:themeFill="accent1" w:themeFillTint="33"/>
          </w:tcPr>
          <w:p w14:paraId="4DF292A3" w14:textId="4602B3A4" w:rsidR="008463F3" w:rsidRPr="0084332B" w:rsidRDefault="008463F3" w:rsidP="000B1182">
            <w:pPr>
              <w:ind w:firstLine="743"/>
              <w:jc w:val="both"/>
              <w:rPr>
                <w:rFonts w:eastAsia="Times New Roman" w:cs="Times New Roman"/>
                <w:szCs w:val="24"/>
              </w:rPr>
            </w:pPr>
            <w:r w:rsidRPr="0084332B">
              <w:rPr>
                <w:rFonts w:eastAsia="Times New Roman" w:cs="Times New Roman"/>
                <w:szCs w:val="24"/>
              </w:rPr>
              <w:t>Norādāms, ka šī nav pirmā reize, kad Satversmes tiesā ierosināta lieta pēc tam, kad ir veiktas izmaiņas VFPS iemaksu likmes apmēram. 2010. gadā bijis Satversmes tiesas spriedums lietā Nr. 2010-21-01 “Par Valsts fondēto pensiju likuma 4. panta otrās daļas un pārejas noteikumu 2. punkta, 3. punkta 4. un 5. apakšpunkta atbilstību Latvijas Republikas Satversmes 1., 105. un 109. pantam”</w:t>
            </w:r>
            <w:r w:rsidRPr="0084332B">
              <w:rPr>
                <w:rStyle w:val="FootnoteReference"/>
                <w:rFonts w:eastAsia="Times New Roman" w:cs="Times New Roman"/>
                <w:szCs w:val="24"/>
              </w:rPr>
              <w:footnoteReference w:id="63"/>
            </w:r>
            <w:r w:rsidRPr="0084332B">
              <w:rPr>
                <w:rFonts w:eastAsia="Times New Roman" w:cs="Times New Roman"/>
                <w:szCs w:val="24"/>
              </w:rPr>
              <w:t>.</w:t>
            </w:r>
          </w:p>
          <w:p w14:paraId="6DF06309" w14:textId="77777777" w:rsidR="008463F3" w:rsidRPr="0084332B" w:rsidRDefault="008463F3" w:rsidP="000B1182">
            <w:pPr>
              <w:ind w:firstLine="743"/>
              <w:jc w:val="both"/>
              <w:rPr>
                <w:rFonts w:eastAsia="Times New Roman" w:cs="Times New Roman"/>
                <w:szCs w:val="24"/>
              </w:rPr>
            </w:pPr>
            <w:r w:rsidRPr="0084332B">
              <w:rPr>
                <w:rFonts w:eastAsia="Times New Roman" w:cs="Times New Roman"/>
                <w:szCs w:val="24"/>
              </w:rPr>
              <w:t>Apstrīdētās normas samazināja iepriekš paredzēto iemaksu apjomu VFPS no 8% uz 2% no iemaksu objekta, kas noteikts likumā “Par sociālo apdrošināšanu”. Pieteikuma iesniedzēja ieskatā apstrīdētās normas citastarp pārkāpj tiesiskās paļāvības principu, jo, samazinot nākotnē paredzamās pensijas apmēru, vienlaikus neparedzot pārejas periodu vai kompensāciju.</w:t>
            </w:r>
          </w:p>
          <w:p w14:paraId="3A1438B8" w14:textId="2696BB01" w:rsidR="008463F3" w:rsidRPr="0084332B" w:rsidRDefault="008463F3" w:rsidP="000B1182">
            <w:pPr>
              <w:ind w:firstLine="743"/>
              <w:jc w:val="both"/>
              <w:rPr>
                <w:rFonts w:eastAsia="Times New Roman" w:cs="Times New Roman"/>
                <w:szCs w:val="24"/>
              </w:rPr>
            </w:pPr>
            <w:r w:rsidRPr="0084332B">
              <w:rPr>
                <w:rFonts w:eastAsia="Times New Roman" w:cs="Times New Roman"/>
                <w:szCs w:val="24"/>
              </w:rPr>
              <w:t>Satversmes tiesa lietā Nr. 2010-21-01 ņēma vērā, ka apstrīdētās normas veido vienotu regulējumu un atzina, ka apstrīdētās normas saglabā VFPS izveidošanas mērķi, kā arī ir paredzēta kārtība, kādā tiks attīstīta VFPS darbība, pārejas noteikumos paredzot mehānismu</w:t>
            </w:r>
            <w:r w:rsidR="001416C1" w:rsidRPr="0084332B">
              <w:rPr>
                <w:rFonts w:eastAsia="Times New Roman" w:cs="Times New Roman"/>
                <w:szCs w:val="24"/>
              </w:rPr>
              <w:t xml:space="preserve"> </w:t>
            </w:r>
            <w:r w:rsidRPr="0084332B">
              <w:rPr>
                <w:rFonts w:eastAsia="Times New Roman" w:cs="Times New Roman"/>
                <w:szCs w:val="24"/>
              </w:rPr>
              <w:t>iemaksu līdzsvarošanai starp</w:t>
            </w:r>
            <w:r w:rsidR="00436923">
              <w:rPr>
                <w:rFonts w:eastAsia="Times New Roman" w:cs="Times New Roman"/>
                <w:szCs w:val="24"/>
              </w:rPr>
              <w:t xml:space="preserve"> </w:t>
            </w:r>
            <w:r w:rsidRPr="0084332B">
              <w:rPr>
                <w:rFonts w:eastAsia="Times New Roman" w:cs="Times New Roman"/>
                <w:szCs w:val="24"/>
              </w:rPr>
              <w:t>1. pensiju un 2. pensiju līmeni, atbilstoši valsts ekonomiskajām iespējām, lai personas varētu uzkrāt papildu pensijas kapitālu.</w:t>
            </w:r>
            <w:r w:rsidR="001416C1" w:rsidRPr="0084332B">
              <w:rPr>
                <w:rFonts w:eastAsia="Times New Roman" w:cs="Times New Roman"/>
                <w:szCs w:val="24"/>
              </w:rPr>
              <w:t xml:space="preserve"> </w:t>
            </w:r>
            <w:r w:rsidRPr="0084332B">
              <w:rPr>
                <w:rFonts w:eastAsia="Times New Roman" w:cs="Times New Roman"/>
                <w:szCs w:val="24"/>
              </w:rPr>
              <w:t>Vienlaikus tiesa atzina, ka VFPS finansējumu samazināt ir iespējams vienīgi īpašos izņēmuma gadījumos un īslaicīgi. Tāpat tiesa atzina, ka ar apstrīdētajām normām tika mazināts ekonomiskās krīzes radītais pensiju sistēmas apdraudējums. Atbilstoši Satversmes tiesa atzina apstrīdētās normas kā vienotu regulējumu par atbilstošu Satversmes 1., 105. un 109. pantam.</w:t>
            </w:r>
          </w:p>
        </w:tc>
      </w:tr>
    </w:tbl>
    <w:p w14:paraId="494CB147" w14:textId="77777777" w:rsidR="008463F3" w:rsidRPr="0084332B" w:rsidRDefault="008463F3" w:rsidP="008463F3">
      <w:pPr>
        <w:pStyle w:val="ListParagraph"/>
        <w:ind w:left="1080"/>
        <w:rPr>
          <w:rFonts w:ascii="Times New Roman" w:hAnsi="Times New Roman"/>
          <w:sz w:val="24"/>
          <w:szCs w:val="24"/>
        </w:rPr>
      </w:pPr>
    </w:p>
    <w:p w14:paraId="1E39D978" w14:textId="000C088B" w:rsidR="008463F3" w:rsidRPr="0084332B" w:rsidRDefault="008463F3" w:rsidP="0064250D">
      <w:pPr>
        <w:spacing w:after="0"/>
        <w:ind w:firstLine="720"/>
        <w:jc w:val="both"/>
        <w:rPr>
          <w:rFonts w:ascii="Times New Roman" w:hAnsi="Times New Roman" w:cs="Times New Roman"/>
          <w:sz w:val="24"/>
          <w:szCs w:val="24"/>
        </w:rPr>
      </w:pPr>
      <w:r w:rsidRPr="0084332B">
        <w:rPr>
          <w:rFonts w:ascii="Times New Roman" w:hAnsi="Times New Roman" w:cs="Times New Roman"/>
          <w:sz w:val="24"/>
          <w:szCs w:val="24"/>
        </w:rPr>
        <w:t>Valsts fondēto pensiju likuma 4. panta otrā daļa noteic, ka iemaksu likme valsts fondēto pensiju shēmā (turpmāk – VFPS) ir 6%</w:t>
      </w:r>
      <w:r w:rsidRPr="0084332B">
        <w:rPr>
          <w:rStyle w:val="FootnoteReference"/>
          <w:rFonts w:ascii="Times New Roman" w:hAnsi="Times New Roman" w:cs="Times New Roman"/>
          <w:sz w:val="24"/>
          <w:szCs w:val="24"/>
        </w:rPr>
        <w:footnoteReference w:id="64"/>
      </w:r>
      <w:r w:rsidRPr="0084332B">
        <w:rPr>
          <w:rFonts w:ascii="Times New Roman" w:hAnsi="Times New Roman" w:cs="Times New Roman"/>
          <w:sz w:val="24"/>
          <w:szCs w:val="24"/>
        </w:rPr>
        <w:t xml:space="preserve"> no iemaksu objekta, kas noteikts likumā “Par valsts sociālo apdrošināšanu”. Atbilstoši pensijas kapitālu valsts nefondētajā pensiju shēmā jeb pensiju 1. līmenī veido 14% no iemaksu objekta. Savukārt saskaņā ar lietā Nr. 2025-14-01 apstrīdēto normu uz četriem gadiem, t.i. laika posmā no 2025. gada 1. janvāra līdz 2028. gada 31. decembrim, iemaksu likme VFPS jeb 2. pensiju līmenī no 6% ir samazināta līdz 5%, attiecīgi 1% no iemaksu likmes 2. pensiju līmenī novirzot uz 1. pensiju līmeni. </w:t>
      </w:r>
    </w:p>
    <w:p w14:paraId="2C58A0EB" w14:textId="1688237A" w:rsidR="008463F3" w:rsidRPr="0084332B" w:rsidRDefault="008463F3" w:rsidP="0064250D">
      <w:pPr>
        <w:spacing w:after="0"/>
        <w:ind w:left="142" w:firstLine="709"/>
        <w:jc w:val="both"/>
        <w:rPr>
          <w:rFonts w:ascii="Times New Roman" w:hAnsi="Times New Roman" w:cs="Times New Roman"/>
          <w:sz w:val="24"/>
          <w:szCs w:val="24"/>
        </w:rPr>
      </w:pPr>
      <w:r w:rsidRPr="0084332B">
        <w:rPr>
          <w:rFonts w:ascii="Times New Roman" w:hAnsi="Times New Roman" w:cs="Times New Roman"/>
          <w:sz w:val="24"/>
          <w:szCs w:val="24"/>
        </w:rPr>
        <w:t xml:space="preserve">2024. gada 19. septembra MK sēdē tika izskatīts informatīvais ziņojums “Par valsts budžeta ieņēmumu un nodokļu politikas pārskatīšanu 2025. – 2027. gadā”, kurā prognozēja, ka minēto izmaiņu rezultātā speciālā budžeta ieņēmumi palielināsies 2025. gadā 104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 xml:space="preserve"> apmērā, 2026. gadā 162 milj. </w:t>
      </w:r>
      <w:r w:rsidRPr="0084332B">
        <w:rPr>
          <w:rFonts w:ascii="Times New Roman" w:hAnsi="Times New Roman" w:cs="Times New Roman"/>
          <w:i/>
          <w:iCs/>
          <w:sz w:val="24"/>
          <w:szCs w:val="24"/>
        </w:rPr>
        <w:t xml:space="preserve">euro </w:t>
      </w:r>
      <w:r w:rsidRPr="0084332B">
        <w:rPr>
          <w:rFonts w:ascii="Times New Roman" w:hAnsi="Times New Roman" w:cs="Times New Roman"/>
          <w:sz w:val="24"/>
          <w:szCs w:val="24"/>
        </w:rPr>
        <w:t xml:space="preserve">apmērā, 2027. gadā 171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 xml:space="preserve"> apmērā un 2028. gadā 179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 xml:space="preserve"> apmērā. Savukārt atbilstoši EKS uzskaites principiem, 1% pārnese no VFPS uz 2. pensiju līmeni veido ietekmi 156 milj.</w:t>
      </w:r>
      <w:r w:rsidRPr="0084332B">
        <w:rPr>
          <w:rFonts w:ascii="Times New Roman" w:hAnsi="Times New Roman" w:cs="Times New Roman"/>
          <w:i/>
          <w:iCs/>
          <w:sz w:val="24"/>
          <w:szCs w:val="24"/>
        </w:rPr>
        <w:t xml:space="preserve"> euro</w:t>
      </w:r>
      <w:r w:rsidRPr="0084332B">
        <w:rPr>
          <w:rFonts w:ascii="Times New Roman" w:hAnsi="Times New Roman" w:cs="Times New Roman"/>
          <w:sz w:val="24"/>
          <w:szCs w:val="24"/>
        </w:rPr>
        <w:t xml:space="preserve"> 2025. gadā, 165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 xml:space="preserve"> 2026. gadā, 174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 xml:space="preserve"> 2027. gadā un 182 milj. </w:t>
      </w:r>
      <w:r w:rsidRPr="0084332B">
        <w:rPr>
          <w:rFonts w:ascii="Times New Roman" w:hAnsi="Times New Roman" w:cs="Times New Roman"/>
          <w:i/>
          <w:iCs/>
          <w:sz w:val="24"/>
          <w:szCs w:val="24"/>
        </w:rPr>
        <w:t>euro</w:t>
      </w:r>
      <w:r w:rsidRPr="0084332B">
        <w:rPr>
          <w:rFonts w:ascii="Times New Roman" w:hAnsi="Times New Roman" w:cs="Times New Roman"/>
          <w:sz w:val="24"/>
          <w:szCs w:val="24"/>
        </w:rPr>
        <w:t xml:space="preserve"> apmērā 2028. gadā.</w:t>
      </w:r>
    </w:p>
    <w:p w14:paraId="5D7623B7" w14:textId="184562FC" w:rsidR="0056244A" w:rsidRPr="00B047D8" w:rsidRDefault="008463F3" w:rsidP="0064250D">
      <w:pPr>
        <w:spacing w:after="0" w:line="240" w:lineRule="auto"/>
        <w:ind w:left="142" w:firstLine="709"/>
        <w:jc w:val="both"/>
        <w:rPr>
          <w:rFonts w:ascii="Times New Roman" w:hAnsi="Times New Roman" w:cs="Times New Roman"/>
          <w:sz w:val="24"/>
          <w:szCs w:val="24"/>
        </w:rPr>
      </w:pPr>
      <w:r w:rsidRPr="0084332B">
        <w:rPr>
          <w:rFonts w:ascii="Times New Roman" w:hAnsi="Times New Roman" w:cs="Times New Roman"/>
          <w:bCs/>
          <w:sz w:val="24"/>
          <w:szCs w:val="24"/>
        </w:rPr>
        <w:t>Ar Latvijas Fiskāli strukturālo plānu 2025. – 2028. gadam Latvija apņēmās ievērot noteiktu neto valsts finansēto primāro izdevumu maksimālo pieaugumu. ES Padomē 2025. gada 21. janvārī ir apstiprināts Latvijas Fiskāli strukturālais plāns 2025. – 2028. gadam, Pēc Latvijas Fiskāli strukturālā</w:t>
      </w:r>
      <w:r w:rsidRPr="00B047D8">
        <w:rPr>
          <w:rFonts w:ascii="Times New Roman" w:hAnsi="Times New Roman" w:cs="Times New Roman"/>
          <w:bCs/>
          <w:sz w:val="24"/>
          <w:szCs w:val="24"/>
        </w:rPr>
        <w:t xml:space="preserve"> plāna 2025. – 2028. gadam apstiprināšanas neto valsts finansēto primāro izdevumu maksimālais pieaugums kļuva saistošs un </w:t>
      </w:r>
      <w:r w:rsidR="00EA2840">
        <w:rPr>
          <w:rFonts w:ascii="Times New Roman" w:hAnsi="Times New Roman" w:cs="Times New Roman"/>
          <w:bCs/>
          <w:sz w:val="24"/>
          <w:szCs w:val="24"/>
        </w:rPr>
        <w:t>EK</w:t>
      </w:r>
      <w:r w:rsidRPr="00B047D8">
        <w:rPr>
          <w:rFonts w:ascii="Times New Roman" w:hAnsi="Times New Roman" w:cs="Times New Roman"/>
          <w:bCs/>
          <w:sz w:val="24"/>
          <w:szCs w:val="24"/>
        </w:rPr>
        <w:t xml:space="preserve"> kontrolēs tā ievērošanu saskaņā </w:t>
      </w:r>
      <w:hyperlink r:id="rId13" w:history="1">
        <w:r w:rsidRPr="00B047D8">
          <w:rPr>
            <w:rStyle w:val="Hyperlink"/>
            <w:rFonts w:ascii="Times New Roman" w:hAnsi="Times New Roman" w:cs="Times New Roman"/>
            <w:bCs/>
            <w:color w:val="auto"/>
            <w:sz w:val="24"/>
            <w:szCs w:val="24"/>
            <w:u w:val="none"/>
          </w:rPr>
          <w:t>Eiropas Parlamenta un Padomes Regulu (ES) 2024/1263 (2024. gada 29. aprīlis) par ekonomikas politikas efektīvu koordināciju un budžeta daudzpusēju uzraudzību un ar ko atceļ Padomes Regulu (EK) Nr. 1466/97</w:t>
        </w:r>
      </w:hyperlink>
      <w:r w:rsidRPr="00B047D8">
        <w:rPr>
          <w:rFonts w:ascii="Times New Roman" w:hAnsi="Times New Roman" w:cs="Times New Roman"/>
          <w:bCs/>
          <w:sz w:val="24"/>
          <w:szCs w:val="24"/>
        </w:rPr>
        <w:t xml:space="preserve"> un </w:t>
      </w:r>
      <w:hyperlink r:id="rId14" w:history="1">
        <w:r w:rsidRPr="00B047D8">
          <w:rPr>
            <w:rStyle w:val="Hyperlink"/>
            <w:rFonts w:ascii="Times New Roman" w:hAnsi="Times New Roman" w:cs="Times New Roman"/>
            <w:bCs/>
            <w:color w:val="auto"/>
            <w:sz w:val="24"/>
            <w:szCs w:val="24"/>
            <w:u w:val="none"/>
          </w:rPr>
          <w:t>Padomes Regulu (ES) 2024/1264 (2024. gada 29. aprīlis), ar ko groza Regulu (EK) Nr. 1467/97 par to, kā paātrināt un precizēt pārmērīga budžeta deficīta novēršanas procedūras īstenošanu</w:t>
        </w:r>
      </w:hyperlink>
      <w:r w:rsidRPr="00B047D8">
        <w:rPr>
          <w:rFonts w:ascii="Times New Roman" w:hAnsi="Times New Roman" w:cs="Times New Roman"/>
          <w:bCs/>
          <w:sz w:val="24"/>
          <w:szCs w:val="24"/>
        </w:rPr>
        <w:t xml:space="preserve">. 1% pārnese no VFPS uz </w:t>
      </w:r>
      <w:r w:rsidR="00436923">
        <w:rPr>
          <w:rFonts w:ascii="Times New Roman" w:hAnsi="Times New Roman" w:cs="Times New Roman"/>
          <w:bCs/>
          <w:sz w:val="24"/>
          <w:szCs w:val="24"/>
        </w:rPr>
        <w:t>1.</w:t>
      </w:r>
      <w:r w:rsidRPr="00B047D8">
        <w:rPr>
          <w:rFonts w:ascii="Times New Roman" w:hAnsi="Times New Roman" w:cs="Times New Roman"/>
          <w:bCs/>
          <w:sz w:val="24"/>
          <w:szCs w:val="24"/>
        </w:rPr>
        <w:t xml:space="preserve"> līmeni indikatīva fiskālā ietekme </w:t>
      </w:r>
      <w:r w:rsidRPr="00B047D8">
        <w:rPr>
          <w:rFonts w:ascii="Times New Roman" w:hAnsi="Times New Roman" w:cs="Times New Roman"/>
          <w:sz w:val="24"/>
          <w:szCs w:val="24"/>
        </w:rPr>
        <w:t xml:space="preserve">ir attiecīgi ņemta vērā </w:t>
      </w:r>
      <w:r w:rsidRPr="00B047D8">
        <w:rPr>
          <w:rFonts w:ascii="Times New Roman" w:hAnsi="Times New Roman" w:cs="Times New Roman"/>
          <w:bCs/>
          <w:sz w:val="24"/>
          <w:szCs w:val="24"/>
        </w:rPr>
        <w:t xml:space="preserve">Latvijas Fiskāli strukturālajā plānā 2025. – 2028. gadam un atspoguļota </w:t>
      </w:r>
      <w:r w:rsidRPr="00B047D8">
        <w:rPr>
          <w:rFonts w:ascii="Times New Roman" w:hAnsi="Times New Roman" w:cs="Times New Roman"/>
          <w:i/>
          <w:iCs/>
          <w:sz w:val="24"/>
          <w:szCs w:val="24"/>
        </w:rPr>
        <w:t>K. Tabulā Jauno diskrecionāro ieņēmumu paredzamā ietekme.</w:t>
      </w:r>
    </w:p>
    <w:p w14:paraId="03B07E05" w14:textId="77777777" w:rsidR="008463F3" w:rsidRDefault="008463F3" w:rsidP="0064250D">
      <w:pPr>
        <w:spacing w:after="0" w:line="240" w:lineRule="auto"/>
        <w:ind w:left="142" w:firstLine="709"/>
        <w:jc w:val="both"/>
        <w:rPr>
          <w:rFonts w:ascii="Times New Roman" w:hAnsi="Times New Roman" w:cs="Times New Roman"/>
          <w:b/>
          <w:bCs/>
          <w:sz w:val="24"/>
          <w:szCs w:val="24"/>
        </w:rPr>
      </w:pPr>
      <w:r w:rsidRPr="0084332B">
        <w:rPr>
          <w:rFonts w:ascii="Times New Roman" w:hAnsi="Times New Roman" w:cs="Times New Roman"/>
          <w:sz w:val="24"/>
          <w:szCs w:val="24"/>
        </w:rPr>
        <w:t xml:space="preserve">Satversmes tiesa ir aicinājusi Saeimu līdz šī gada 30. jūlijam iesniegt atbildes rakstu ar lietas Nr. 2025-14-01 faktisko apstākļu izklāstu un juridisko pamatojumu. Lietas sagatavošanas noteiktais termiņš ir 2025. gada 30. oktobris, </w:t>
      </w:r>
      <w:r w:rsidRPr="0084332B">
        <w:rPr>
          <w:rFonts w:ascii="Times New Roman" w:hAnsi="Times New Roman" w:cs="Times New Roman"/>
          <w:b/>
          <w:bCs/>
          <w:sz w:val="24"/>
          <w:szCs w:val="24"/>
        </w:rPr>
        <w:t xml:space="preserve">attiecīgi patreiz nav paredzams, kāds varētu būt Satversmes tiesas nolēmums šajā lietā. </w:t>
      </w:r>
    </w:p>
    <w:bookmarkEnd w:id="324"/>
    <w:p w14:paraId="22B95527" w14:textId="58727DEE" w:rsidR="003341F4" w:rsidRPr="0084332B" w:rsidRDefault="003341F4" w:rsidP="00BB1154">
      <w:pPr>
        <w:spacing w:after="0" w:line="240" w:lineRule="auto"/>
        <w:jc w:val="both"/>
        <w:rPr>
          <w:rFonts w:ascii="Times New Roman" w:hAnsi="Times New Roman" w:cs="Times New Roman"/>
          <w:b/>
          <w:bCs/>
          <w:sz w:val="24"/>
          <w:szCs w:val="24"/>
        </w:rPr>
      </w:pPr>
    </w:p>
    <w:p w14:paraId="658E281C" w14:textId="6E7556FB" w:rsidR="00433142" w:rsidRPr="00945DC6" w:rsidRDefault="00433142" w:rsidP="0058124B">
      <w:pPr>
        <w:pStyle w:val="Heading2"/>
        <w:numPr>
          <w:ilvl w:val="1"/>
          <w:numId w:val="4"/>
        </w:numPr>
        <w:tabs>
          <w:tab w:val="left" w:pos="3261"/>
        </w:tabs>
        <w:spacing w:before="120" w:after="120" w:line="240" w:lineRule="auto"/>
        <w:ind w:left="567" w:hanging="501"/>
        <w:rPr>
          <w:rFonts w:cs="Times New Roman"/>
          <w:bCs w:val="0"/>
          <w:color w:val="auto"/>
          <w:szCs w:val="24"/>
        </w:rPr>
      </w:pPr>
      <w:bookmarkStart w:id="325" w:name="_Toc205554429"/>
      <w:bookmarkStart w:id="326" w:name="_Hlk203403087"/>
      <w:bookmarkStart w:id="327" w:name="_Hlk203402958"/>
      <w:bookmarkEnd w:id="221"/>
      <w:bookmarkEnd w:id="323"/>
      <w:r w:rsidRPr="00945DC6">
        <w:rPr>
          <w:rFonts w:cs="Times New Roman"/>
          <w:bCs w:val="0"/>
          <w:color w:val="auto"/>
          <w:szCs w:val="24"/>
        </w:rPr>
        <w:t>Fiskālie riski saistībā ar valsts līdzdalību air</w:t>
      </w:r>
      <w:r w:rsidR="00443137" w:rsidRPr="00945DC6">
        <w:rPr>
          <w:rFonts w:cs="Times New Roman"/>
          <w:bCs w:val="0"/>
          <w:color w:val="auto"/>
          <w:szCs w:val="24"/>
        </w:rPr>
        <w:t>B</w:t>
      </w:r>
      <w:r w:rsidRPr="00945DC6">
        <w:rPr>
          <w:rFonts w:cs="Times New Roman"/>
          <w:bCs w:val="0"/>
          <w:color w:val="auto"/>
          <w:szCs w:val="24"/>
        </w:rPr>
        <w:t>altic</w:t>
      </w:r>
      <w:bookmarkEnd w:id="325"/>
    </w:p>
    <w:p w14:paraId="7067790E" w14:textId="76ADAF5E" w:rsidR="00CF031F" w:rsidRPr="00DB1FE8" w:rsidRDefault="786FABB1"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airBaltic galvenā akcionāre ir Latvijas valsts ar 97,97% akciju, bet </w:t>
      </w:r>
      <w:r w:rsidR="626C6FE4" w:rsidRPr="469479B5">
        <w:rPr>
          <w:rFonts w:ascii="Times New Roman" w:hAnsi="Times New Roman"/>
          <w:sz w:val="24"/>
          <w:szCs w:val="24"/>
        </w:rPr>
        <w:t xml:space="preserve">finanšu investoram, Dānijas uzņēmējam Larsam Tūsenam piederošajam </w:t>
      </w:r>
      <w:r w:rsidR="00BC13A3">
        <w:rPr>
          <w:rFonts w:ascii="Times New Roman" w:hAnsi="Times New Roman"/>
          <w:sz w:val="24"/>
          <w:szCs w:val="24"/>
        </w:rPr>
        <w:t>“</w:t>
      </w:r>
      <w:r w:rsidR="626C6FE4" w:rsidRPr="469479B5">
        <w:rPr>
          <w:rFonts w:ascii="Times New Roman" w:hAnsi="Times New Roman"/>
          <w:sz w:val="24"/>
          <w:szCs w:val="24"/>
        </w:rPr>
        <w:t>Aircraft Leasing 1</w:t>
      </w:r>
      <w:r w:rsidR="00BC13A3">
        <w:rPr>
          <w:rFonts w:ascii="Times New Roman" w:hAnsi="Times New Roman"/>
          <w:sz w:val="24"/>
          <w:szCs w:val="24"/>
        </w:rPr>
        <w:t>”</w:t>
      </w:r>
      <w:r w:rsidR="626C6FE4" w:rsidRPr="469479B5">
        <w:rPr>
          <w:rFonts w:ascii="Times New Roman" w:hAnsi="Times New Roman"/>
          <w:sz w:val="24"/>
          <w:szCs w:val="24"/>
        </w:rPr>
        <w:t xml:space="preserve">– </w:t>
      </w:r>
      <w:r w:rsidRPr="469479B5">
        <w:rPr>
          <w:rFonts w:ascii="Times New Roman" w:hAnsi="Times New Roman"/>
          <w:sz w:val="24"/>
          <w:szCs w:val="24"/>
        </w:rPr>
        <w:t>2,03%</w:t>
      </w:r>
      <w:r w:rsidR="00E94E31">
        <w:rPr>
          <w:rStyle w:val="FootnoteReference"/>
          <w:rFonts w:ascii="Times New Roman" w:hAnsi="Times New Roman"/>
          <w:sz w:val="24"/>
          <w:szCs w:val="24"/>
        </w:rPr>
        <w:footnoteReference w:id="65"/>
      </w:r>
      <w:r w:rsidRPr="469479B5">
        <w:rPr>
          <w:rFonts w:ascii="Times New Roman" w:hAnsi="Times New Roman"/>
          <w:sz w:val="24"/>
          <w:szCs w:val="24"/>
        </w:rPr>
        <w:t>. 2020.</w:t>
      </w:r>
      <w:r w:rsidR="0CDFECC2"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gada sākumā līdz lēmumu par pamatkapitāla palielināšanu pieņemšanai airBaltic Latvijas valstij piederēja 80,05% akciju. Valsts turpina būt galvenais airBaltic akcionārs, lai nodrošinātu tautsaimniecībai nozīmīgās aviokompānijas turpmāku attīstību, kura tiek īstenota saskaņā ar airBaltic biznesa plānu. airBaltic ir iesaistīts aviācijas nozares politikas īstenošanā, nodrošina savienojamību starp Baltijas valstīm un pasauli, kā arī sniedz </w:t>
      </w:r>
      <w:r w:rsidR="0FADD1DB" w:rsidRPr="469479B5">
        <w:rPr>
          <w:rFonts w:ascii="Times New Roman" w:hAnsi="Times New Roman"/>
          <w:sz w:val="24"/>
          <w:szCs w:val="24"/>
        </w:rPr>
        <w:t xml:space="preserve">pozitīvu </w:t>
      </w:r>
      <w:r w:rsidRPr="469479B5">
        <w:rPr>
          <w:rFonts w:ascii="Times New Roman" w:hAnsi="Times New Roman"/>
          <w:sz w:val="24"/>
          <w:szCs w:val="24"/>
        </w:rPr>
        <w:t xml:space="preserve">ieguldījumu ekonomikā. </w:t>
      </w:r>
    </w:p>
    <w:p w14:paraId="5907C834" w14:textId="77777777" w:rsidR="00787372" w:rsidRDefault="00787372" w:rsidP="00787372">
      <w:pPr>
        <w:spacing w:after="0" w:line="240" w:lineRule="auto"/>
        <w:ind w:firstLine="720"/>
        <w:jc w:val="both"/>
        <w:rPr>
          <w:rFonts w:ascii="Times New Roman" w:hAnsi="Times New Roman"/>
          <w:sz w:val="24"/>
          <w:szCs w:val="24"/>
        </w:rPr>
      </w:pPr>
      <w:r>
        <w:rPr>
          <w:rFonts w:ascii="Times New Roman" w:hAnsi="Times New Roman"/>
          <w:sz w:val="24"/>
          <w:szCs w:val="24"/>
        </w:rPr>
        <w:t xml:space="preserve">Aviosabiedrības darbības turpināšanai vēsturiski valsts ir sniegusi būtisku finansiālu atbalstu ieguldījumu pamatkapitālā un aizdevumu formā. Ņemot vērā, ka aviosabiedrība ir nozīmīgs uzņēmums Latvijas ekonomikai, apstiprinātie lēmumi par finanšu atbalstu ir bijuši pieņemti, lai risinātu noteikta perioda izaicinājumus, kad privātie investori visticamāk būtu spiesti pieņemt atšķirīgus lēmumus. </w:t>
      </w:r>
    </w:p>
    <w:p w14:paraId="5C345AD0" w14:textId="24D3D74A" w:rsidR="00C00CEE" w:rsidRPr="00DB1FE8" w:rsidRDefault="653F6309" w:rsidP="006E7AE0">
      <w:pPr>
        <w:spacing w:after="0" w:line="240" w:lineRule="auto"/>
        <w:ind w:firstLine="720"/>
        <w:jc w:val="both"/>
        <w:rPr>
          <w:rFonts w:ascii="Times New Roman" w:hAnsi="Times New Roman"/>
          <w:sz w:val="24"/>
          <w:szCs w:val="24"/>
        </w:rPr>
      </w:pPr>
      <w:r w:rsidRPr="469479B5">
        <w:rPr>
          <w:rFonts w:ascii="Times New Roman" w:hAnsi="Times New Roman"/>
          <w:sz w:val="24"/>
          <w:szCs w:val="24"/>
        </w:rPr>
        <w:t>P</w:t>
      </w:r>
      <w:r w:rsidR="4AF47631" w:rsidRPr="469479B5">
        <w:rPr>
          <w:rFonts w:ascii="Times New Roman" w:hAnsi="Times New Roman"/>
          <w:sz w:val="24"/>
          <w:szCs w:val="24"/>
        </w:rPr>
        <w:t xml:space="preserve">astāv divas </w:t>
      </w:r>
      <w:r w:rsidR="5B6AB132" w:rsidRPr="469479B5">
        <w:rPr>
          <w:rFonts w:ascii="Times New Roman" w:hAnsi="Times New Roman"/>
          <w:sz w:val="24"/>
          <w:szCs w:val="24"/>
        </w:rPr>
        <w:t>iespējas</w:t>
      </w:r>
      <w:r w:rsidR="4AF47631" w:rsidRPr="469479B5">
        <w:rPr>
          <w:rFonts w:ascii="Times New Roman" w:hAnsi="Times New Roman"/>
          <w:sz w:val="24"/>
          <w:szCs w:val="24"/>
        </w:rPr>
        <w:t xml:space="preserve">, kā uzskaitīt </w:t>
      </w:r>
      <w:r w:rsidR="5E597DAD" w:rsidRPr="469479B5">
        <w:rPr>
          <w:rFonts w:ascii="Times New Roman" w:hAnsi="Times New Roman"/>
          <w:sz w:val="24"/>
          <w:szCs w:val="24"/>
        </w:rPr>
        <w:t xml:space="preserve">vispārējās valdības sektora institūciju </w:t>
      </w:r>
      <w:r w:rsidR="4AF47631" w:rsidRPr="469479B5">
        <w:rPr>
          <w:rFonts w:ascii="Times New Roman" w:hAnsi="Times New Roman"/>
          <w:sz w:val="24"/>
          <w:szCs w:val="24"/>
        </w:rPr>
        <w:t>ieguldījumu</w:t>
      </w:r>
      <w:r w:rsidR="0F6FD69D" w:rsidRPr="469479B5">
        <w:rPr>
          <w:rFonts w:ascii="Times New Roman" w:hAnsi="Times New Roman"/>
          <w:sz w:val="24"/>
          <w:szCs w:val="24"/>
        </w:rPr>
        <w:t>s</w:t>
      </w:r>
      <w:r w:rsidR="4AF47631" w:rsidRPr="469479B5">
        <w:rPr>
          <w:rFonts w:ascii="Times New Roman" w:hAnsi="Times New Roman"/>
          <w:sz w:val="24"/>
          <w:szCs w:val="24"/>
        </w:rPr>
        <w:t xml:space="preserve"> </w:t>
      </w:r>
      <w:r w:rsidR="0F6FD69D" w:rsidRPr="469479B5">
        <w:rPr>
          <w:rFonts w:ascii="Times New Roman" w:hAnsi="Times New Roman"/>
          <w:sz w:val="24"/>
          <w:szCs w:val="24"/>
        </w:rPr>
        <w:t xml:space="preserve">publisko kapitālsabiedrību </w:t>
      </w:r>
      <w:r w:rsidR="4AF47631" w:rsidRPr="469479B5">
        <w:rPr>
          <w:rFonts w:ascii="Times New Roman" w:hAnsi="Times New Roman"/>
          <w:sz w:val="24"/>
          <w:szCs w:val="24"/>
        </w:rPr>
        <w:t>pamatkapitālā atbilstoši EKS</w:t>
      </w:r>
      <w:r w:rsidR="2E85E83B" w:rsidRPr="469479B5">
        <w:rPr>
          <w:rFonts w:ascii="Times New Roman" w:hAnsi="Times New Roman"/>
          <w:sz w:val="24"/>
          <w:szCs w:val="24"/>
        </w:rPr>
        <w:t xml:space="preserve"> metodoloģijai</w:t>
      </w:r>
      <w:r w:rsidR="4AF47631" w:rsidRPr="469479B5">
        <w:rPr>
          <w:rFonts w:ascii="Times New Roman" w:hAnsi="Times New Roman"/>
          <w:sz w:val="24"/>
          <w:szCs w:val="24"/>
        </w:rPr>
        <w:t xml:space="preserve">, kas savukārt </w:t>
      </w:r>
      <w:r w:rsidR="5E597DAD" w:rsidRPr="469479B5">
        <w:rPr>
          <w:rFonts w:ascii="Times New Roman" w:hAnsi="Times New Roman"/>
          <w:sz w:val="24"/>
          <w:szCs w:val="24"/>
        </w:rPr>
        <w:t>izšķir</w:t>
      </w:r>
      <w:r w:rsidR="4AF47631" w:rsidRPr="469479B5">
        <w:rPr>
          <w:rFonts w:ascii="Times New Roman" w:hAnsi="Times New Roman"/>
          <w:sz w:val="24"/>
          <w:szCs w:val="24"/>
        </w:rPr>
        <w:t xml:space="preserve"> šī ieguldījuma ietekmi uz vispārējās valdības sektora fiskālajiem rādītājiem. </w:t>
      </w:r>
      <w:r w:rsidR="5E597DAD" w:rsidRPr="469479B5">
        <w:rPr>
          <w:rFonts w:ascii="Times New Roman" w:hAnsi="Times New Roman"/>
          <w:sz w:val="24"/>
          <w:szCs w:val="24"/>
        </w:rPr>
        <w:t>Gadījumos, kad valsts</w:t>
      </w:r>
      <w:r w:rsidR="0F6FD69D" w:rsidRPr="469479B5">
        <w:rPr>
          <w:rFonts w:ascii="Times New Roman" w:hAnsi="Times New Roman"/>
          <w:sz w:val="24"/>
          <w:szCs w:val="24"/>
        </w:rPr>
        <w:t xml:space="preserve"> vai pašvaldības</w:t>
      </w:r>
      <w:r w:rsidR="5E597DAD" w:rsidRPr="469479B5">
        <w:rPr>
          <w:rFonts w:ascii="Times New Roman" w:hAnsi="Times New Roman"/>
          <w:sz w:val="24"/>
          <w:szCs w:val="24"/>
        </w:rPr>
        <w:t xml:space="preserve"> mērķis ieguldījuma veikšanai ir līdzīgs privātā investora motivācijai, proti, ieguldīt līdzekļus un saņemt </w:t>
      </w:r>
      <w:r w:rsidR="0F6FD69D" w:rsidRPr="469479B5">
        <w:rPr>
          <w:rFonts w:ascii="Times New Roman" w:hAnsi="Times New Roman"/>
          <w:sz w:val="24"/>
          <w:szCs w:val="24"/>
        </w:rPr>
        <w:t>par tiem</w:t>
      </w:r>
      <w:r w:rsidR="5E597DAD" w:rsidRPr="469479B5">
        <w:rPr>
          <w:rFonts w:ascii="Times New Roman" w:hAnsi="Times New Roman"/>
          <w:sz w:val="24"/>
          <w:szCs w:val="24"/>
        </w:rPr>
        <w:t xml:space="preserve"> līdzvērtīgus finanšu aktīvus, kas nākotnē ar zināmu varbūtību nodrošin</w:t>
      </w:r>
      <w:r w:rsidR="0F6FD69D" w:rsidRPr="469479B5">
        <w:rPr>
          <w:rFonts w:ascii="Times New Roman" w:hAnsi="Times New Roman"/>
          <w:sz w:val="24"/>
          <w:szCs w:val="24"/>
        </w:rPr>
        <w:t>a</w:t>
      </w:r>
      <w:r w:rsidR="5E597DAD" w:rsidRPr="469479B5">
        <w:rPr>
          <w:rFonts w:ascii="Times New Roman" w:hAnsi="Times New Roman"/>
          <w:sz w:val="24"/>
          <w:szCs w:val="24"/>
        </w:rPr>
        <w:t xml:space="preserve"> riskam atbilstošu atdevi (dividenžu, </w:t>
      </w:r>
      <w:r w:rsidR="009737DB" w:rsidRPr="469479B5">
        <w:rPr>
          <w:rFonts w:ascii="Times New Roman" w:hAnsi="Times New Roman"/>
          <w:sz w:val="24"/>
          <w:szCs w:val="24"/>
        </w:rPr>
        <w:t>procent</w:t>
      </w:r>
      <w:r w:rsidR="009737DB">
        <w:rPr>
          <w:rFonts w:ascii="Times New Roman" w:hAnsi="Times New Roman"/>
          <w:sz w:val="24"/>
          <w:szCs w:val="24"/>
        </w:rPr>
        <w:t>u</w:t>
      </w:r>
      <w:r w:rsidR="009737DB" w:rsidRPr="469479B5">
        <w:rPr>
          <w:rFonts w:ascii="Times New Roman" w:hAnsi="Times New Roman"/>
          <w:sz w:val="24"/>
          <w:szCs w:val="24"/>
        </w:rPr>
        <w:t xml:space="preserve"> </w:t>
      </w:r>
      <w:r w:rsidR="5E597DAD" w:rsidRPr="469479B5">
        <w:rPr>
          <w:rFonts w:ascii="Times New Roman" w:hAnsi="Times New Roman"/>
          <w:sz w:val="24"/>
          <w:szCs w:val="24"/>
        </w:rPr>
        <w:t>ieņēmumu vai kapitāla pieauguma veidā)</w:t>
      </w:r>
      <w:r w:rsidR="0F6FD69D" w:rsidRPr="469479B5">
        <w:rPr>
          <w:rFonts w:ascii="Times New Roman" w:hAnsi="Times New Roman"/>
          <w:sz w:val="24"/>
          <w:szCs w:val="24"/>
        </w:rPr>
        <w:t xml:space="preserve">, tad </w:t>
      </w:r>
      <w:r w:rsidR="5E597DAD" w:rsidRPr="469479B5">
        <w:rPr>
          <w:rFonts w:ascii="Times New Roman" w:hAnsi="Times New Roman"/>
          <w:sz w:val="24"/>
          <w:szCs w:val="24"/>
        </w:rPr>
        <w:t>kapitāla palielināšana var tikt uzskaitīta par finanšu darījumu, kam nav negatīvas ietekmes uz vispārējās valdības budžeta bilanci (t.i. ieguldījums neti</w:t>
      </w:r>
      <w:r w:rsidR="2E85E83B" w:rsidRPr="469479B5">
        <w:rPr>
          <w:rFonts w:ascii="Times New Roman" w:hAnsi="Times New Roman"/>
          <w:sz w:val="24"/>
          <w:szCs w:val="24"/>
        </w:rPr>
        <w:t>ek</w:t>
      </w:r>
      <w:r w:rsidR="5E597DAD" w:rsidRPr="469479B5">
        <w:rPr>
          <w:rFonts w:ascii="Times New Roman" w:hAnsi="Times New Roman"/>
          <w:sz w:val="24"/>
          <w:szCs w:val="24"/>
        </w:rPr>
        <w:t xml:space="preserve"> atzīts </w:t>
      </w:r>
      <w:r w:rsidR="0F6FD69D" w:rsidRPr="469479B5">
        <w:rPr>
          <w:rFonts w:ascii="Times New Roman" w:hAnsi="Times New Roman"/>
          <w:sz w:val="24"/>
          <w:szCs w:val="24"/>
        </w:rPr>
        <w:t>par</w:t>
      </w:r>
      <w:r w:rsidR="5E597DAD" w:rsidRPr="469479B5">
        <w:rPr>
          <w:rFonts w:ascii="Times New Roman" w:hAnsi="Times New Roman"/>
          <w:sz w:val="24"/>
          <w:szCs w:val="24"/>
        </w:rPr>
        <w:t xml:space="preserve"> izdevumi</w:t>
      </w:r>
      <w:r w:rsidR="0F6FD69D" w:rsidRPr="469479B5">
        <w:rPr>
          <w:rFonts w:ascii="Times New Roman" w:hAnsi="Times New Roman"/>
          <w:sz w:val="24"/>
          <w:szCs w:val="24"/>
        </w:rPr>
        <w:t>em</w:t>
      </w:r>
      <w:r w:rsidR="5E597DAD" w:rsidRPr="469479B5">
        <w:rPr>
          <w:rFonts w:ascii="Times New Roman" w:hAnsi="Times New Roman"/>
          <w:sz w:val="24"/>
          <w:szCs w:val="24"/>
        </w:rPr>
        <w:t xml:space="preserve">). Savukārt, ja valsts motivācija, </w:t>
      </w:r>
      <w:r w:rsidR="0F6FD69D" w:rsidRPr="469479B5">
        <w:rPr>
          <w:rFonts w:ascii="Times New Roman" w:hAnsi="Times New Roman"/>
          <w:sz w:val="24"/>
          <w:szCs w:val="24"/>
        </w:rPr>
        <w:t>veicot</w:t>
      </w:r>
      <w:r w:rsidR="5E597DAD" w:rsidRPr="469479B5">
        <w:rPr>
          <w:rFonts w:ascii="Times New Roman" w:hAnsi="Times New Roman"/>
          <w:sz w:val="24"/>
          <w:szCs w:val="24"/>
        </w:rPr>
        <w:t xml:space="preserve"> ieguldījumu </w:t>
      </w:r>
      <w:r w:rsidR="0F6FD69D" w:rsidRPr="469479B5">
        <w:rPr>
          <w:rFonts w:ascii="Times New Roman" w:hAnsi="Times New Roman"/>
          <w:sz w:val="24"/>
          <w:szCs w:val="24"/>
        </w:rPr>
        <w:t xml:space="preserve">ir pamatota ar citiem argumentiem (pamatā publisko mērķu sasniegšanu), kas nenodrošina ne vien pienācīgu atdevi pret uzņemto risku, bet bieži vien </w:t>
      </w:r>
      <w:r w:rsidR="66ED02FA" w:rsidRPr="469479B5">
        <w:rPr>
          <w:rFonts w:ascii="Times New Roman" w:hAnsi="Times New Roman"/>
          <w:sz w:val="24"/>
          <w:szCs w:val="24"/>
        </w:rPr>
        <w:t>nespēj</w:t>
      </w:r>
      <w:r w:rsidR="0F6FD69D" w:rsidRPr="469479B5">
        <w:rPr>
          <w:rFonts w:ascii="Times New Roman" w:hAnsi="Times New Roman"/>
          <w:sz w:val="24"/>
          <w:szCs w:val="24"/>
        </w:rPr>
        <w:t xml:space="preserve"> pat </w:t>
      </w:r>
      <w:r w:rsidR="66ED02FA" w:rsidRPr="469479B5">
        <w:rPr>
          <w:rFonts w:ascii="Times New Roman" w:hAnsi="Times New Roman"/>
          <w:sz w:val="24"/>
          <w:szCs w:val="24"/>
        </w:rPr>
        <w:t xml:space="preserve">garantēt </w:t>
      </w:r>
      <w:r w:rsidR="0F6FD69D" w:rsidRPr="469479B5">
        <w:rPr>
          <w:rFonts w:ascii="Times New Roman" w:hAnsi="Times New Roman"/>
          <w:sz w:val="24"/>
          <w:szCs w:val="24"/>
        </w:rPr>
        <w:t xml:space="preserve">ieguldītā kapitāla vērtības saglabāšanu, tad ieguldījums tiek uzskaitīts kā izdevumi, pasliktinot </w:t>
      </w:r>
      <w:r w:rsidR="0E879F2E" w:rsidRPr="469479B5">
        <w:rPr>
          <w:rFonts w:ascii="Times New Roman" w:hAnsi="Times New Roman"/>
          <w:sz w:val="24"/>
          <w:szCs w:val="24"/>
        </w:rPr>
        <w:t xml:space="preserve">vispārējās valdības </w:t>
      </w:r>
      <w:r w:rsidR="0F6FD69D" w:rsidRPr="469479B5">
        <w:rPr>
          <w:rFonts w:ascii="Times New Roman" w:hAnsi="Times New Roman"/>
          <w:sz w:val="24"/>
          <w:szCs w:val="24"/>
        </w:rPr>
        <w:t xml:space="preserve">budžeta bilanci. </w:t>
      </w:r>
    </w:p>
    <w:p w14:paraId="60C912F4" w14:textId="77777777" w:rsidR="009C1949" w:rsidRDefault="009C1949" w:rsidP="469479B5">
      <w:pPr>
        <w:spacing w:after="0" w:line="240" w:lineRule="auto"/>
        <w:jc w:val="right"/>
        <w:rPr>
          <w:rFonts w:ascii="Times New Roman" w:hAnsi="Times New Roman" w:cs="Times New Roman"/>
          <w:b/>
          <w:bCs/>
          <w:sz w:val="24"/>
          <w:szCs w:val="24"/>
        </w:rPr>
      </w:pPr>
    </w:p>
    <w:p w14:paraId="08ED0179" w14:textId="1AC7CEAA" w:rsidR="00FC4989" w:rsidRPr="00FC4989" w:rsidRDefault="730459F4" w:rsidP="00FC4989">
      <w:pPr>
        <w:spacing w:after="0" w:line="240" w:lineRule="auto"/>
        <w:jc w:val="right"/>
        <w:rPr>
          <w:rFonts w:ascii="Times New Roman" w:hAnsi="Times New Roman" w:cs="Times New Roman"/>
          <w:b/>
          <w:bCs/>
          <w:sz w:val="24"/>
          <w:szCs w:val="24"/>
        </w:rPr>
      </w:pPr>
      <w:bookmarkStart w:id="328" w:name="_Hlk205287071"/>
      <w:r w:rsidRPr="469479B5">
        <w:rPr>
          <w:rFonts w:ascii="Times New Roman" w:hAnsi="Times New Roman" w:cs="Times New Roman"/>
          <w:b/>
          <w:bCs/>
          <w:sz w:val="24"/>
          <w:szCs w:val="24"/>
        </w:rPr>
        <w:t>Tabula Nr.</w:t>
      </w:r>
      <w:r w:rsidR="193417EE" w:rsidRPr="469479B5">
        <w:rPr>
          <w:rFonts w:ascii="Times New Roman" w:hAnsi="Times New Roman" w:cs="Times New Roman"/>
          <w:b/>
          <w:bCs/>
          <w:sz w:val="24"/>
          <w:szCs w:val="24"/>
        </w:rPr>
        <w:t>3.2.1</w:t>
      </w:r>
      <w:r w:rsidRPr="469479B5">
        <w:rPr>
          <w:rFonts w:ascii="Times New Roman" w:hAnsi="Times New Roman" w:cs="Times New Roman"/>
          <w:b/>
          <w:bCs/>
          <w:sz w:val="24"/>
          <w:szCs w:val="24"/>
        </w:rPr>
        <w:t xml:space="preserve"> </w:t>
      </w:r>
      <w:bookmarkEnd w:id="328"/>
      <w:r w:rsidRPr="469479B5">
        <w:rPr>
          <w:rFonts w:ascii="Times New Roman" w:hAnsi="Times New Roman" w:cs="Times New Roman"/>
          <w:b/>
          <w:bCs/>
          <w:sz w:val="24"/>
          <w:szCs w:val="24"/>
        </w:rPr>
        <w:t>Ietekme uz vispārējās valdības budžeta bilanci no ieguldījumiem airBaltic (</w:t>
      </w:r>
      <w:r w:rsidR="00474C9A" w:rsidRPr="469479B5">
        <w:rPr>
          <w:rFonts w:ascii="Times New Roman" w:hAnsi="Times New Roman" w:cs="Times New Roman"/>
          <w:b/>
          <w:bCs/>
          <w:sz w:val="24"/>
          <w:szCs w:val="24"/>
        </w:rPr>
        <w:t>201</w:t>
      </w:r>
      <w:r w:rsidR="00474C9A">
        <w:rPr>
          <w:rFonts w:ascii="Times New Roman" w:hAnsi="Times New Roman" w:cs="Times New Roman"/>
          <w:b/>
          <w:bCs/>
          <w:sz w:val="24"/>
          <w:szCs w:val="24"/>
        </w:rPr>
        <w:t>6</w:t>
      </w:r>
      <w:r w:rsidRPr="469479B5">
        <w:rPr>
          <w:rFonts w:ascii="Times New Roman" w:hAnsi="Times New Roman" w:cs="Times New Roman"/>
          <w:b/>
          <w:bCs/>
          <w:sz w:val="24"/>
          <w:szCs w:val="24"/>
        </w:rPr>
        <w:t>.</w:t>
      </w:r>
      <w:r w:rsidR="00C06885">
        <w:rPr>
          <w:rFonts w:ascii="Times New Roman" w:hAnsi="Times New Roman" w:cs="Times New Roman"/>
          <w:b/>
          <w:bCs/>
          <w:sz w:val="24"/>
          <w:szCs w:val="24"/>
        </w:rPr>
        <w:t>-</w:t>
      </w:r>
      <w:r w:rsidR="0A2976C5" w:rsidRPr="469479B5">
        <w:rPr>
          <w:rFonts w:ascii="Times New Roman" w:hAnsi="Times New Roman" w:cs="Times New Roman"/>
          <w:b/>
          <w:bCs/>
          <w:sz w:val="24"/>
          <w:szCs w:val="24"/>
        </w:rPr>
        <w:t>2022</w:t>
      </w:r>
      <w:r w:rsidRPr="469479B5">
        <w:rPr>
          <w:rFonts w:ascii="Times New Roman" w:hAnsi="Times New Roman" w:cs="Times New Roman"/>
          <w:b/>
          <w:bCs/>
          <w:sz w:val="24"/>
          <w:szCs w:val="24"/>
        </w:rPr>
        <w:t>.</w:t>
      </w:r>
      <w:r w:rsidR="451B0350"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 xml:space="preserve">gads), milj. </w:t>
      </w:r>
      <w:r w:rsidRPr="469479B5">
        <w:rPr>
          <w:rFonts w:ascii="Times New Roman" w:hAnsi="Times New Roman" w:cs="Times New Roman"/>
          <w:b/>
          <w:bCs/>
          <w:i/>
          <w:iCs/>
          <w:sz w:val="24"/>
          <w:szCs w:val="24"/>
        </w:rPr>
        <w:t>euro</w:t>
      </w:r>
      <w:r w:rsidRPr="469479B5">
        <w:rPr>
          <w:rFonts w:ascii="Times New Roman" w:hAnsi="Times New Roman" w:cs="Times New Roman"/>
          <w:b/>
          <w:bCs/>
          <w:sz w:val="24"/>
          <w:szCs w:val="24"/>
        </w:rPr>
        <w:t xml:space="preserve"> </w:t>
      </w:r>
    </w:p>
    <w:tbl>
      <w:tblPr>
        <w:tblStyle w:val="TableGrid"/>
        <w:tblpPr w:leftFromText="180" w:rightFromText="180" w:vertAnchor="text" w:horzAnchor="margin" w:tblpXSpec="center" w:tblpY="124"/>
        <w:tblW w:w="6013"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1502"/>
        <w:gridCol w:w="1127"/>
        <w:gridCol w:w="1128"/>
        <w:gridCol w:w="1128"/>
        <w:gridCol w:w="1128"/>
      </w:tblGrid>
      <w:tr w:rsidR="00DF7D7B" w:rsidRPr="005C1F4C" w14:paraId="4D723F04" w14:textId="4B9EE9F9" w:rsidTr="0064250D">
        <w:trPr>
          <w:trHeight w:val="200"/>
          <w:jc w:val="center"/>
        </w:trPr>
        <w:tc>
          <w:tcPr>
            <w:tcW w:w="1502" w:type="dxa"/>
            <w:shd w:val="clear" w:color="auto" w:fill="DEEAF6" w:themeFill="accent1" w:themeFillTint="33"/>
          </w:tcPr>
          <w:p w14:paraId="19FABCD7" w14:textId="77777777" w:rsidR="00336DB3" w:rsidRPr="00863772" w:rsidRDefault="00336DB3" w:rsidP="469479B5">
            <w:pPr>
              <w:jc w:val="center"/>
              <w:rPr>
                <w:rFonts w:eastAsia="Times New Roman" w:cs="Times New Roman"/>
                <w:b/>
                <w:bCs/>
                <w:sz w:val="20"/>
                <w:szCs w:val="20"/>
              </w:rPr>
            </w:pPr>
          </w:p>
        </w:tc>
        <w:tc>
          <w:tcPr>
            <w:tcW w:w="1127" w:type="dxa"/>
            <w:shd w:val="clear" w:color="auto" w:fill="DEEAF6" w:themeFill="accent1" w:themeFillTint="33"/>
            <w:vAlign w:val="center"/>
          </w:tcPr>
          <w:p w14:paraId="167F069A" w14:textId="602B545D" w:rsidR="00336DB3" w:rsidRPr="00863772" w:rsidRDefault="00474C9A" w:rsidP="469479B5">
            <w:pPr>
              <w:jc w:val="center"/>
              <w:rPr>
                <w:rFonts w:eastAsia="Times New Roman" w:cs="Times New Roman"/>
                <w:b/>
                <w:bCs/>
                <w:sz w:val="20"/>
                <w:szCs w:val="20"/>
              </w:rPr>
            </w:pPr>
            <w:r w:rsidRPr="00863772">
              <w:rPr>
                <w:rFonts w:eastAsia="Times New Roman" w:cs="Times New Roman"/>
                <w:b/>
                <w:bCs/>
                <w:sz w:val="20"/>
                <w:szCs w:val="20"/>
              </w:rPr>
              <w:t>2016</w:t>
            </w:r>
            <w:r w:rsidR="00597FA9" w:rsidRPr="00863772">
              <w:rPr>
                <w:rFonts w:cs="Times New Roman"/>
                <w:color w:val="000000" w:themeColor="text1"/>
                <w:sz w:val="20"/>
                <w:szCs w:val="20"/>
              </w:rPr>
              <w:t>–</w:t>
            </w:r>
            <w:r w:rsidR="0A2976C5" w:rsidRPr="00863772">
              <w:rPr>
                <w:rFonts w:eastAsia="Times New Roman" w:cs="Times New Roman"/>
                <w:b/>
                <w:bCs/>
                <w:sz w:val="20"/>
                <w:szCs w:val="20"/>
              </w:rPr>
              <w:t>2019</w:t>
            </w:r>
          </w:p>
        </w:tc>
        <w:tc>
          <w:tcPr>
            <w:tcW w:w="1128" w:type="dxa"/>
            <w:shd w:val="clear" w:color="auto" w:fill="DEEAF6" w:themeFill="accent1" w:themeFillTint="33"/>
            <w:vAlign w:val="center"/>
          </w:tcPr>
          <w:p w14:paraId="222CF499" w14:textId="77777777" w:rsidR="00336DB3" w:rsidRPr="00863772" w:rsidRDefault="0A2976C5" w:rsidP="469479B5">
            <w:pPr>
              <w:jc w:val="center"/>
              <w:rPr>
                <w:rFonts w:eastAsia="Times New Roman" w:cs="Times New Roman"/>
                <w:b/>
                <w:bCs/>
                <w:sz w:val="20"/>
                <w:szCs w:val="20"/>
              </w:rPr>
            </w:pPr>
            <w:r w:rsidRPr="00863772">
              <w:rPr>
                <w:rFonts w:eastAsia="Times New Roman" w:cs="Times New Roman"/>
                <w:b/>
                <w:bCs/>
                <w:sz w:val="20"/>
                <w:szCs w:val="20"/>
              </w:rPr>
              <w:t>2020</w:t>
            </w:r>
          </w:p>
        </w:tc>
        <w:tc>
          <w:tcPr>
            <w:tcW w:w="1128" w:type="dxa"/>
            <w:shd w:val="clear" w:color="auto" w:fill="DEEAF6" w:themeFill="accent1" w:themeFillTint="33"/>
            <w:vAlign w:val="center"/>
          </w:tcPr>
          <w:p w14:paraId="31B06354" w14:textId="77777777" w:rsidR="00336DB3" w:rsidRPr="00863772" w:rsidRDefault="0A2976C5" w:rsidP="469479B5">
            <w:pPr>
              <w:jc w:val="center"/>
              <w:rPr>
                <w:rFonts w:eastAsia="Times New Roman" w:cs="Times New Roman"/>
                <w:b/>
                <w:bCs/>
                <w:sz w:val="20"/>
                <w:szCs w:val="20"/>
              </w:rPr>
            </w:pPr>
            <w:r w:rsidRPr="00863772">
              <w:rPr>
                <w:rFonts w:eastAsia="Times New Roman" w:cs="Times New Roman"/>
                <w:b/>
                <w:bCs/>
                <w:sz w:val="20"/>
                <w:szCs w:val="20"/>
              </w:rPr>
              <w:t>2021</w:t>
            </w:r>
          </w:p>
        </w:tc>
        <w:tc>
          <w:tcPr>
            <w:tcW w:w="1128" w:type="dxa"/>
            <w:shd w:val="clear" w:color="auto" w:fill="DEEAF6" w:themeFill="accent1" w:themeFillTint="33"/>
            <w:vAlign w:val="center"/>
          </w:tcPr>
          <w:p w14:paraId="56DF6DDF" w14:textId="77777777" w:rsidR="00336DB3" w:rsidRPr="00863772" w:rsidRDefault="0A2976C5" w:rsidP="469479B5">
            <w:pPr>
              <w:jc w:val="center"/>
              <w:rPr>
                <w:rFonts w:eastAsia="Times New Roman" w:cs="Times New Roman"/>
                <w:b/>
                <w:bCs/>
                <w:sz w:val="20"/>
                <w:szCs w:val="20"/>
              </w:rPr>
            </w:pPr>
            <w:r w:rsidRPr="00863772">
              <w:rPr>
                <w:rFonts w:eastAsia="Times New Roman" w:cs="Times New Roman"/>
                <w:b/>
                <w:bCs/>
                <w:sz w:val="20"/>
                <w:szCs w:val="20"/>
              </w:rPr>
              <w:t>2022</w:t>
            </w:r>
          </w:p>
        </w:tc>
      </w:tr>
      <w:tr w:rsidR="00DF7D7B" w:rsidRPr="005C1F4C" w14:paraId="50B4C63E" w14:textId="78D5B714" w:rsidTr="0064250D">
        <w:trPr>
          <w:trHeight w:val="511"/>
          <w:jc w:val="center"/>
        </w:trPr>
        <w:tc>
          <w:tcPr>
            <w:tcW w:w="1502" w:type="dxa"/>
            <w:vAlign w:val="center"/>
          </w:tcPr>
          <w:p w14:paraId="585DDECF" w14:textId="6EBC6A26" w:rsidR="00336DB3" w:rsidRPr="00863772" w:rsidRDefault="0A2976C5" w:rsidP="469479B5">
            <w:pPr>
              <w:jc w:val="center"/>
              <w:rPr>
                <w:rFonts w:eastAsia="Times New Roman" w:cs="Times New Roman"/>
                <w:b/>
                <w:bCs/>
                <w:sz w:val="20"/>
                <w:szCs w:val="20"/>
              </w:rPr>
            </w:pPr>
            <w:r w:rsidRPr="00863772">
              <w:rPr>
                <w:rFonts w:eastAsia="Times New Roman" w:cs="Times New Roman"/>
                <w:b/>
                <w:bCs/>
                <w:sz w:val="20"/>
                <w:szCs w:val="20"/>
              </w:rPr>
              <w:t>Ietekme</w:t>
            </w:r>
          </w:p>
        </w:tc>
        <w:tc>
          <w:tcPr>
            <w:tcW w:w="1127" w:type="dxa"/>
            <w:vAlign w:val="center"/>
          </w:tcPr>
          <w:p w14:paraId="559CB3A8" w14:textId="6C857973" w:rsidR="00336DB3" w:rsidRPr="00863772" w:rsidRDefault="0A2976C5" w:rsidP="469479B5">
            <w:pPr>
              <w:jc w:val="center"/>
              <w:rPr>
                <w:rFonts w:eastAsia="Times New Roman" w:cs="Times New Roman"/>
                <w:sz w:val="20"/>
                <w:szCs w:val="20"/>
              </w:rPr>
            </w:pPr>
            <w:r w:rsidRPr="00863772">
              <w:rPr>
                <w:rFonts w:eastAsia="Times New Roman" w:cs="Times New Roman"/>
                <w:sz w:val="20"/>
                <w:szCs w:val="20"/>
              </w:rPr>
              <w:t>-</w:t>
            </w:r>
            <w:r w:rsidRPr="00863772">
              <w:rPr>
                <w:rFonts w:eastAsia="Times New Roman" w:cs="Times New Roman"/>
                <w:sz w:val="20"/>
                <w:szCs w:val="20"/>
                <w:rtl/>
              </w:rPr>
              <w:t>*</w:t>
            </w:r>
          </w:p>
        </w:tc>
        <w:tc>
          <w:tcPr>
            <w:tcW w:w="1128" w:type="dxa"/>
            <w:vAlign w:val="center"/>
          </w:tcPr>
          <w:p w14:paraId="77A51CB4" w14:textId="75F28EE1" w:rsidR="00336DB3" w:rsidRPr="00863772" w:rsidRDefault="0A2976C5" w:rsidP="469479B5">
            <w:pPr>
              <w:jc w:val="center"/>
              <w:rPr>
                <w:rFonts w:eastAsia="Times New Roman" w:cs="Times New Roman"/>
                <w:sz w:val="20"/>
                <w:szCs w:val="20"/>
              </w:rPr>
            </w:pPr>
            <w:r w:rsidRPr="00863772">
              <w:rPr>
                <w:rFonts w:eastAsia="Times New Roman" w:cs="Times New Roman"/>
                <w:sz w:val="20"/>
                <w:szCs w:val="20"/>
              </w:rPr>
              <w:t>250,0</w:t>
            </w:r>
          </w:p>
        </w:tc>
        <w:tc>
          <w:tcPr>
            <w:tcW w:w="1128" w:type="dxa"/>
            <w:vAlign w:val="center"/>
          </w:tcPr>
          <w:p w14:paraId="144B1C14" w14:textId="25D4A74E" w:rsidR="00336DB3" w:rsidRPr="00863772" w:rsidRDefault="0A2976C5" w:rsidP="469479B5">
            <w:pPr>
              <w:jc w:val="center"/>
              <w:rPr>
                <w:rFonts w:eastAsia="Times New Roman" w:cs="Times New Roman"/>
                <w:sz w:val="20"/>
                <w:szCs w:val="20"/>
              </w:rPr>
            </w:pPr>
            <w:r w:rsidRPr="00863772">
              <w:rPr>
                <w:rFonts w:eastAsia="Times New Roman" w:cs="Times New Roman"/>
                <w:sz w:val="20"/>
                <w:szCs w:val="20"/>
              </w:rPr>
              <w:t>45,0</w:t>
            </w:r>
          </w:p>
        </w:tc>
        <w:tc>
          <w:tcPr>
            <w:tcW w:w="1128" w:type="dxa"/>
            <w:vAlign w:val="center"/>
          </w:tcPr>
          <w:p w14:paraId="2080FA51" w14:textId="1D7E3B62" w:rsidR="00336DB3" w:rsidRPr="00863772" w:rsidRDefault="0A2976C5" w:rsidP="469479B5">
            <w:pPr>
              <w:jc w:val="center"/>
              <w:rPr>
                <w:rFonts w:eastAsia="Times New Roman" w:cs="Times New Roman"/>
                <w:sz w:val="20"/>
                <w:szCs w:val="20"/>
              </w:rPr>
            </w:pPr>
            <w:r w:rsidRPr="00863772">
              <w:rPr>
                <w:rFonts w:eastAsia="Times New Roman" w:cs="Times New Roman"/>
                <w:sz w:val="20"/>
                <w:szCs w:val="20"/>
              </w:rPr>
              <w:t>45,0</w:t>
            </w:r>
          </w:p>
        </w:tc>
      </w:tr>
    </w:tbl>
    <w:p w14:paraId="418E3758" w14:textId="77777777" w:rsidR="00FC4989" w:rsidRDefault="00FC4989" w:rsidP="469479B5">
      <w:pPr>
        <w:rPr>
          <w:rFonts w:ascii="Times New Roman" w:eastAsia="Calibri" w:hAnsi="Times New Roman" w:cs="Times New Roman"/>
          <w:i/>
          <w:iCs/>
          <w:sz w:val="20"/>
          <w:szCs w:val="20"/>
        </w:rPr>
      </w:pPr>
    </w:p>
    <w:p w14:paraId="64C0F01A" w14:textId="77777777" w:rsidR="00FC4989" w:rsidRDefault="00FC4989" w:rsidP="00436923">
      <w:pPr>
        <w:spacing w:after="0" w:line="240" w:lineRule="auto"/>
        <w:rPr>
          <w:rFonts w:ascii="Times New Roman" w:eastAsia="Calibri" w:hAnsi="Times New Roman" w:cs="Times New Roman"/>
          <w:i/>
          <w:iCs/>
          <w:sz w:val="20"/>
          <w:szCs w:val="20"/>
        </w:rPr>
      </w:pPr>
    </w:p>
    <w:p w14:paraId="1B02BD59" w14:textId="77777777" w:rsidR="00436923" w:rsidRDefault="00436923" w:rsidP="00436923">
      <w:pPr>
        <w:spacing w:after="0" w:line="240" w:lineRule="auto"/>
        <w:rPr>
          <w:rFonts w:ascii="Times New Roman" w:eastAsia="Calibri" w:hAnsi="Times New Roman" w:cs="Times New Roman"/>
          <w:i/>
          <w:iCs/>
          <w:sz w:val="20"/>
          <w:szCs w:val="20"/>
        </w:rPr>
      </w:pPr>
    </w:p>
    <w:p w14:paraId="1191DF40" w14:textId="77777777" w:rsidR="00436923" w:rsidRDefault="00436923" w:rsidP="00436923">
      <w:pPr>
        <w:spacing w:after="0" w:line="240" w:lineRule="auto"/>
        <w:rPr>
          <w:rFonts w:ascii="Times New Roman" w:eastAsia="Calibri" w:hAnsi="Times New Roman" w:cs="Times New Roman"/>
          <w:i/>
          <w:iCs/>
          <w:sz w:val="20"/>
          <w:szCs w:val="20"/>
        </w:rPr>
      </w:pPr>
    </w:p>
    <w:p w14:paraId="4DE3E08C" w14:textId="64C13FFE" w:rsidR="003F61C6" w:rsidRDefault="442DF108" w:rsidP="00436923">
      <w:pPr>
        <w:spacing w:after="0" w:line="240" w:lineRule="auto"/>
        <w:rPr>
          <w:rFonts w:ascii="Times New Roman" w:hAnsi="Times New Roman"/>
          <w:i/>
          <w:iCs/>
          <w:sz w:val="20"/>
          <w:szCs w:val="20"/>
        </w:rPr>
      </w:pPr>
      <w:r w:rsidRPr="469479B5">
        <w:rPr>
          <w:rFonts w:ascii="Times New Roman" w:eastAsia="Calibri" w:hAnsi="Times New Roman" w:cs="Times New Roman"/>
          <w:i/>
          <w:iCs/>
          <w:sz w:val="20"/>
          <w:szCs w:val="20"/>
        </w:rPr>
        <w:t>*</w:t>
      </w:r>
      <w:r w:rsidRPr="469479B5">
        <w:rPr>
          <w:rFonts w:ascii="Times New Roman" w:hAnsi="Times New Roman"/>
          <w:i/>
          <w:iCs/>
          <w:sz w:val="20"/>
          <w:szCs w:val="20"/>
        </w:rPr>
        <w:t xml:space="preserve"> valsts ieguldījums 80 milj. euro 2016.</w:t>
      </w:r>
      <w:r w:rsidR="1CBF4071" w:rsidRPr="469479B5">
        <w:rPr>
          <w:rFonts w:ascii="Times New Roman" w:hAnsi="Times New Roman" w:cs="Times New Roman"/>
          <w:b/>
          <w:bCs/>
          <w:sz w:val="24"/>
          <w:szCs w:val="24"/>
        </w:rPr>
        <w:t xml:space="preserve"> </w:t>
      </w:r>
      <w:r w:rsidRPr="469479B5">
        <w:rPr>
          <w:rFonts w:ascii="Times New Roman" w:hAnsi="Times New Roman"/>
          <w:i/>
          <w:iCs/>
          <w:sz w:val="20"/>
          <w:szCs w:val="20"/>
        </w:rPr>
        <w:t>gadā uzskaitīts kā finanšu darījums</w:t>
      </w:r>
    </w:p>
    <w:p w14:paraId="1FBEE65D" w14:textId="77777777" w:rsidR="00436923" w:rsidRPr="00BD4ED6" w:rsidRDefault="00436923" w:rsidP="00436923">
      <w:pPr>
        <w:spacing w:after="0" w:line="240" w:lineRule="auto"/>
        <w:rPr>
          <w:rFonts w:ascii="Times New Roman" w:hAnsi="Times New Roman"/>
          <w:i/>
          <w:iCs/>
          <w:sz w:val="20"/>
          <w:szCs w:val="20"/>
        </w:rPr>
      </w:pPr>
    </w:p>
    <w:p w14:paraId="6723BD99" w14:textId="59FA8C89" w:rsidR="009855C5" w:rsidRPr="003F7B2E" w:rsidRDefault="730459F4" w:rsidP="469479B5">
      <w:pPr>
        <w:spacing w:after="0" w:line="240" w:lineRule="auto"/>
        <w:ind w:firstLine="720"/>
        <w:jc w:val="both"/>
        <w:rPr>
          <w:rFonts w:ascii="Times New Roman" w:hAnsi="Times New Roman" w:cs="Times New Roman"/>
          <w:sz w:val="24"/>
          <w:szCs w:val="24"/>
        </w:rPr>
      </w:pPr>
      <w:bookmarkStart w:id="329" w:name="_Hlk173492272"/>
      <w:r w:rsidRPr="00DB1FE8">
        <w:rPr>
          <w:rFonts w:ascii="Times New Roman" w:hAnsi="Times New Roman"/>
          <w:sz w:val="24"/>
          <w:szCs w:val="24"/>
        </w:rPr>
        <w:t>Apskatot datus par ieguldījumu airBaltic uzskaiti</w:t>
      </w:r>
      <w:r w:rsidR="7150897F" w:rsidRPr="00DB1FE8">
        <w:rPr>
          <w:rFonts w:ascii="Times New Roman" w:hAnsi="Times New Roman"/>
          <w:sz w:val="24"/>
          <w:szCs w:val="24"/>
        </w:rPr>
        <w:t xml:space="preserve"> (sk. tabulu </w:t>
      </w:r>
      <w:r w:rsidR="37186A76" w:rsidRPr="00DB1FE8">
        <w:rPr>
          <w:rFonts w:ascii="Times New Roman" w:hAnsi="Times New Roman"/>
          <w:sz w:val="24"/>
          <w:szCs w:val="24"/>
        </w:rPr>
        <w:t>N</w:t>
      </w:r>
      <w:r w:rsidR="7150897F" w:rsidRPr="00DB1FE8">
        <w:rPr>
          <w:rFonts w:ascii="Times New Roman" w:hAnsi="Times New Roman"/>
          <w:sz w:val="24"/>
          <w:szCs w:val="24"/>
        </w:rPr>
        <w:t>r.</w:t>
      </w:r>
      <w:r w:rsidR="193417EE" w:rsidRPr="00DB1FE8">
        <w:rPr>
          <w:rFonts w:ascii="Times New Roman" w:hAnsi="Times New Roman"/>
          <w:sz w:val="24"/>
          <w:szCs w:val="24"/>
        </w:rPr>
        <w:t>3.2.1</w:t>
      </w:r>
      <w:r w:rsidR="37186A76" w:rsidRPr="00DB1FE8">
        <w:rPr>
          <w:rFonts w:ascii="Times New Roman" w:hAnsi="Times New Roman"/>
          <w:sz w:val="24"/>
          <w:szCs w:val="24"/>
        </w:rPr>
        <w:t>)</w:t>
      </w:r>
      <w:r w:rsidRPr="00DB1FE8">
        <w:rPr>
          <w:rFonts w:ascii="Times New Roman" w:hAnsi="Times New Roman"/>
          <w:sz w:val="24"/>
          <w:szCs w:val="24"/>
        </w:rPr>
        <w:t xml:space="preserve">, redzams, ka </w:t>
      </w:r>
      <w:r w:rsidR="7150897F" w:rsidRPr="00DB1FE8">
        <w:rPr>
          <w:rFonts w:ascii="Times New Roman" w:hAnsi="Times New Roman"/>
          <w:sz w:val="24"/>
          <w:szCs w:val="24"/>
        </w:rPr>
        <w:t xml:space="preserve">valsts atbalsts ir ticis norakstīts izdevumos, izņemot laika periodā no </w:t>
      </w:r>
      <w:r w:rsidR="00A00F28" w:rsidRPr="00DB1FE8">
        <w:rPr>
          <w:rFonts w:ascii="Times New Roman" w:hAnsi="Times New Roman"/>
          <w:sz w:val="24"/>
          <w:szCs w:val="24"/>
        </w:rPr>
        <w:t>201</w:t>
      </w:r>
      <w:r w:rsidR="00A00F28">
        <w:rPr>
          <w:rFonts w:ascii="Times New Roman" w:hAnsi="Times New Roman"/>
          <w:sz w:val="24"/>
          <w:szCs w:val="24"/>
        </w:rPr>
        <w:t>6</w:t>
      </w:r>
      <w:r w:rsidR="7150897F" w:rsidRPr="00DB1FE8">
        <w:rPr>
          <w:rFonts w:ascii="Times New Roman" w:hAnsi="Times New Roman"/>
          <w:sz w:val="24"/>
          <w:szCs w:val="24"/>
        </w:rPr>
        <w:t>. līdz 2019.</w:t>
      </w:r>
      <w:r w:rsidR="5E7A0B78" w:rsidRPr="469479B5">
        <w:rPr>
          <w:rFonts w:ascii="Times New Roman" w:hAnsi="Times New Roman" w:cs="Times New Roman"/>
          <w:b/>
          <w:bCs/>
          <w:sz w:val="24"/>
          <w:szCs w:val="24"/>
        </w:rPr>
        <w:t xml:space="preserve"> </w:t>
      </w:r>
      <w:r w:rsidR="7150897F" w:rsidRPr="00DB1FE8">
        <w:rPr>
          <w:rFonts w:ascii="Times New Roman" w:hAnsi="Times New Roman"/>
          <w:sz w:val="24"/>
          <w:szCs w:val="24"/>
        </w:rPr>
        <w:t>gadam. Jāatzīmē, ka 2016.</w:t>
      </w:r>
      <w:r w:rsidR="2955C60E" w:rsidRPr="469479B5">
        <w:rPr>
          <w:rFonts w:ascii="Times New Roman" w:hAnsi="Times New Roman" w:cs="Times New Roman"/>
          <w:b/>
          <w:bCs/>
          <w:sz w:val="24"/>
          <w:szCs w:val="24"/>
        </w:rPr>
        <w:t xml:space="preserve"> </w:t>
      </w:r>
      <w:r w:rsidR="7150897F" w:rsidRPr="00DB1FE8">
        <w:rPr>
          <w:rFonts w:ascii="Times New Roman" w:hAnsi="Times New Roman"/>
          <w:sz w:val="24"/>
          <w:szCs w:val="24"/>
        </w:rPr>
        <w:t>gadā tika īstenot</w:t>
      </w:r>
      <w:r w:rsidR="66ED02FA" w:rsidRPr="00DB1FE8">
        <w:rPr>
          <w:rFonts w:ascii="Times New Roman" w:hAnsi="Times New Roman"/>
          <w:sz w:val="24"/>
          <w:szCs w:val="24"/>
        </w:rPr>
        <w:t>a</w:t>
      </w:r>
      <w:r w:rsidR="7150897F" w:rsidRPr="00DB1FE8">
        <w:rPr>
          <w:rFonts w:ascii="Times New Roman" w:hAnsi="Times New Roman"/>
          <w:sz w:val="24"/>
          <w:szCs w:val="24"/>
        </w:rPr>
        <w:t xml:space="preserve"> airBaltic pamatkapitāla palielinā</w:t>
      </w:r>
      <w:r w:rsidR="66ED02FA" w:rsidRPr="00DB1FE8">
        <w:rPr>
          <w:rFonts w:ascii="Times New Roman" w:hAnsi="Times New Roman"/>
          <w:sz w:val="24"/>
          <w:szCs w:val="24"/>
        </w:rPr>
        <w:t>šana</w:t>
      </w:r>
      <w:r w:rsidR="7150897F" w:rsidRPr="00DB1FE8">
        <w:rPr>
          <w:rFonts w:ascii="Times New Roman" w:hAnsi="Times New Roman"/>
          <w:sz w:val="24"/>
          <w:szCs w:val="24"/>
        </w:rPr>
        <w:t xml:space="preserve">, kurā valsts nodrošināja 80 milj. </w:t>
      </w:r>
      <w:r w:rsidR="7150897F" w:rsidRPr="469479B5">
        <w:rPr>
          <w:rFonts w:ascii="Times New Roman" w:hAnsi="Times New Roman"/>
          <w:i/>
          <w:iCs/>
          <w:sz w:val="24"/>
          <w:szCs w:val="24"/>
        </w:rPr>
        <w:t xml:space="preserve">euro. </w:t>
      </w:r>
      <w:r w:rsidR="7150897F" w:rsidRPr="00DB1FE8">
        <w:rPr>
          <w:rFonts w:ascii="Times New Roman" w:hAnsi="Times New Roman"/>
          <w:sz w:val="24"/>
          <w:szCs w:val="24"/>
        </w:rPr>
        <w:t>Ņemot vērā, ka minētājā darījumā tika piesaistīts privātais investors</w:t>
      </w:r>
      <w:r w:rsidR="66ED02FA" w:rsidRPr="00DB1FE8">
        <w:rPr>
          <w:rFonts w:ascii="Times New Roman" w:hAnsi="Times New Roman"/>
          <w:sz w:val="24"/>
          <w:szCs w:val="24"/>
        </w:rPr>
        <w:t xml:space="preserve"> uz vienlīdzīgiem nosacījumi</w:t>
      </w:r>
      <w:r w:rsidR="26529F80" w:rsidRPr="00DB1FE8">
        <w:rPr>
          <w:rFonts w:ascii="Times New Roman" w:hAnsi="Times New Roman"/>
          <w:sz w:val="24"/>
          <w:szCs w:val="24"/>
        </w:rPr>
        <w:t>em</w:t>
      </w:r>
      <w:r w:rsidR="66ED02FA" w:rsidRPr="00DB1FE8">
        <w:rPr>
          <w:rFonts w:ascii="Times New Roman" w:hAnsi="Times New Roman"/>
          <w:sz w:val="24"/>
          <w:szCs w:val="24"/>
        </w:rPr>
        <w:t xml:space="preserve"> ar valsti</w:t>
      </w:r>
      <w:r w:rsidR="7150897F" w:rsidRPr="00DB1FE8">
        <w:rPr>
          <w:rFonts w:ascii="Times New Roman" w:hAnsi="Times New Roman"/>
          <w:sz w:val="24"/>
          <w:szCs w:val="24"/>
        </w:rPr>
        <w:t>, norād</w:t>
      </w:r>
      <w:r w:rsidR="66ED02FA" w:rsidRPr="00DB1FE8">
        <w:rPr>
          <w:rFonts w:ascii="Times New Roman" w:hAnsi="Times New Roman"/>
          <w:sz w:val="24"/>
          <w:szCs w:val="24"/>
        </w:rPr>
        <w:t>ot</w:t>
      </w:r>
      <w:r w:rsidR="7150897F" w:rsidRPr="00DB1FE8">
        <w:rPr>
          <w:rFonts w:ascii="Times New Roman" w:hAnsi="Times New Roman"/>
          <w:sz w:val="24"/>
          <w:szCs w:val="24"/>
        </w:rPr>
        <w:t xml:space="preserve"> uz privātā investora principa ievērošanu</w:t>
      </w:r>
      <w:r w:rsidR="141C53A8" w:rsidRPr="00DB1FE8">
        <w:rPr>
          <w:rFonts w:ascii="Times New Roman" w:hAnsi="Times New Roman"/>
          <w:sz w:val="24"/>
          <w:szCs w:val="24"/>
        </w:rPr>
        <w:t>,</w:t>
      </w:r>
      <w:r w:rsidR="7150897F" w:rsidRPr="00DB1FE8">
        <w:rPr>
          <w:rFonts w:ascii="Times New Roman" w:hAnsi="Times New Roman"/>
          <w:sz w:val="24"/>
          <w:szCs w:val="24"/>
        </w:rPr>
        <w:t xml:space="preserve"> ieguldījums </w:t>
      </w:r>
      <w:r w:rsidR="66ED02FA" w:rsidRPr="00DB1FE8">
        <w:rPr>
          <w:rFonts w:ascii="Times New Roman" w:hAnsi="Times New Roman"/>
          <w:sz w:val="24"/>
          <w:szCs w:val="24"/>
        </w:rPr>
        <w:t>tika atzīts kā finanšu darījums</w:t>
      </w:r>
      <w:r w:rsidR="7150897F" w:rsidRPr="00DB1FE8">
        <w:rPr>
          <w:rFonts w:ascii="Times New Roman" w:hAnsi="Times New Roman"/>
          <w:sz w:val="24"/>
          <w:szCs w:val="24"/>
        </w:rPr>
        <w:t>. Turpmākie ieguldījumi 2020.</w:t>
      </w:r>
      <w:r w:rsidR="00E94E31">
        <w:rPr>
          <w:rFonts w:ascii="Times New Roman" w:hAnsi="Times New Roman" w:cs="Times New Roman"/>
          <w:b/>
          <w:bCs/>
          <w:sz w:val="24"/>
          <w:szCs w:val="24"/>
        </w:rPr>
        <w:t>-</w:t>
      </w:r>
      <w:r w:rsidR="7150897F" w:rsidRPr="00DB1FE8">
        <w:rPr>
          <w:rFonts w:ascii="Times New Roman" w:hAnsi="Times New Roman"/>
          <w:sz w:val="24"/>
          <w:szCs w:val="24"/>
        </w:rPr>
        <w:t>2022.</w:t>
      </w:r>
      <w:r w:rsidR="272DCDA3" w:rsidRPr="469479B5">
        <w:rPr>
          <w:rFonts w:ascii="Times New Roman" w:hAnsi="Times New Roman" w:cs="Times New Roman"/>
          <w:b/>
          <w:bCs/>
          <w:sz w:val="24"/>
          <w:szCs w:val="24"/>
        </w:rPr>
        <w:t xml:space="preserve"> </w:t>
      </w:r>
      <w:r w:rsidR="7150897F" w:rsidRPr="00DB1FE8">
        <w:rPr>
          <w:rFonts w:ascii="Times New Roman" w:hAnsi="Times New Roman"/>
          <w:sz w:val="24"/>
          <w:szCs w:val="24"/>
        </w:rPr>
        <w:t>gadā ir saistīti ar Covid</w:t>
      </w:r>
      <w:r w:rsidR="00597FA9" w:rsidRPr="469479B5">
        <w:rPr>
          <w:rFonts w:ascii="Times New Roman" w:hAnsi="Times New Roman" w:cs="Times New Roman"/>
          <w:color w:val="000000" w:themeColor="text1"/>
          <w:sz w:val="24"/>
          <w:szCs w:val="24"/>
        </w:rPr>
        <w:t>–</w:t>
      </w:r>
      <w:r w:rsidR="7150897F" w:rsidRPr="00DB1FE8">
        <w:rPr>
          <w:rFonts w:ascii="Times New Roman" w:hAnsi="Times New Roman"/>
          <w:sz w:val="24"/>
          <w:szCs w:val="24"/>
        </w:rPr>
        <w:t xml:space="preserve">19 pandēmijas izraisītajām sekām uz pasaules ekonomiku un jo īpaši </w:t>
      </w:r>
      <w:r w:rsidR="47BAE8BC" w:rsidRPr="00DB1FE8">
        <w:rPr>
          <w:rFonts w:ascii="Times New Roman" w:hAnsi="Times New Roman"/>
          <w:sz w:val="24"/>
          <w:szCs w:val="24"/>
        </w:rPr>
        <w:t>avi</w:t>
      </w:r>
      <w:r w:rsidR="006C1B5E">
        <w:rPr>
          <w:rFonts w:ascii="Times New Roman" w:hAnsi="Times New Roman"/>
          <w:sz w:val="24"/>
          <w:szCs w:val="24"/>
        </w:rPr>
        <w:t>ācijas</w:t>
      </w:r>
      <w:r w:rsidR="47BAE8BC" w:rsidRPr="00DB1FE8">
        <w:rPr>
          <w:rFonts w:ascii="Times New Roman" w:hAnsi="Times New Roman"/>
          <w:sz w:val="24"/>
          <w:szCs w:val="24"/>
        </w:rPr>
        <w:t xml:space="preserve"> nozari</w:t>
      </w:r>
      <w:r w:rsidR="7150897F" w:rsidRPr="00DB1FE8">
        <w:rPr>
          <w:rFonts w:ascii="Times New Roman" w:hAnsi="Times New Roman"/>
          <w:sz w:val="24"/>
          <w:szCs w:val="24"/>
        </w:rPr>
        <w:t>. Aviokompānijas visā pasaulē sask</w:t>
      </w:r>
      <w:r w:rsidR="118916DB" w:rsidRPr="00DB1FE8">
        <w:rPr>
          <w:rFonts w:ascii="Times New Roman" w:hAnsi="Times New Roman"/>
          <w:sz w:val="24"/>
          <w:szCs w:val="24"/>
        </w:rPr>
        <w:t>ā</w:t>
      </w:r>
      <w:r w:rsidR="7150897F" w:rsidRPr="00DB1FE8">
        <w:rPr>
          <w:rFonts w:ascii="Times New Roman" w:hAnsi="Times New Roman"/>
          <w:sz w:val="24"/>
          <w:szCs w:val="24"/>
        </w:rPr>
        <w:t>r</w:t>
      </w:r>
      <w:r w:rsidR="001C2276">
        <w:rPr>
          <w:rFonts w:ascii="Times New Roman" w:hAnsi="Times New Roman"/>
          <w:sz w:val="24"/>
          <w:szCs w:val="24"/>
        </w:rPr>
        <w:t>ā</w:t>
      </w:r>
      <w:r w:rsidR="7150897F" w:rsidRPr="00DB1FE8">
        <w:rPr>
          <w:rFonts w:ascii="Times New Roman" w:hAnsi="Times New Roman"/>
          <w:sz w:val="24"/>
          <w:szCs w:val="24"/>
        </w:rPr>
        <w:t xml:space="preserve">s ar nepieciešamību piesaistīt papildu </w:t>
      </w:r>
      <w:r w:rsidR="47BAE8BC" w:rsidRPr="00DB1FE8">
        <w:rPr>
          <w:rFonts w:ascii="Times New Roman" w:hAnsi="Times New Roman"/>
          <w:sz w:val="24"/>
          <w:szCs w:val="24"/>
        </w:rPr>
        <w:t>finanšu</w:t>
      </w:r>
      <w:r w:rsidR="7150897F" w:rsidRPr="00DB1FE8">
        <w:rPr>
          <w:rFonts w:ascii="Times New Roman" w:hAnsi="Times New Roman"/>
          <w:sz w:val="24"/>
          <w:szCs w:val="24"/>
        </w:rPr>
        <w:t xml:space="preserve"> resursus, lai varētu pārciest pandēmijas negatīvās sekas uz to darbību. </w:t>
      </w:r>
      <w:r w:rsidR="47BAE8BC" w:rsidRPr="00DB1FE8">
        <w:rPr>
          <w:rFonts w:ascii="Times New Roman" w:hAnsi="Times New Roman"/>
          <w:sz w:val="24"/>
          <w:szCs w:val="24"/>
        </w:rPr>
        <w:t>Attiecīgi</w:t>
      </w:r>
      <w:r w:rsidR="7150897F" w:rsidRPr="00DB1FE8">
        <w:rPr>
          <w:rFonts w:ascii="Times New Roman" w:hAnsi="Times New Roman"/>
          <w:sz w:val="24"/>
          <w:szCs w:val="24"/>
        </w:rPr>
        <w:t xml:space="preserve"> </w:t>
      </w:r>
      <w:r w:rsidR="47BAE8BC" w:rsidRPr="00DB1FE8">
        <w:rPr>
          <w:rFonts w:ascii="Times New Roman" w:hAnsi="Times New Roman"/>
          <w:sz w:val="24"/>
          <w:szCs w:val="24"/>
        </w:rPr>
        <w:t>arī Latvijā tika</w:t>
      </w:r>
      <w:r w:rsidR="7150897F" w:rsidRPr="00DB1FE8">
        <w:rPr>
          <w:rFonts w:ascii="Times New Roman" w:hAnsi="Times New Roman"/>
          <w:sz w:val="24"/>
          <w:szCs w:val="24"/>
        </w:rPr>
        <w:t xml:space="preserve"> </w:t>
      </w:r>
      <w:r w:rsidR="47BAE8BC" w:rsidRPr="00DB1FE8">
        <w:rPr>
          <w:rFonts w:ascii="Times New Roman" w:hAnsi="Times New Roman"/>
          <w:sz w:val="24"/>
          <w:szCs w:val="24"/>
        </w:rPr>
        <w:t>izlemts</w:t>
      </w:r>
      <w:r w:rsidR="7150897F" w:rsidRPr="00DB1FE8">
        <w:rPr>
          <w:rFonts w:ascii="Times New Roman" w:hAnsi="Times New Roman"/>
          <w:sz w:val="24"/>
          <w:szCs w:val="24"/>
        </w:rPr>
        <w:t xml:space="preserve"> sniegt krīzes pārvarēšanas finanšu atbalstu, lai nodrošinātu airBaltic dzīvotspēju</w:t>
      </w:r>
      <w:r w:rsidR="00404DE0" w:rsidRPr="00DB1FE8">
        <w:rPr>
          <w:rStyle w:val="FootnoteReference"/>
          <w:rFonts w:ascii="Times New Roman" w:hAnsi="Times New Roman"/>
          <w:sz w:val="24"/>
          <w:szCs w:val="24"/>
        </w:rPr>
        <w:footnoteReference w:id="66"/>
      </w:r>
      <w:r w:rsidR="7150897F" w:rsidRPr="00DB1FE8">
        <w:rPr>
          <w:rFonts w:ascii="Times New Roman" w:hAnsi="Times New Roman"/>
          <w:sz w:val="24"/>
          <w:szCs w:val="24"/>
        </w:rPr>
        <w:t>.</w:t>
      </w:r>
      <w:r w:rsidR="5BAEEE20" w:rsidRPr="00BC437C">
        <w:rPr>
          <w:rFonts w:ascii="RobustaTLPro-Regular" w:hAnsi="RobustaTLPro-Regular"/>
          <w:color w:val="212529"/>
          <w:sz w:val="23"/>
          <w:szCs w:val="23"/>
          <w:shd w:val="clear" w:color="auto" w:fill="FFFFFF"/>
        </w:rPr>
        <w:t xml:space="preserve"> </w:t>
      </w:r>
      <w:r w:rsidR="5BAEEE20" w:rsidRPr="00940337">
        <w:rPr>
          <w:rFonts w:ascii="Times New Roman" w:eastAsia="Times New Roman" w:hAnsi="Times New Roman" w:cs="Times New Roman"/>
          <w:color w:val="212529"/>
          <w:sz w:val="24"/>
          <w:szCs w:val="24"/>
          <w:shd w:val="clear" w:color="auto" w:fill="FFFFFF"/>
        </w:rPr>
        <w:t>V</w:t>
      </w:r>
      <w:r w:rsidR="5BAEEE20" w:rsidRPr="00940337">
        <w:rPr>
          <w:rFonts w:ascii="Times New Roman" w:eastAsia="Times New Roman" w:hAnsi="Times New Roman" w:cs="Times New Roman"/>
          <w:sz w:val="24"/>
          <w:szCs w:val="24"/>
        </w:rPr>
        <w:t>alsts līdzdalības samazināšana</w:t>
      </w:r>
      <w:r w:rsidR="1FC0AFB2" w:rsidRPr="00940337">
        <w:rPr>
          <w:rFonts w:ascii="Times New Roman" w:eastAsia="Times New Roman" w:hAnsi="Times New Roman" w:cs="Times New Roman"/>
          <w:sz w:val="24"/>
          <w:szCs w:val="24"/>
        </w:rPr>
        <w:t xml:space="preserve"> </w:t>
      </w:r>
      <w:r w:rsidR="5BAEEE20" w:rsidRPr="00940337">
        <w:rPr>
          <w:rFonts w:ascii="Times New Roman" w:eastAsia="Times New Roman" w:hAnsi="Times New Roman" w:cs="Times New Roman"/>
          <w:sz w:val="24"/>
          <w:szCs w:val="24"/>
        </w:rPr>
        <w:t>plānota</w:t>
      </w:r>
      <w:r w:rsidR="1FC0AFB2" w:rsidRPr="00940337">
        <w:rPr>
          <w:rFonts w:ascii="Times New Roman" w:eastAsia="Times New Roman" w:hAnsi="Times New Roman" w:cs="Times New Roman"/>
          <w:sz w:val="24"/>
          <w:szCs w:val="24"/>
        </w:rPr>
        <w:t xml:space="preserve"> </w:t>
      </w:r>
      <w:r w:rsidR="5BAEEE20" w:rsidRPr="00940337">
        <w:rPr>
          <w:rFonts w:ascii="Times New Roman" w:eastAsia="Times New Roman" w:hAnsi="Times New Roman" w:cs="Times New Roman"/>
          <w:sz w:val="24"/>
          <w:szCs w:val="24"/>
        </w:rPr>
        <w:t xml:space="preserve">atbilstoši EK 2020. gada 3. jūlija lēmumā “Valsts atbalsts SA.56943 (2020/N) – Latvija </w:t>
      </w:r>
      <w:r w:rsidR="00B55F93">
        <w:rPr>
          <w:rFonts w:ascii="Times New Roman" w:eastAsia="Times New Roman" w:hAnsi="Times New Roman" w:cs="Times New Roman"/>
          <w:sz w:val="24"/>
          <w:szCs w:val="24"/>
        </w:rPr>
        <w:t>Covid</w:t>
      </w:r>
      <w:r w:rsidR="00597FA9" w:rsidRPr="469479B5">
        <w:rPr>
          <w:rFonts w:ascii="Times New Roman" w:hAnsi="Times New Roman" w:cs="Times New Roman"/>
          <w:color w:val="000000" w:themeColor="text1"/>
          <w:sz w:val="24"/>
          <w:szCs w:val="24"/>
        </w:rPr>
        <w:t>–</w:t>
      </w:r>
      <w:r w:rsidR="5BAEEE20" w:rsidRPr="00940337">
        <w:rPr>
          <w:rFonts w:ascii="Times New Roman" w:eastAsia="Times New Roman" w:hAnsi="Times New Roman" w:cs="Times New Roman"/>
          <w:sz w:val="24"/>
          <w:szCs w:val="24"/>
        </w:rPr>
        <w:t>19: airBaltic rekapitalizācija” iekļautajiem nosacījumiem, kādā tiek izbeigta rekapitalizācijas rezultātā iegūtās C</w:t>
      </w:r>
      <w:r w:rsidR="00B55F93">
        <w:rPr>
          <w:rFonts w:ascii="Times New Roman" w:eastAsia="Times New Roman" w:hAnsi="Times New Roman" w:cs="Times New Roman"/>
          <w:sz w:val="24"/>
          <w:szCs w:val="24"/>
        </w:rPr>
        <w:t>ovid</w:t>
      </w:r>
      <w:r w:rsidR="00597FA9" w:rsidRPr="469479B5">
        <w:rPr>
          <w:rFonts w:ascii="Times New Roman" w:hAnsi="Times New Roman" w:cs="Times New Roman"/>
          <w:color w:val="000000" w:themeColor="text1"/>
          <w:sz w:val="24"/>
          <w:szCs w:val="24"/>
        </w:rPr>
        <w:t>–</w:t>
      </w:r>
      <w:r w:rsidR="5BAEEE20" w:rsidRPr="00940337">
        <w:rPr>
          <w:rFonts w:ascii="Times New Roman" w:eastAsia="Times New Roman" w:hAnsi="Times New Roman" w:cs="Times New Roman"/>
          <w:sz w:val="24"/>
          <w:szCs w:val="24"/>
        </w:rPr>
        <w:t>19 valsts līdzdalība airBaltic</w:t>
      </w:r>
      <w:r w:rsidR="00BC437C">
        <w:rPr>
          <w:rStyle w:val="FootnoteReference"/>
          <w:rFonts w:ascii="Times New Roman" w:hAnsi="Times New Roman"/>
          <w:sz w:val="24"/>
          <w:szCs w:val="24"/>
        </w:rPr>
        <w:footnoteReference w:id="67"/>
      </w:r>
      <w:r w:rsidR="5BAEEE20">
        <w:rPr>
          <w:rFonts w:ascii="Times New Roman" w:hAnsi="Times New Roman"/>
          <w:sz w:val="24"/>
          <w:szCs w:val="24"/>
        </w:rPr>
        <w:t xml:space="preserve">. </w:t>
      </w:r>
      <w:r w:rsidR="5BAEEE20" w:rsidRPr="00BC437C">
        <w:rPr>
          <w:rFonts w:ascii="Times New Roman" w:hAnsi="Times New Roman"/>
          <w:sz w:val="24"/>
          <w:szCs w:val="24"/>
        </w:rPr>
        <w:t xml:space="preserve">2021. gada 11. februārī </w:t>
      </w:r>
      <w:r w:rsidR="00FC2773">
        <w:rPr>
          <w:rFonts w:ascii="Times New Roman" w:hAnsi="Times New Roman"/>
          <w:sz w:val="24"/>
          <w:szCs w:val="24"/>
        </w:rPr>
        <w:t>SM</w:t>
      </w:r>
      <w:r w:rsidR="5BAEEE20" w:rsidRPr="00BC437C">
        <w:rPr>
          <w:rFonts w:ascii="Times New Roman" w:hAnsi="Times New Roman"/>
          <w:sz w:val="24"/>
          <w:szCs w:val="24"/>
        </w:rPr>
        <w:t xml:space="preserve"> informēja M</w:t>
      </w:r>
      <w:r w:rsidR="78B72E90">
        <w:rPr>
          <w:rFonts w:ascii="Times New Roman" w:hAnsi="Times New Roman"/>
          <w:sz w:val="24"/>
          <w:szCs w:val="24"/>
        </w:rPr>
        <w:t xml:space="preserve">K </w:t>
      </w:r>
      <w:r w:rsidR="5BAEEE20" w:rsidRPr="00BC437C">
        <w:rPr>
          <w:rFonts w:ascii="Times New Roman" w:hAnsi="Times New Roman"/>
          <w:sz w:val="24"/>
          <w:szCs w:val="24"/>
        </w:rPr>
        <w:t xml:space="preserve">par stratēģiju (protokols Nr.15., 43.§), un </w:t>
      </w:r>
      <w:r w:rsidR="5BAEEE20">
        <w:rPr>
          <w:rFonts w:ascii="Times New Roman" w:hAnsi="Times New Roman"/>
          <w:sz w:val="24"/>
          <w:szCs w:val="24"/>
        </w:rPr>
        <w:t>MK</w:t>
      </w:r>
      <w:r w:rsidR="5BAEEE20" w:rsidRPr="00BC437C">
        <w:rPr>
          <w:rFonts w:ascii="Times New Roman" w:hAnsi="Times New Roman"/>
          <w:sz w:val="24"/>
          <w:szCs w:val="24"/>
        </w:rPr>
        <w:t xml:space="preserve"> atbalstīja valsts līdzdalības samazināšanu, izmantojot sākotnējā publiskā piedāvājuma izteikšanu (IPO) kā metodi, kādā tiek izbeigta rekapitalizācijas rezultātā iegūtā valsts līdzdalība airBaltic. Lai izpildītu EK 2022.</w:t>
      </w:r>
      <w:r w:rsidR="4C5A92AC" w:rsidRPr="469479B5">
        <w:rPr>
          <w:rFonts w:ascii="Times New Roman" w:hAnsi="Times New Roman" w:cs="Times New Roman"/>
          <w:b/>
          <w:bCs/>
          <w:sz w:val="24"/>
          <w:szCs w:val="24"/>
        </w:rPr>
        <w:t xml:space="preserve"> </w:t>
      </w:r>
      <w:r w:rsidR="5BAEEE20" w:rsidRPr="00BC437C">
        <w:rPr>
          <w:rFonts w:ascii="Times New Roman" w:hAnsi="Times New Roman"/>
          <w:sz w:val="24"/>
          <w:szCs w:val="24"/>
        </w:rPr>
        <w:t>gada 23.</w:t>
      </w:r>
      <w:r w:rsidR="3BADBB80" w:rsidRPr="469479B5">
        <w:rPr>
          <w:rFonts w:ascii="Times New Roman" w:hAnsi="Times New Roman" w:cs="Times New Roman"/>
          <w:b/>
          <w:bCs/>
          <w:sz w:val="24"/>
          <w:szCs w:val="24"/>
        </w:rPr>
        <w:t xml:space="preserve"> </w:t>
      </w:r>
      <w:r w:rsidR="5BAEEE20" w:rsidRPr="00BC437C">
        <w:rPr>
          <w:rFonts w:ascii="Times New Roman" w:hAnsi="Times New Roman"/>
          <w:sz w:val="24"/>
          <w:szCs w:val="24"/>
        </w:rPr>
        <w:t>maija lēmumā “SA.63604 (2021/N) – Latvia – C</w:t>
      </w:r>
      <w:r w:rsidR="00B55F93">
        <w:rPr>
          <w:rFonts w:ascii="Times New Roman" w:hAnsi="Times New Roman"/>
          <w:sz w:val="24"/>
          <w:szCs w:val="24"/>
        </w:rPr>
        <w:t>ovid</w:t>
      </w:r>
      <w:r w:rsidR="00597FA9" w:rsidRPr="469479B5">
        <w:rPr>
          <w:rFonts w:ascii="Times New Roman" w:hAnsi="Times New Roman" w:cs="Times New Roman"/>
          <w:color w:val="000000" w:themeColor="text1"/>
          <w:sz w:val="24"/>
          <w:szCs w:val="24"/>
        </w:rPr>
        <w:t>–</w:t>
      </w:r>
      <w:r w:rsidR="5BAEEE20" w:rsidRPr="00BC437C">
        <w:rPr>
          <w:rFonts w:ascii="Times New Roman" w:hAnsi="Times New Roman"/>
          <w:sz w:val="24"/>
          <w:szCs w:val="24"/>
        </w:rPr>
        <w:t xml:space="preserve">19: Second Recapitalisation of airBaltic” iekļautos nosacījumus par rekapitalizācijas rezultātā iegūtās valsts līdzdalības izbeigšanu, </w:t>
      </w:r>
      <w:r w:rsidR="00FC2773">
        <w:rPr>
          <w:rFonts w:ascii="Times New Roman" w:hAnsi="Times New Roman"/>
          <w:sz w:val="24"/>
          <w:szCs w:val="24"/>
        </w:rPr>
        <w:t>SM</w:t>
      </w:r>
      <w:r w:rsidR="5BAEEE20" w:rsidRPr="00BC437C">
        <w:rPr>
          <w:rFonts w:ascii="Times New Roman" w:hAnsi="Times New Roman"/>
          <w:sz w:val="24"/>
          <w:szCs w:val="24"/>
        </w:rPr>
        <w:t xml:space="preserve"> 2022.</w:t>
      </w:r>
      <w:r w:rsidR="3468BD2A" w:rsidRPr="00BC437C">
        <w:rPr>
          <w:rFonts w:ascii="Times New Roman" w:hAnsi="Times New Roman"/>
          <w:sz w:val="24"/>
          <w:szCs w:val="24"/>
        </w:rPr>
        <w:t xml:space="preserve"> </w:t>
      </w:r>
      <w:r w:rsidR="5BAEEE20" w:rsidRPr="00BC437C">
        <w:rPr>
          <w:rFonts w:ascii="Times New Roman" w:hAnsi="Times New Roman"/>
          <w:sz w:val="24"/>
          <w:szCs w:val="24"/>
        </w:rPr>
        <w:t>gada 17.</w:t>
      </w:r>
      <w:r w:rsidR="69290712" w:rsidRPr="00BC437C">
        <w:rPr>
          <w:rFonts w:ascii="Times New Roman" w:hAnsi="Times New Roman"/>
          <w:sz w:val="24"/>
          <w:szCs w:val="24"/>
        </w:rPr>
        <w:t xml:space="preserve"> </w:t>
      </w:r>
      <w:r w:rsidR="5BAEEE20" w:rsidRPr="00BC437C">
        <w:rPr>
          <w:rFonts w:ascii="Times New Roman" w:hAnsi="Times New Roman"/>
          <w:sz w:val="24"/>
          <w:szCs w:val="24"/>
        </w:rPr>
        <w:t xml:space="preserve">maijā informēja </w:t>
      </w:r>
      <w:r w:rsidR="5BAEEE20">
        <w:rPr>
          <w:rFonts w:ascii="Times New Roman" w:hAnsi="Times New Roman"/>
          <w:sz w:val="24"/>
          <w:szCs w:val="24"/>
        </w:rPr>
        <w:t>MK</w:t>
      </w:r>
      <w:r w:rsidR="5BAEEE20" w:rsidRPr="00BC437C">
        <w:rPr>
          <w:rFonts w:ascii="Times New Roman" w:hAnsi="Times New Roman"/>
          <w:sz w:val="24"/>
          <w:szCs w:val="24"/>
        </w:rPr>
        <w:t xml:space="preserve"> par IPO aktualitātēm (prot. Nr.27., 47. §). Sagatavošanās notiek, ievērojot </w:t>
      </w:r>
      <w:r w:rsidR="5BAEEE20">
        <w:rPr>
          <w:rFonts w:ascii="Times New Roman" w:hAnsi="Times New Roman"/>
          <w:sz w:val="24"/>
          <w:szCs w:val="24"/>
        </w:rPr>
        <w:t>MK</w:t>
      </w:r>
      <w:r w:rsidR="5BAEEE20" w:rsidRPr="00BC437C">
        <w:rPr>
          <w:rFonts w:ascii="Times New Roman" w:hAnsi="Times New Roman"/>
          <w:sz w:val="24"/>
          <w:szCs w:val="24"/>
        </w:rPr>
        <w:t xml:space="preserve"> iepriekš prezentēto laika grafiku IPO procesa organizēšanai</w:t>
      </w:r>
      <w:r w:rsidR="00BC437C">
        <w:rPr>
          <w:rStyle w:val="FootnoteReference"/>
          <w:rFonts w:ascii="Times New Roman" w:hAnsi="Times New Roman"/>
          <w:sz w:val="24"/>
          <w:szCs w:val="24"/>
        </w:rPr>
        <w:footnoteReference w:id="68"/>
      </w:r>
      <w:r w:rsidR="5BAEEE20" w:rsidRPr="00BC437C">
        <w:rPr>
          <w:rFonts w:ascii="Times New Roman" w:hAnsi="Times New Roman"/>
          <w:sz w:val="24"/>
          <w:szCs w:val="24"/>
        </w:rPr>
        <w:t>.</w:t>
      </w:r>
      <w:r w:rsidR="5BAEEE20" w:rsidRPr="00BC437C" w:rsidDel="00C45BCD">
        <w:t xml:space="preserve"> </w:t>
      </w:r>
      <w:r w:rsidR="5BAEEE20" w:rsidRPr="00792573" w:rsidDel="00C45BCD">
        <w:rPr>
          <w:rFonts w:ascii="Times New Roman" w:hAnsi="Times New Roman" w:cs="Times New Roman"/>
          <w:sz w:val="24"/>
          <w:szCs w:val="24"/>
        </w:rPr>
        <w:t>Kopsavilkuma informācija par dotā procesa virzību un airBaltic situāciju tiek sniegta regulārajos ziņojumos MK.</w:t>
      </w:r>
    </w:p>
    <w:bookmarkEnd w:id="326"/>
    <w:p w14:paraId="64BB3B64" w14:textId="43F31CEB" w:rsidR="003F7C95" w:rsidRDefault="0059003A" w:rsidP="00EB11C7">
      <w:pPr>
        <w:spacing w:after="0" w:line="240" w:lineRule="auto"/>
        <w:ind w:firstLine="720"/>
        <w:jc w:val="both"/>
        <w:rPr>
          <w:rFonts w:ascii="Times New Roman" w:hAnsi="Times New Roman"/>
          <w:sz w:val="24"/>
          <w:szCs w:val="24"/>
        </w:rPr>
      </w:pPr>
      <w:r>
        <w:rPr>
          <w:rFonts w:ascii="Times New Roman" w:hAnsi="Times New Roman"/>
          <w:sz w:val="24"/>
          <w:szCs w:val="24"/>
        </w:rPr>
        <w:t>2024. gada</w:t>
      </w:r>
      <w:r w:rsidR="367A7924">
        <w:rPr>
          <w:rFonts w:ascii="Times New Roman" w:hAnsi="Times New Roman"/>
          <w:sz w:val="24"/>
          <w:szCs w:val="24"/>
        </w:rPr>
        <w:t xml:space="preserve"> maijā </w:t>
      </w:r>
      <w:r w:rsidR="367A7924" w:rsidRPr="00792573">
        <w:rPr>
          <w:rFonts w:ascii="Times New Roman" w:hAnsi="Times New Roman"/>
          <w:sz w:val="24"/>
          <w:szCs w:val="24"/>
        </w:rPr>
        <w:t>airBaltic</w:t>
      </w:r>
      <w:r w:rsidR="367A7924" w:rsidRPr="00395FEC">
        <w:rPr>
          <w:rFonts w:ascii="Times New Roman" w:hAnsi="Times New Roman"/>
          <w:sz w:val="24"/>
          <w:szCs w:val="24"/>
        </w:rPr>
        <w:t> emitēj</w:t>
      </w:r>
      <w:r>
        <w:rPr>
          <w:rFonts w:ascii="Times New Roman" w:hAnsi="Times New Roman"/>
          <w:sz w:val="24"/>
          <w:szCs w:val="24"/>
        </w:rPr>
        <w:t>a</w:t>
      </w:r>
      <w:r w:rsidR="367A7924" w:rsidRPr="00395FEC">
        <w:rPr>
          <w:rFonts w:ascii="Times New Roman" w:hAnsi="Times New Roman"/>
          <w:sz w:val="24"/>
          <w:szCs w:val="24"/>
        </w:rPr>
        <w:t xml:space="preserve"> 5,25 gadu</w:t>
      </w:r>
      <w:r w:rsidR="367A7924">
        <w:rPr>
          <w:rFonts w:ascii="Times New Roman" w:hAnsi="Times New Roman"/>
          <w:sz w:val="24"/>
          <w:szCs w:val="24"/>
        </w:rPr>
        <w:t xml:space="preserve"> </w:t>
      </w:r>
      <w:r w:rsidR="367A7924" w:rsidRPr="00395FEC">
        <w:rPr>
          <w:rFonts w:ascii="Times New Roman" w:hAnsi="Times New Roman"/>
          <w:sz w:val="24"/>
          <w:szCs w:val="24"/>
        </w:rPr>
        <w:t>nodrošinātās obligācijas (</w:t>
      </w:r>
      <w:r w:rsidR="367A7924" w:rsidRPr="469479B5">
        <w:rPr>
          <w:rFonts w:ascii="Times New Roman" w:hAnsi="Times New Roman"/>
          <w:i/>
          <w:iCs/>
          <w:sz w:val="24"/>
          <w:szCs w:val="24"/>
        </w:rPr>
        <w:t>senior secured bonds</w:t>
      </w:r>
      <w:r w:rsidR="367A7924" w:rsidRPr="00395FEC">
        <w:rPr>
          <w:rFonts w:ascii="Times New Roman" w:hAnsi="Times New Roman"/>
          <w:sz w:val="24"/>
          <w:szCs w:val="24"/>
        </w:rPr>
        <w:t>) 340 milj</w:t>
      </w:r>
      <w:r w:rsidR="367A7924">
        <w:rPr>
          <w:rFonts w:ascii="Times New Roman" w:hAnsi="Times New Roman"/>
          <w:sz w:val="24"/>
          <w:szCs w:val="24"/>
        </w:rPr>
        <w:t>.</w:t>
      </w:r>
      <w:r w:rsidR="367A7924" w:rsidRPr="00395FEC">
        <w:rPr>
          <w:rFonts w:ascii="Times New Roman" w:hAnsi="Times New Roman"/>
          <w:sz w:val="24"/>
          <w:szCs w:val="24"/>
        </w:rPr>
        <w:t xml:space="preserve"> </w:t>
      </w:r>
      <w:r w:rsidR="367A7924" w:rsidRPr="469479B5">
        <w:rPr>
          <w:rFonts w:ascii="Times New Roman" w:hAnsi="Times New Roman"/>
          <w:i/>
          <w:iCs/>
          <w:sz w:val="24"/>
          <w:szCs w:val="24"/>
        </w:rPr>
        <w:t>euro</w:t>
      </w:r>
      <w:r w:rsidR="367A7924" w:rsidRPr="00395FEC">
        <w:rPr>
          <w:rFonts w:ascii="Times New Roman" w:hAnsi="Times New Roman"/>
          <w:sz w:val="24"/>
          <w:szCs w:val="24"/>
        </w:rPr>
        <w:t xml:space="preserve"> apmērā ar 14,5% procentu likmi</w:t>
      </w:r>
      <w:r w:rsidR="008D1E3D">
        <w:rPr>
          <w:rFonts w:ascii="Times New Roman" w:hAnsi="Times New Roman"/>
          <w:sz w:val="24"/>
          <w:szCs w:val="24"/>
        </w:rPr>
        <w:t>,</w:t>
      </w:r>
      <w:r w:rsidR="367A7924">
        <w:rPr>
          <w:rFonts w:ascii="Times New Roman" w:hAnsi="Times New Roman"/>
          <w:sz w:val="24"/>
          <w:szCs w:val="24"/>
        </w:rPr>
        <w:t xml:space="preserve"> </w:t>
      </w:r>
      <w:bookmarkStart w:id="330" w:name="_Hlk203403305"/>
      <w:r>
        <w:rPr>
          <w:rFonts w:ascii="Times New Roman" w:hAnsi="Times New Roman"/>
          <w:sz w:val="24"/>
          <w:szCs w:val="24"/>
        </w:rPr>
        <w:t xml:space="preserve">refinansējot savas obligācijas 200 milj. </w:t>
      </w:r>
      <w:r w:rsidRPr="0064250D">
        <w:rPr>
          <w:rFonts w:ascii="Times New Roman" w:hAnsi="Times New Roman"/>
          <w:i/>
          <w:iCs/>
          <w:sz w:val="24"/>
          <w:szCs w:val="24"/>
        </w:rPr>
        <w:t xml:space="preserve">euro </w:t>
      </w:r>
      <w:r>
        <w:rPr>
          <w:rFonts w:ascii="Times New Roman" w:hAnsi="Times New Roman"/>
          <w:sz w:val="24"/>
          <w:szCs w:val="24"/>
        </w:rPr>
        <w:t>apmērā, kuru dzēšanas termiņš iestājās 2024. gada jūlijā</w:t>
      </w:r>
      <w:bookmarkEnd w:id="330"/>
      <w:r w:rsidR="00391E10">
        <w:rPr>
          <w:rFonts w:ascii="Times New Roman" w:hAnsi="Times New Roman"/>
          <w:sz w:val="24"/>
          <w:szCs w:val="24"/>
        </w:rPr>
        <w:t>.</w:t>
      </w:r>
      <w:r>
        <w:rPr>
          <w:rFonts w:ascii="Times New Roman" w:hAnsi="Times New Roman"/>
          <w:sz w:val="24"/>
          <w:szCs w:val="24"/>
        </w:rPr>
        <w:t xml:space="preserve"> </w:t>
      </w:r>
      <w:r w:rsidR="367A7924" w:rsidRPr="00395FEC">
        <w:rPr>
          <w:rFonts w:ascii="Times New Roman" w:hAnsi="Times New Roman"/>
          <w:sz w:val="24"/>
          <w:szCs w:val="24"/>
        </w:rPr>
        <w:t>Pieprasījums pēc vērtspapīriem pārsniedza piedāvājumu, gala pasūtījumu vērtībai pārsniedzot 800 milj</w:t>
      </w:r>
      <w:r w:rsidR="367A7924">
        <w:rPr>
          <w:rFonts w:ascii="Times New Roman" w:hAnsi="Times New Roman"/>
          <w:sz w:val="24"/>
          <w:szCs w:val="24"/>
        </w:rPr>
        <w:t>.</w:t>
      </w:r>
      <w:r w:rsidR="367A7924" w:rsidRPr="00395FEC">
        <w:rPr>
          <w:rFonts w:ascii="Times New Roman" w:hAnsi="Times New Roman"/>
          <w:sz w:val="24"/>
          <w:szCs w:val="24"/>
        </w:rPr>
        <w:t xml:space="preserve"> </w:t>
      </w:r>
      <w:r w:rsidR="367A7924" w:rsidRPr="469479B5">
        <w:rPr>
          <w:rFonts w:ascii="Times New Roman" w:hAnsi="Times New Roman"/>
          <w:i/>
          <w:iCs/>
          <w:sz w:val="24"/>
          <w:szCs w:val="24"/>
        </w:rPr>
        <w:t>euro</w:t>
      </w:r>
      <w:r w:rsidR="367A7924" w:rsidRPr="00395FEC">
        <w:rPr>
          <w:rFonts w:ascii="Times New Roman" w:hAnsi="Times New Roman"/>
          <w:sz w:val="24"/>
          <w:szCs w:val="24"/>
        </w:rPr>
        <w:t xml:space="preserve">. </w:t>
      </w:r>
      <w:r w:rsidR="367A7924">
        <w:rPr>
          <w:rFonts w:ascii="Times New Roman" w:hAnsi="Times New Roman"/>
          <w:sz w:val="24"/>
          <w:szCs w:val="24"/>
        </w:rPr>
        <w:t>Š</w:t>
      </w:r>
      <w:r w:rsidR="367A7924" w:rsidRPr="00395FEC">
        <w:rPr>
          <w:rFonts w:ascii="Times New Roman" w:hAnsi="Times New Roman"/>
          <w:sz w:val="24"/>
          <w:szCs w:val="24"/>
        </w:rPr>
        <w:t xml:space="preserve">ajā emisijā </w:t>
      </w:r>
      <w:r w:rsidR="1FC0AFB2">
        <w:rPr>
          <w:rFonts w:ascii="Times New Roman" w:hAnsi="Times New Roman"/>
          <w:sz w:val="24"/>
          <w:szCs w:val="24"/>
        </w:rPr>
        <w:t xml:space="preserve">finanšu ministram </w:t>
      </w:r>
      <w:r w:rsidR="367A7924" w:rsidRPr="00395FEC">
        <w:rPr>
          <w:rFonts w:ascii="Times New Roman" w:hAnsi="Times New Roman"/>
          <w:sz w:val="24"/>
          <w:szCs w:val="24"/>
        </w:rPr>
        <w:t>bija dots mandāts piedalīties ar 136 milj</w:t>
      </w:r>
      <w:r w:rsidR="367A7924" w:rsidRPr="009737DB">
        <w:rPr>
          <w:rFonts w:ascii="Times New Roman" w:hAnsi="Times New Roman"/>
          <w:sz w:val="24"/>
          <w:szCs w:val="24"/>
        </w:rPr>
        <w:t xml:space="preserve">. </w:t>
      </w:r>
      <w:r w:rsidR="367A7924" w:rsidRPr="00962A15">
        <w:rPr>
          <w:rFonts w:ascii="Times New Roman" w:hAnsi="Times New Roman"/>
          <w:i/>
          <w:iCs/>
          <w:sz w:val="24"/>
          <w:szCs w:val="24"/>
        </w:rPr>
        <w:t>euro</w:t>
      </w:r>
      <w:r w:rsidR="005F5759" w:rsidRPr="0064250D">
        <w:rPr>
          <w:rStyle w:val="FootnoteReference"/>
          <w:rFonts w:ascii="Times New Roman" w:hAnsi="Times New Roman"/>
          <w:sz w:val="24"/>
          <w:szCs w:val="24"/>
        </w:rPr>
        <w:footnoteReference w:id="69"/>
      </w:r>
      <w:r w:rsidR="005F5759" w:rsidRPr="00282C96">
        <w:rPr>
          <w:rFonts w:ascii="Times New Roman" w:hAnsi="Times New Roman"/>
          <w:sz w:val="24"/>
          <w:szCs w:val="24"/>
        </w:rPr>
        <w:t>.</w:t>
      </w:r>
      <w:r>
        <w:rPr>
          <w:rFonts w:ascii="Times New Roman" w:hAnsi="Times New Roman"/>
          <w:sz w:val="24"/>
          <w:szCs w:val="24"/>
        </w:rPr>
        <w:t xml:space="preserve"> </w:t>
      </w:r>
      <w:bookmarkStart w:id="331" w:name="_Hlk203403325"/>
      <w:r>
        <w:rPr>
          <w:rFonts w:ascii="Times New Roman" w:hAnsi="Times New Roman"/>
          <w:sz w:val="24"/>
          <w:szCs w:val="24"/>
        </w:rPr>
        <w:t xml:space="preserve">2024. gada oktobrī airBaltic emitēja papildus 40 milj. </w:t>
      </w:r>
      <w:r w:rsidRPr="0064250D">
        <w:rPr>
          <w:rFonts w:ascii="Times New Roman" w:hAnsi="Times New Roman"/>
          <w:i/>
          <w:iCs/>
          <w:sz w:val="24"/>
          <w:szCs w:val="24"/>
        </w:rPr>
        <w:t>euro</w:t>
      </w:r>
      <w:r>
        <w:rPr>
          <w:rFonts w:ascii="Times New Roman" w:hAnsi="Times New Roman"/>
          <w:sz w:val="24"/>
          <w:szCs w:val="24"/>
        </w:rPr>
        <w:t xml:space="preserve"> vērtas obligācijas ar procentu likmi 14,5% un termiņu līdz 2029. gadam, attiecīgi palielinot kopējo publiskā parāda apjomu līdz 380 milj. </w:t>
      </w:r>
      <w:r w:rsidRPr="0064250D">
        <w:rPr>
          <w:rFonts w:ascii="Times New Roman" w:hAnsi="Times New Roman"/>
          <w:i/>
          <w:iCs/>
          <w:sz w:val="24"/>
          <w:szCs w:val="24"/>
        </w:rPr>
        <w:t>euro</w:t>
      </w:r>
      <w:r w:rsidR="006838A8">
        <w:rPr>
          <w:rStyle w:val="FootnoteReference"/>
          <w:rFonts w:ascii="Times New Roman" w:hAnsi="Times New Roman"/>
          <w:sz w:val="24"/>
          <w:szCs w:val="24"/>
        </w:rPr>
        <w:footnoteReference w:id="70"/>
      </w:r>
      <w:r>
        <w:rPr>
          <w:rFonts w:ascii="Times New Roman" w:hAnsi="Times New Roman"/>
          <w:sz w:val="24"/>
          <w:szCs w:val="24"/>
        </w:rPr>
        <w:t>.</w:t>
      </w:r>
      <w:r w:rsidR="003F7C95">
        <w:rPr>
          <w:rFonts w:ascii="Times New Roman" w:hAnsi="Times New Roman"/>
          <w:sz w:val="24"/>
          <w:szCs w:val="24"/>
        </w:rPr>
        <w:t xml:space="preserve"> Papildus emitētās obligācijas investoriem tika pārdotas par 112,5% no nominālvērtības.</w:t>
      </w:r>
      <w:r w:rsidRPr="006E2F51">
        <w:rPr>
          <w:rStyle w:val="FootnoteReference"/>
          <w:rFonts w:ascii="Times New Roman" w:hAnsi="Times New Roman"/>
          <w:sz w:val="24"/>
          <w:szCs w:val="24"/>
        </w:rPr>
        <w:t xml:space="preserve"> </w:t>
      </w:r>
      <w:bookmarkEnd w:id="331"/>
    </w:p>
    <w:p w14:paraId="704691A3" w14:textId="72F77EE2" w:rsidR="003F7C95" w:rsidRDefault="0F97FD61" w:rsidP="003F7C95">
      <w:pPr>
        <w:spacing w:after="0" w:line="240" w:lineRule="auto"/>
        <w:ind w:firstLine="720"/>
        <w:jc w:val="both"/>
        <w:rPr>
          <w:rFonts w:ascii="Times New Roman" w:hAnsi="Times New Roman" w:cs="Times New Roman"/>
          <w:sz w:val="24"/>
          <w:szCs w:val="24"/>
        </w:rPr>
      </w:pPr>
      <w:r w:rsidRPr="0064250D">
        <w:rPr>
          <w:rFonts w:ascii="Times New Roman" w:hAnsi="Times New Roman" w:cs="Times New Roman"/>
          <w:sz w:val="24"/>
          <w:szCs w:val="24"/>
        </w:rPr>
        <w:t>2024.</w:t>
      </w:r>
      <w:r w:rsidR="094A3A29" w:rsidRPr="0064250D">
        <w:rPr>
          <w:rFonts w:ascii="Times New Roman" w:hAnsi="Times New Roman" w:cs="Times New Roman"/>
          <w:sz w:val="24"/>
          <w:szCs w:val="24"/>
        </w:rPr>
        <w:t xml:space="preserve"> </w:t>
      </w:r>
      <w:r w:rsidRPr="0064250D">
        <w:rPr>
          <w:rFonts w:ascii="Times New Roman" w:hAnsi="Times New Roman" w:cs="Times New Roman"/>
          <w:sz w:val="24"/>
          <w:szCs w:val="24"/>
        </w:rPr>
        <w:t>gada 23.</w:t>
      </w:r>
      <w:r w:rsidR="6604BB5A" w:rsidRPr="0064250D">
        <w:rPr>
          <w:rFonts w:ascii="Times New Roman" w:hAnsi="Times New Roman" w:cs="Times New Roman"/>
          <w:sz w:val="24"/>
          <w:szCs w:val="24"/>
        </w:rPr>
        <w:t xml:space="preserve"> </w:t>
      </w:r>
      <w:r w:rsidRPr="0064250D">
        <w:rPr>
          <w:rFonts w:ascii="Times New Roman" w:hAnsi="Times New Roman" w:cs="Times New Roman"/>
          <w:sz w:val="24"/>
          <w:szCs w:val="24"/>
        </w:rPr>
        <w:t xml:space="preserve">jūlija MK sēdē tika izskatīts Informatīvais ziņojums </w:t>
      </w:r>
      <w:r w:rsidR="00436923">
        <w:rPr>
          <w:rFonts w:ascii="Times New Roman" w:hAnsi="Times New Roman" w:cs="Times New Roman"/>
          <w:sz w:val="24"/>
          <w:szCs w:val="24"/>
        </w:rPr>
        <w:t>“</w:t>
      </w:r>
      <w:r w:rsidRPr="0064250D">
        <w:rPr>
          <w:rFonts w:ascii="Times New Roman" w:hAnsi="Times New Roman" w:cs="Times New Roman"/>
          <w:sz w:val="24"/>
          <w:szCs w:val="24"/>
        </w:rPr>
        <w:t>Par Air Baltic Corporation AS sākotnējā publiskā piedāvājuma (</w:t>
      </w:r>
      <w:r w:rsidR="09A219E3" w:rsidRPr="0064250D">
        <w:rPr>
          <w:rFonts w:ascii="Times New Roman" w:hAnsi="Times New Roman" w:cs="Times New Roman"/>
          <w:i/>
          <w:iCs/>
          <w:sz w:val="24"/>
          <w:szCs w:val="24"/>
        </w:rPr>
        <w:t>Initial public offering</w:t>
      </w:r>
      <w:r w:rsidR="09A219E3" w:rsidRPr="0064250D">
        <w:rPr>
          <w:rFonts w:ascii="Times New Roman" w:hAnsi="Times New Roman" w:cs="Times New Roman"/>
          <w:sz w:val="24"/>
          <w:szCs w:val="24"/>
        </w:rPr>
        <w:t xml:space="preserve"> </w:t>
      </w:r>
      <w:r w:rsidR="00597FA9" w:rsidRPr="0064250D">
        <w:rPr>
          <w:rFonts w:ascii="Times New Roman" w:hAnsi="Times New Roman" w:cs="Times New Roman"/>
          <w:color w:val="000000" w:themeColor="text1"/>
          <w:sz w:val="24"/>
          <w:szCs w:val="24"/>
        </w:rPr>
        <w:t xml:space="preserve">– </w:t>
      </w:r>
      <w:r w:rsidR="09A219E3" w:rsidRPr="0064250D">
        <w:rPr>
          <w:rFonts w:ascii="Times New Roman" w:hAnsi="Times New Roman" w:cs="Times New Roman"/>
          <w:sz w:val="24"/>
          <w:szCs w:val="24"/>
        </w:rPr>
        <w:t xml:space="preserve">angļu val., jeb IPO) </w:t>
      </w:r>
      <w:r w:rsidRPr="0064250D">
        <w:rPr>
          <w:rFonts w:ascii="Times New Roman" w:hAnsi="Times New Roman" w:cs="Times New Roman"/>
          <w:sz w:val="24"/>
          <w:szCs w:val="24"/>
        </w:rPr>
        <w:t>un stratēģiskā investora piesaistes procesu virzību</w:t>
      </w:r>
      <w:r w:rsidR="00436923">
        <w:rPr>
          <w:rFonts w:ascii="Times New Roman" w:hAnsi="Times New Roman" w:cs="Times New Roman"/>
          <w:sz w:val="24"/>
          <w:szCs w:val="24"/>
        </w:rPr>
        <w:t>”</w:t>
      </w:r>
      <w:r w:rsidRPr="0064250D">
        <w:rPr>
          <w:rFonts w:ascii="Times New Roman" w:hAnsi="Times New Roman" w:cs="Times New Roman"/>
          <w:sz w:val="24"/>
          <w:szCs w:val="24"/>
        </w:rPr>
        <w:t xml:space="preserve">. Interesi pirms potenciālā IPO izrādījis kāds stratēģiskais investors. </w:t>
      </w:r>
      <w:r w:rsidR="003F7C95" w:rsidRPr="0064250D">
        <w:rPr>
          <w:rFonts w:ascii="Times New Roman" w:hAnsi="Times New Roman" w:cs="Times New Roman"/>
          <w:sz w:val="24"/>
          <w:szCs w:val="24"/>
        </w:rPr>
        <w:t xml:space="preserve">2025. gada 29. janvārī airBaltic paziņoja par vienošanos starp </w:t>
      </w:r>
      <w:r w:rsidR="00FC2773">
        <w:rPr>
          <w:rFonts w:ascii="Times New Roman" w:hAnsi="Times New Roman" w:cs="Times New Roman"/>
          <w:sz w:val="24"/>
          <w:szCs w:val="24"/>
        </w:rPr>
        <w:t>SM</w:t>
      </w:r>
      <w:r w:rsidR="003F7C95" w:rsidRPr="0064250D">
        <w:rPr>
          <w:rFonts w:ascii="Times New Roman" w:hAnsi="Times New Roman" w:cs="Times New Roman"/>
          <w:sz w:val="24"/>
          <w:szCs w:val="24"/>
        </w:rPr>
        <w:t>, airBaltic un Lufthansa Group, saskaņā ar kuru Lufthansa Group ieguldīs airBaltic 14 milj</w:t>
      </w:r>
      <w:r w:rsidR="003E7AAD">
        <w:rPr>
          <w:rFonts w:ascii="Times New Roman" w:hAnsi="Times New Roman" w:cs="Times New Roman"/>
          <w:sz w:val="24"/>
          <w:szCs w:val="24"/>
        </w:rPr>
        <w:t>.</w:t>
      </w:r>
      <w:r w:rsidR="003F7C95" w:rsidRPr="0064250D">
        <w:rPr>
          <w:rFonts w:ascii="Times New Roman" w:hAnsi="Times New Roman" w:cs="Times New Roman"/>
          <w:sz w:val="24"/>
          <w:szCs w:val="24"/>
        </w:rPr>
        <w:t xml:space="preserve"> </w:t>
      </w:r>
      <w:r w:rsidR="003F7C95" w:rsidRPr="0064250D">
        <w:rPr>
          <w:rFonts w:ascii="Times New Roman" w:hAnsi="Times New Roman" w:cs="Times New Roman"/>
          <w:i/>
          <w:iCs/>
          <w:sz w:val="24"/>
          <w:szCs w:val="24"/>
        </w:rPr>
        <w:t>euro</w:t>
      </w:r>
      <w:r w:rsidR="003F7C95" w:rsidRPr="0064250D">
        <w:rPr>
          <w:rStyle w:val="FootnoteReference"/>
          <w:rFonts w:ascii="Times New Roman" w:hAnsi="Times New Roman" w:cs="Times New Roman"/>
          <w:sz w:val="24"/>
          <w:szCs w:val="24"/>
        </w:rPr>
        <w:footnoteReference w:id="71"/>
      </w:r>
      <w:r w:rsidR="003F7C95" w:rsidRPr="0064250D">
        <w:rPr>
          <w:rFonts w:ascii="Times New Roman" w:hAnsi="Times New Roman" w:cs="Times New Roman"/>
          <w:sz w:val="24"/>
          <w:szCs w:val="24"/>
        </w:rPr>
        <w:t xml:space="preserve">. Par savu ieguldījumu Lufthansa Group saņems konvertējamu akciju, kas nodrošina 10% līdzdalību, kura tiks </w:t>
      </w:r>
      <w:r w:rsidR="003F7C95" w:rsidRPr="004A3446">
        <w:rPr>
          <w:rFonts w:ascii="Times New Roman" w:hAnsi="Times New Roman" w:cs="Times New Roman"/>
          <w:sz w:val="24"/>
          <w:szCs w:val="24"/>
        </w:rPr>
        <w:t>emitēta par parakstīšanās cenu 14 mil</w:t>
      </w:r>
      <w:r w:rsidR="004A3446">
        <w:rPr>
          <w:rFonts w:ascii="Times New Roman" w:hAnsi="Times New Roman" w:cs="Times New Roman"/>
          <w:sz w:val="24"/>
          <w:szCs w:val="24"/>
        </w:rPr>
        <w:t>j.</w:t>
      </w:r>
      <w:r w:rsidR="003F7C95" w:rsidRPr="004A3446">
        <w:rPr>
          <w:rFonts w:ascii="Times New Roman" w:hAnsi="Times New Roman" w:cs="Times New Roman"/>
          <w:sz w:val="24"/>
          <w:szCs w:val="24"/>
        </w:rPr>
        <w:t xml:space="preserve"> </w:t>
      </w:r>
      <w:r w:rsidR="003F7C95" w:rsidRPr="004A3446">
        <w:rPr>
          <w:rFonts w:ascii="Times New Roman" w:hAnsi="Times New Roman" w:cs="Times New Roman"/>
          <w:i/>
          <w:iCs/>
          <w:sz w:val="24"/>
          <w:szCs w:val="24"/>
        </w:rPr>
        <w:t>euro</w:t>
      </w:r>
      <w:r w:rsidR="003F7C95" w:rsidRPr="004A3446">
        <w:rPr>
          <w:rFonts w:ascii="Times New Roman" w:hAnsi="Times New Roman" w:cs="Times New Roman"/>
          <w:sz w:val="24"/>
          <w:szCs w:val="24"/>
        </w:rPr>
        <w:t xml:space="preserve"> apmērā un konvertēta par parastajām akcijām pēc airBaltic iespējamās IPO. Pēc IPO Lufthansa Group daļas lielums tiks noteikts atbilstoši potenciālā IPO tirgus cenai, un Lufthansa Group daļa būs ne mazāka par 5% no airBaltic. Lufthansa Group arī iecels pārstāvi airBaltic uzraudzības padomē, paplašinot to līdz pieciem locekļiem pēc investīciju pabeigšanas.</w:t>
      </w:r>
      <w:r w:rsidR="003F7C95" w:rsidRPr="004A3446" w:rsidDel="004617FB">
        <w:rPr>
          <w:rFonts w:ascii="Times New Roman" w:hAnsi="Times New Roman" w:cs="Times New Roman"/>
          <w:sz w:val="24"/>
          <w:szCs w:val="24"/>
        </w:rPr>
        <w:t xml:space="preserve"> </w:t>
      </w:r>
      <w:r w:rsidR="00282C96">
        <w:rPr>
          <w:rFonts w:ascii="Times New Roman" w:hAnsi="Times New Roman" w:cs="Times New Roman"/>
          <w:sz w:val="24"/>
          <w:szCs w:val="24"/>
        </w:rPr>
        <w:t>2025. gada</w:t>
      </w:r>
      <w:r w:rsidR="003F7C95" w:rsidRPr="004A3446">
        <w:rPr>
          <w:rFonts w:ascii="Times New Roman" w:hAnsi="Times New Roman" w:cs="Times New Roman"/>
          <w:sz w:val="24"/>
          <w:szCs w:val="24"/>
        </w:rPr>
        <w:t xml:space="preserve"> 30. jūnijā Vācijas konkurences padome deva atļauju Lufthansa iegādāties 10% airBaltic akciju</w:t>
      </w:r>
      <w:r w:rsidR="003F7C95" w:rsidRPr="004A3446">
        <w:rPr>
          <w:rStyle w:val="FootnoteReference"/>
          <w:rFonts w:ascii="Times New Roman" w:hAnsi="Times New Roman" w:cs="Times New Roman"/>
          <w:sz w:val="24"/>
          <w:szCs w:val="24"/>
        </w:rPr>
        <w:footnoteReference w:id="72"/>
      </w:r>
      <w:r w:rsidR="003F7C95" w:rsidRPr="004A3446">
        <w:rPr>
          <w:rFonts w:ascii="Times New Roman" w:hAnsi="Times New Roman" w:cs="Times New Roman"/>
          <w:sz w:val="24"/>
          <w:szCs w:val="24"/>
        </w:rPr>
        <w:t>.</w:t>
      </w:r>
    </w:p>
    <w:p w14:paraId="0546C2DB" w14:textId="2776FCB1" w:rsidR="00282C96" w:rsidRDefault="00282C96" w:rsidP="003F7C9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2025. gada 7. aprīlī no valdes priekšsēdētāja amata tika atstādināts Martins Gauss, savukārt konkurss uz jauna valdes priekšsēdētāja amatu vēl nav noslēdzies, kas ietekmē IPO realizācijas iespējamību 2025. gadā. Uzņēmuma vadība plāno turpināt uzņēmuma darbību ievērojot taupība</w:t>
      </w:r>
      <w:r w:rsidR="00DF7D7B">
        <w:rPr>
          <w:rFonts w:ascii="Times New Roman" w:hAnsi="Times New Roman" w:cs="Times New Roman"/>
          <w:sz w:val="24"/>
          <w:szCs w:val="24"/>
        </w:rPr>
        <w:t>s</w:t>
      </w:r>
      <w:r>
        <w:rPr>
          <w:rFonts w:ascii="Times New Roman" w:hAnsi="Times New Roman" w:cs="Times New Roman"/>
          <w:sz w:val="24"/>
          <w:szCs w:val="24"/>
        </w:rPr>
        <w:t xml:space="preserve"> pasākumus, lai nodrošinātu likviditāti līdz iespējamajam IPO 2026. gadā</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w:t>
      </w:r>
    </w:p>
    <w:p w14:paraId="47B72247" w14:textId="560B388B" w:rsidR="00115CF3" w:rsidRPr="006E1D83" w:rsidRDefault="000506E8" w:rsidP="006E1D83">
      <w:pPr>
        <w:ind w:firstLine="360"/>
        <w:jc w:val="both"/>
        <w:rPr>
          <w:b/>
          <w:bCs/>
        </w:rPr>
      </w:pPr>
      <w:r>
        <w:rPr>
          <w:rFonts w:ascii="Times New Roman" w:hAnsi="Times New Roman" w:cs="Times New Roman"/>
          <w:sz w:val="24"/>
          <w:szCs w:val="24"/>
        </w:rPr>
        <w:t xml:space="preserve">2024. gadu airBaltic noslēdza ar pārskata gada zaudējumiem 118,2 milj. </w:t>
      </w:r>
      <w:r w:rsidRPr="004A3446">
        <w:rPr>
          <w:rFonts w:ascii="Times New Roman" w:hAnsi="Times New Roman" w:cs="Times New Roman"/>
          <w:i/>
          <w:iCs/>
          <w:sz w:val="24"/>
          <w:szCs w:val="24"/>
        </w:rPr>
        <w:t>euro</w:t>
      </w:r>
      <w:r>
        <w:rPr>
          <w:rFonts w:ascii="Times New Roman" w:hAnsi="Times New Roman" w:cs="Times New Roman"/>
          <w:sz w:val="24"/>
          <w:szCs w:val="24"/>
        </w:rPr>
        <w:t xml:space="preserve"> apmērā, salīdzinājumā ar </w:t>
      </w:r>
      <w:r w:rsidRPr="004A3446">
        <w:rPr>
          <w:rFonts w:ascii="Times New Roman" w:hAnsi="Times New Roman" w:cs="Times New Roman"/>
          <w:sz w:val="24"/>
          <w:szCs w:val="24"/>
        </w:rPr>
        <w:t xml:space="preserve">33,7 milj. </w:t>
      </w:r>
      <w:r w:rsidRPr="004A3446">
        <w:rPr>
          <w:rFonts w:ascii="Times New Roman" w:hAnsi="Times New Roman" w:cs="Times New Roman"/>
          <w:i/>
          <w:iCs/>
          <w:sz w:val="24"/>
          <w:szCs w:val="24"/>
        </w:rPr>
        <w:t>euro</w:t>
      </w:r>
      <w:r w:rsidRPr="004A3446">
        <w:rPr>
          <w:rFonts w:ascii="Times New Roman" w:hAnsi="Times New Roman" w:cs="Times New Roman"/>
          <w:sz w:val="24"/>
          <w:szCs w:val="24"/>
        </w:rPr>
        <w:t xml:space="preserve"> peļņu 2023. gadā. 2024. gada zaudējumi saistīti</w:t>
      </w:r>
      <w:r w:rsidR="004A3446">
        <w:rPr>
          <w:rFonts w:ascii="Times New Roman" w:hAnsi="Times New Roman" w:cs="Times New Roman"/>
          <w:sz w:val="24"/>
          <w:szCs w:val="24"/>
        </w:rPr>
        <w:t>,</w:t>
      </w:r>
      <w:r w:rsidRPr="004A3446">
        <w:rPr>
          <w:rFonts w:ascii="Times New Roman" w:hAnsi="Times New Roman" w:cs="Times New Roman"/>
          <w:sz w:val="24"/>
          <w:szCs w:val="24"/>
        </w:rPr>
        <w:t xml:space="preserve"> tostarp ar paātrinātu dzinēju nolietojumu, kā arī būtiski ir pieaugušas </w:t>
      </w:r>
      <w:r w:rsidR="00271912" w:rsidRPr="004A3446">
        <w:rPr>
          <w:rFonts w:ascii="Times New Roman" w:hAnsi="Times New Roman" w:cs="Times New Roman"/>
          <w:sz w:val="24"/>
          <w:szCs w:val="24"/>
        </w:rPr>
        <w:t>procentu izmaksas par aizņēmumiem</w:t>
      </w:r>
      <w:r w:rsidRPr="004A3446">
        <w:rPr>
          <w:rFonts w:ascii="Times New Roman" w:hAnsi="Times New Roman" w:cs="Times New Roman"/>
          <w:sz w:val="24"/>
          <w:szCs w:val="24"/>
        </w:rPr>
        <w:t xml:space="preserve">. 2025. gada 1. ceturksnī airBaltic uzrādīja 29,3 milj. </w:t>
      </w:r>
      <w:r w:rsidRPr="004A3446">
        <w:rPr>
          <w:rFonts w:ascii="Times New Roman" w:hAnsi="Times New Roman" w:cs="Times New Roman"/>
          <w:i/>
          <w:iCs/>
          <w:sz w:val="24"/>
          <w:szCs w:val="24"/>
        </w:rPr>
        <w:t>euro</w:t>
      </w:r>
      <w:r w:rsidRPr="004A3446">
        <w:rPr>
          <w:rFonts w:ascii="Times New Roman" w:hAnsi="Times New Roman" w:cs="Times New Roman"/>
          <w:sz w:val="24"/>
          <w:szCs w:val="24"/>
        </w:rPr>
        <w:t xml:space="preserve"> lielus zaudējumus, savukārt pašu kapitāls 2025. gada 1. ceturkš</w:t>
      </w:r>
      <w:r w:rsidR="00271912" w:rsidRPr="004A3446">
        <w:rPr>
          <w:rFonts w:ascii="Times New Roman" w:hAnsi="Times New Roman" w:cs="Times New Roman"/>
          <w:sz w:val="24"/>
          <w:szCs w:val="24"/>
        </w:rPr>
        <w:t>ņa</w:t>
      </w:r>
      <w:r w:rsidRPr="004A3446">
        <w:rPr>
          <w:rFonts w:ascii="Times New Roman" w:hAnsi="Times New Roman" w:cs="Times New Roman"/>
          <w:sz w:val="24"/>
          <w:szCs w:val="24"/>
        </w:rPr>
        <w:t xml:space="preserve"> beigās bija negatīvs 195,1 milj. </w:t>
      </w:r>
      <w:r w:rsidRPr="004A3446">
        <w:rPr>
          <w:rFonts w:ascii="Times New Roman" w:hAnsi="Times New Roman" w:cs="Times New Roman"/>
          <w:i/>
          <w:iCs/>
          <w:sz w:val="24"/>
          <w:szCs w:val="24"/>
        </w:rPr>
        <w:t>euro</w:t>
      </w:r>
      <w:r w:rsidRPr="004A3446">
        <w:rPr>
          <w:rFonts w:ascii="Times New Roman" w:hAnsi="Times New Roman" w:cs="Times New Roman"/>
          <w:sz w:val="24"/>
          <w:szCs w:val="24"/>
        </w:rPr>
        <w:t xml:space="preserve"> apmērā.</w:t>
      </w:r>
      <w:r w:rsidR="00271912" w:rsidRPr="004A3446">
        <w:rPr>
          <w:rFonts w:ascii="Times New Roman" w:hAnsi="Times New Roman" w:cs="Times New Roman"/>
          <w:sz w:val="24"/>
          <w:szCs w:val="24"/>
        </w:rPr>
        <w:t xml:space="preserve"> </w:t>
      </w:r>
      <w:bookmarkEnd w:id="329"/>
      <w:r w:rsidR="008F4797" w:rsidRPr="004A3446">
        <w:rPr>
          <w:rFonts w:ascii="Times New Roman" w:hAnsi="Times New Roman" w:cs="Times New Roman"/>
          <w:sz w:val="24"/>
          <w:szCs w:val="24"/>
        </w:rPr>
        <w:t>Finansiālās stabilitātes rādītāji liecina, ka airBaltic ir ļoti atkarīga no aizņemtā kapitāla un finansēšanas procesā saskaras ar lielu riska pakāpi, tomēr d</w:t>
      </w:r>
      <w:r w:rsidR="00216363" w:rsidRPr="004A3446">
        <w:rPr>
          <w:rFonts w:ascii="Times New Roman" w:hAnsi="Times New Roman" w:cs="Times New Roman"/>
          <w:sz w:val="24"/>
          <w:szCs w:val="24"/>
        </w:rPr>
        <w:t xml:space="preserve">eklarācijas sagatavošanas laikā nav pieejama </w:t>
      </w:r>
      <w:r w:rsidR="00C45BCD" w:rsidRPr="004A3446">
        <w:rPr>
          <w:rFonts w:ascii="Times New Roman" w:hAnsi="Times New Roman" w:cs="Times New Roman"/>
          <w:sz w:val="24"/>
          <w:szCs w:val="24"/>
        </w:rPr>
        <w:t xml:space="preserve">pamatota </w:t>
      </w:r>
      <w:r w:rsidR="00216363" w:rsidRPr="004A3446">
        <w:rPr>
          <w:rFonts w:ascii="Times New Roman" w:hAnsi="Times New Roman" w:cs="Times New Roman"/>
          <w:sz w:val="24"/>
          <w:szCs w:val="24"/>
        </w:rPr>
        <w:t xml:space="preserve">informācija, kas norādītu uz nepieciešamību </w:t>
      </w:r>
      <w:r w:rsidR="008F4797" w:rsidRPr="004A3446">
        <w:rPr>
          <w:rFonts w:ascii="Times New Roman" w:hAnsi="Times New Roman" w:cs="Times New Roman"/>
          <w:sz w:val="24"/>
          <w:szCs w:val="24"/>
        </w:rPr>
        <w:t xml:space="preserve">tūlītēji </w:t>
      </w:r>
      <w:r w:rsidR="00216363" w:rsidRPr="004A3446">
        <w:rPr>
          <w:rFonts w:ascii="Times New Roman" w:hAnsi="Times New Roman" w:cs="Times New Roman"/>
          <w:sz w:val="24"/>
          <w:szCs w:val="24"/>
        </w:rPr>
        <w:t>sniegt turpmāku valsts atbalstu</w:t>
      </w:r>
      <w:r w:rsidR="00AB27A3" w:rsidRPr="004A3446">
        <w:rPr>
          <w:rFonts w:ascii="Times New Roman" w:hAnsi="Times New Roman" w:cs="Times New Roman"/>
          <w:sz w:val="24"/>
          <w:szCs w:val="24"/>
        </w:rPr>
        <w:t>, lai nodrošinātu airBaltic darbību un maksātspēju. Tomēr, ņemot vērā pastāvošo lielo nenoteiktību saistībā ar ģeopolitiskās situācijas attīstību, nepieciešamīb</w:t>
      </w:r>
      <w:r w:rsidR="00404DE0" w:rsidRPr="004A3446">
        <w:rPr>
          <w:rFonts w:ascii="Times New Roman" w:hAnsi="Times New Roman" w:cs="Times New Roman"/>
          <w:sz w:val="24"/>
          <w:szCs w:val="24"/>
        </w:rPr>
        <w:t>u</w:t>
      </w:r>
      <w:r w:rsidR="00AB27A3" w:rsidRPr="004A3446">
        <w:rPr>
          <w:rFonts w:ascii="Times New Roman" w:hAnsi="Times New Roman" w:cs="Times New Roman"/>
          <w:sz w:val="24"/>
          <w:szCs w:val="24"/>
        </w:rPr>
        <w:t xml:space="preserve"> veikt turpmākus valsts ieguldījumus kapitālsabiedrībā nevar izslēgt.</w:t>
      </w:r>
      <w:r w:rsidR="00404DE0" w:rsidRPr="004A3446">
        <w:rPr>
          <w:rFonts w:ascii="Times New Roman" w:hAnsi="Times New Roman" w:cs="Times New Roman"/>
          <w:sz w:val="24"/>
          <w:szCs w:val="24"/>
        </w:rPr>
        <w:t xml:space="preserve"> </w:t>
      </w:r>
      <w:r w:rsidR="00CC73E3" w:rsidRPr="00302AAA">
        <w:rPr>
          <w:rFonts w:ascii="Times New Roman" w:hAnsi="Times New Roman" w:cs="Times New Roman"/>
          <w:sz w:val="24"/>
          <w:szCs w:val="24"/>
        </w:rPr>
        <w:t>Ja šāds ieguldījums tiek veikts IPO ietvaros un valsts dalība tajā ir zem 50%, tiek uzskatīts, ka ieguldījuma veikšanai ir līdzīga privātā investora motivācijai, proti, ieguldīt līdzekļus un saņemt par tiem līdzvērtīgus finanšu aktīvus, kas nākotnē ar zināmu varbūtību nodrošina riskam atbilstošu atdevi (dividenžu, procentu ieņēmumu vai kapitāla pieauguma veidā) un līdz ar to ieguldījumam nav negatīvas ietekmes uz budžeta bilanci. Līdzīga ietekme būtu arī tad, ja IPO vietā tiktu piesaistīts stratēģiskais investors. Būtisks fiskālais risks veidotos tajā gadījumā, ja 2026. gadā netiktu īstenots ne IPO, ne arī tiktu piesaistīts stratēģiskais investors. Šādā gadījumā potenciālais valsts ieguldījums būtu valsts budžeta izdevumi ar negatīvu ietekmi uz budžeta bilanci. Ņemot vērā šo nenoteiktību, gan par attīstības scenārijiem, gan potenciālo ieguldījuma apjomu, nav lietderīgi šo fiskālo risku kvantificēt un “iesaldēt” valsts budžeta resursus veidojot šim riskam fiskālā nodrošinājuma rezervi. Līdz ar to šis risks tiek klasificēts kā nekvantificējamais risks. Līdz ar to saskaņā ar FDL, ja potenciālas nepieciešamības gadījumā tiktu pieņemts lēmums par valsts ieguldījumu bez IPO īstenošanas, vai stratēģiskā investora piesaistes, būtu jāveic atbilstoši konsolidācijas pasākumi citos izdevumos, lai kompensētu valsts ieguldījuma negatīvo ietekmi uz budžeta bilanci. Ņemot vērā, ka runa ir par fiskāli nozīmīgiem apjomiem, pie apstiprināta budžeta būs ļoti sarežģīti nodrošināt atbilstošus konsolidācijas pasākumus. Līdz ar to, lai mazinātu šo fiskālo risku, ir būtiski 2026. gada pirmajā pusē nodrošināt sekmīgu IPO.</w:t>
      </w:r>
      <w:bookmarkEnd w:id="327"/>
      <w:r w:rsidR="00115CF3" w:rsidRPr="00883EE7">
        <w:rPr>
          <w:rFonts w:ascii="Times New Roman" w:hAnsi="Times New Roman"/>
          <w:b/>
          <w:bCs/>
          <w:sz w:val="24"/>
          <w:szCs w:val="24"/>
          <w:highlight w:val="yellow"/>
        </w:rPr>
        <w:br w:type="page"/>
      </w:r>
    </w:p>
    <w:p w14:paraId="24EE6199" w14:textId="6ECD96B0" w:rsidR="00043C49" w:rsidRPr="00071539" w:rsidRDefault="00043C49" w:rsidP="0058124B">
      <w:pPr>
        <w:pStyle w:val="Heading1"/>
        <w:numPr>
          <w:ilvl w:val="0"/>
          <w:numId w:val="4"/>
        </w:numPr>
        <w:jc w:val="center"/>
        <w:rPr>
          <w:rFonts w:ascii="Times New Roman" w:hAnsi="Times New Roman" w:cs="Times New Roman"/>
          <w:sz w:val="32"/>
          <w:szCs w:val="32"/>
        </w:rPr>
      </w:pPr>
      <w:bookmarkStart w:id="332" w:name="_Toc125382156"/>
      <w:bookmarkStart w:id="333" w:name="_Toc125399748"/>
      <w:bookmarkStart w:id="334" w:name="_Toc125382157"/>
      <w:bookmarkStart w:id="335" w:name="_Toc125399749"/>
      <w:bookmarkStart w:id="336" w:name="_Toc80106163"/>
      <w:bookmarkStart w:id="337" w:name="_Toc205554430"/>
      <w:bookmarkEnd w:id="332"/>
      <w:bookmarkEnd w:id="333"/>
      <w:bookmarkEnd w:id="334"/>
      <w:bookmarkEnd w:id="335"/>
      <w:bookmarkEnd w:id="336"/>
      <w:r w:rsidRPr="00071539">
        <w:rPr>
          <w:rFonts w:ascii="Times New Roman" w:hAnsi="Times New Roman" w:cs="Times New Roman"/>
          <w:sz w:val="32"/>
          <w:szCs w:val="32"/>
        </w:rPr>
        <w:t>Ekonomikas šoku transmisijas kanāli uz valsts fiskālajiem rādītājiem</w:t>
      </w:r>
      <w:r w:rsidR="00E65287" w:rsidRPr="00071539">
        <w:rPr>
          <w:rFonts w:ascii="Times New Roman" w:hAnsi="Times New Roman" w:cs="Times New Roman"/>
          <w:sz w:val="32"/>
          <w:szCs w:val="32"/>
        </w:rPr>
        <w:t xml:space="preserve"> un parāda ilg</w:t>
      </w:r>
      <w:r w:rsidR="00E75767" w:rsidRPr="00071539">
        <w:rPr>
          <w:rFonts w:ascii="Times New Roman" w:hAnsi="Times New Roman" w:cs="Times New Roman"/>
          <w:sz w:val="32"/>
          <w:szCs w:val="32"/>
        </w:rPr>
        <w:t>t</w:t>
      </w:r>
      <w:r w:rsidR="00E65287" w:rsidRPr="00071539">
        <w:rPr>
          <w:rFonts w:ascii="Times New Roman" w:hAnsi="Times New Roman" w:cs="Times New Roman"/>
          <w:sz w:val="32"/>
          <w:szCs w:val="32"/>
        </w:rPr>
        <w:t>spēja</w:t>
      </w:r>
      <w:bookmarkEnd w:id="337"/>
    </w:p>
    <w:p w14:paraId="785FC200" w14:textId="2D63A025" w:rsidR="005F74D8" w:rsidRPr="00391462" w:rsidRDefault="2A25F243" w:rsidP="0081081A">
      <w:pPr>
        <w:spacing w:after="100" w:afterAutospacing="1" w:line="240" w:lineRule="auto"/>
        <w:ind w:firstLine="720"/>
        <w:jc w:val="both"/>
        <w:rPr>
          <w:rFonts w:ascii="Times New Roman" w:hAnsi="Times New Roman" w:cs="Times New Roman"/>
          <w:color w:val="000000"/>
          <w:sz w:val="6"/>
          <w:szCs w:val="6"/>
        </w:rPr>
      </w:pPr>
      <w:r w:rsidRPr="469479B5">
        <w:rPr>
          <w:rFonts w:ascii="Times New Roman" w:hAnsi="Times New Roman" w:cs="Times New Roman"/>
          <w:color w:val="000000" w:themeColor="text1"/>
          <w:sz w:val="24"/>
          <w:szCs w:val="24"/>
        </w:rPr>
        <w:t>Ekonomikas šoku izraisītā negatīvā ietekme uz fiskālajiem rādītājiem, ja tie ir prognozēti un ņemti vērā</w:t>
      </w:r>
      <w:r w:rsidR="576F613F" w:rsidRPr="469479B5">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 xml:space="preserve"> izstrādājot attiecīg</w:t>
      </w:r>
      <w:r w:rsidR="48422663" w:rsidRPr="469479B5">
        <w:rPr>
          <w:rFonts w:ascii="Times New Roman" w:hAnsi="Times New Roman" w:cs="Times New Roman"/>
          <w:color w:val="000000" w:themeColor="text1"/>
          <w:sz w:val="24"/>
          <w:szCs w:val="24"/>
        </w:rPr>
        <w:t xml:space="preserve">o </w:t>
      </w:r>
      <w:r w:rsidR="1DA5311E" w:rsidRPr="469479B5">
        <w:rPr>
          <w:rFonts w:ascii="Times New Roman" w:hAnsi="Times New Roman" w:cs="Times New Roman"/>
          <w:color w:val="000000" w:themeColor="text1"/>
          <w:sz w:val="24"/>
          <w:szCs w:val="24"/>
        </w:rPr>
        <w:t xml:space="preserve">likumprojektu par valsts budžetu kārtējam gadam un vidēja </w:t>
      </w:r>
      <w:r w:rsidR="6EF6F789" w:rsidRPr="469479B5">
        <w:rPr>
          <w:rFonts w:ascii="Times New Roman" w:hAnsi="Times New Roman" w:cs="Times New Roman"/>
          <w:color w:val="000000" w:themeColor="text1"/>
          <w:sz w:val="24"/>
          <w:szCs w:val="24"/>
        </w:rPr>
        <w:t>termiņa budžeta ietvaru</w:t>
      </w:r>
      <w:r w:rsidRPr="469479B5">
        <w:rPr>
          <w:rFonts w:ascii="Times New Roman" w:hAnsi="Times New Roman" w:cs="Times New Roman"/>
          <w:color w:val="000000" w:themeColor="text1"/>
          <w:sz w:val="24"/>
          <w:szCs w:val="24"/>
        </w:rPr>
        <w:t>, nav fiskālais risks. Fiskālais risks nav arī ekonomikas šoka izraisīta negatīva ietekme uz fiskālajiem rādītājiem, ja tā nav progno</w:t>
      </w:r>
      <w:r w:rsidR="2031D96B" w:rsidRPr="469479B5">
        <w:rPr>
          <w:rFonts w:ascii="Times New Roman" w:hAnsi="Times New Roman" w:cs="Times New Roman"/>
          <w:color w:val="000000" w:themeColor="text1"/>
          <w:sz w:val="24"/>
          <w:szCs w:val="24"/>
        </w:rPr>
        <w:t>zēta, bet ir aktivizēta FDL 12.</w:t>
      </w:r>
      <w:r w:rsidR="54E97E4A"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pantā</w:t>
      </w:r>
      <w:r w:rsidR="40F126CE" w:rsidRPr="469479B5">
        <w:rPr>
          <w:rFonts w:ascii="Times New Roman" w:hAnsi="Times New Roman" w:cs="Times New Roman"/>
          <w:color w:val="000000" w:themeColor="text1"/>
          <w:sz w:val="24"/>
          <w:szCs w:val="24"/>
        </w:rPr>
        <w:t xml:space="preserve"> noteiktā</w:t>
      </w:r>
      <w:r w:rsidRPr="469479B5">
        <w:rPr>
          <w:rFonts w:ascii="Times New Roman" w:hAnsi="Times New Roman" w:cs="Times New Roman"/>
          <w:color w:val="000000" w:themeColor="text1"/>
          <w:sz w:val="24"/>
          <w:szCs w:val="24"/>
        </w:rPr>
        <w:t xml:space="preserve"> izņēmuma klauzula</w:t>
      </w:r>
      <w:r w:rsidR="40F126CE"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(šajā gadījumā fiskālo rādītāju noteiktās vērtības nav saistošas). Tomēr ekonomikas šoki izraisa būtisku negatīvu ietekmi uz valsts fiskālajiem rādītājiem un optimālai fiskālai politikai būtu šī ietekme, kur iespējams, jāmazina. Valsts publisko finanšu sistēma būtu jāveido pēc iespējas noturīgāk</w:t>
      </w:r>
      <w:r w:rsidR="40F126CE" w:rsidRPr="469479B5">
        <w:rPr>
          <w:rFonts w:ascii="Times New Roman" w:hAnsi="Times New Roman" w:cs="Times New Roman"/>
          <w:color w:val="000000" w:themeColor="text1"/>
          <w:sz w:val="24"/>
          <w:szCs w:val="24"/>
        </w:rPr>
        <w:t>u</w:t>
      </w:r>
      <w:r w:rsidRPr="469479B5">
        <w:rPr>
          <w:rFonts w:ascii="Times New Roman" w:hAnsi="Times New Roman" w:cs="Times New Roman"/>
          <w:color w:val="000000" w:themeColor="text1"/>
          <w:sz w:val="24"/>
          <w:szCs w:val="24"/>
        </w:rPr>
        <w:t xml:space="preserve"> pret ekonomikas šokiem. Tāpēc, lai arī šie aspekti nav tieši saistīti ar fiskālajiem riskiem tajā nozīmē, kā tas noteikts valsts fiskālās disciplīnas tiesiskajā regulējumā, deklarācijā </w:t>
      </w:r>
      <w:r w:rsidR="12CAD5D1" w:rsidRPr="469479B5">
        <w:rPr>
          <w:rFonts w:ascii="Times New Roman" w:hAnsi="Times New Roman" w:cs="Times New Roman"/>
          <w:color w:val="000000" w:themeColor="text1"/>
          <w:sz w:val="24"/>
          <w:szCs w:val="24"/>
        </w:rPr>
        <w:t xml:space="preserve">tiek </w:t>
      </w:r>
      <w:r w:rsidRPr="469479B5">
        <w:rPr>
          <w:rFonts w:ascii="Times New Roman" w:hAnsi="Times New Roman" w:cs="Times New Roman"/>
          <w:color w:val="000000" w:themeColor="text1"/>
          <w:sz w:val="24"/>
          <w:szCs w:val="24"/>
        </w:rPr>
        <w:t>iekļauta arī informācija par to, kā ekonomikas šoki var ietekmēt fiskālos rādītājus (transmisijas kanāli). Šajā deklarācijā ir iekļauta informācija par valsts ekspozīciju uz komercsabiedrībām, garantiju ekspozīciju un ekonomikas šoku ietekmi uz valsts parādu.</w:t>
      </w:r>
      <w:r w:rsidR="138F451C" w:rsidRPr="469479B5">
        <w:rPr>
          <w:rFonts w:ascii="Times New Roman" w:hAnsi="Times New Roman" w:cs="Times New Roman"/>
          <w:color w:val="000000" w:themeColor="text1"/>
          <w:sz w:val="24"/>
          <w:szCs w:val="24"/>
        </w:rPr>
        <w:t xml:space="preserve"> Atsevišķi tiek skatīta ar</w:t>
      </w:r>
      <w:r w:rsidR="0E0243F9" w:rsidRPr="469479B5">
        <w:rPr>
          <w:rFonts w:ascii="Times New Roman" w:hAnsi="Times New Roman" w:cs="Times New Roman"/>
          <w:color w:val="000000" w:themeColor="text1"/>
          <w:sz w:val="24"/>
          <w:szCs w:val="24"/>
        </w:rPr>
        <w:t>ī</w:t>
      </w:r>
      <w:r w:rsidR="138F451C" w:rsidRPr="469479B5">
        <w:rPr>
          <w:rFonts w:ascii="Times New Roman" w:hAnsi="Times New Roman" w:cs="Times New Roman"/>
          <w:color w:val="000000" w:themeColor="text1"/>
          <w:sz w:val="24"/>
          <w:szCs w:val="24"/>
        </w:rPr>
        <w:t xml:space="preserve"> ilgtermiņa parāda ilgtspēja, kas nav fiskālais risks š</w:t>
      </w:r>
      <w:r w:rsidR="61DBD4EF" w:rsidRPr="469479B5">
        <w:rPr>
          <w:rFonts w:ascii="Times New Roman" w:hAnsi="Times New Roman" w:cs="Times New Roman"/>
          <w:color w:val="000000" w:themeColor="text1"/>
          <w:sz w:val="24"/>
          <w:szCs w:val="24"/>
        </w:rPr>
        <w:t>ī</w:t>
      </w:r>
      <w:r w:rsidR="138F451C" w:rsidRPr="469479B5">
        <w:rPr>
          <w:rFonts w:ascii="Times New Roman" w:hAnsi="Times New Roman" w:cs="Times New Roman"/>
          <w:color w:val="000000" w:themeColor="text1"/>
          <w:sz w:val="24"/>
          <w:szCs w:val="24"/>
        </w:rPr>
        <w:t>s deklarācijas izpratnē, taču parāda ilgtspēja</w:t>
      </w:r>
      <w:r w:rsidR="0E0243F9" w:rsidRPr="469479B5">
        <w:rPr>
          <w:rFonts w:ascii="Times New Roman" w:hAnsi="Times New Roman" w:cs="Times New Roman"/>
          <w:color w:val="000000" w:themeColor="text1"/>
          <w:sz w:val="24"/>
          <w:szCs w:val="24"/>
        </w:rPr>
        <w:t>i</w:t>
      </w:r>
      <w:r w:rsidR="138F451C" w:rsidRPr="469479B5">
        <w:rPr>
          <w:rFonts w:ascii="Times New Roman" w:hAnsi="Times New Roman" w:cs="Times New Roman"/>
          <w:color w:val="000000" w:themeColor="text1"/>
          <w:sz w:val="24"/>
          <w:szCs w:val="24"/>
        </w:rPr>
        <w:t xml:space="preserve"> ir būtiska ietekme uz publisko finanšu stabilitāti.</w:t>
      </w:r>
    </w:p>
    <w:p w14:paraId="025E9DB5" w14:textId="7F83DD7A" w:rsidR="00043C49" w:rsidRPr="00945DC6" w:rsidRDefault="00043C49" w:rsidP="00497710">
      <w:pPr>
        <w:pStyle w:val="Heading2"/>
        <w:numPr>
          <w:ilvl w:val="1"/>
          <w:numId w:val="4"/>
        </w:numPr>
        <w:spacing w:before="120" w:after="120"/>
        <w:ind w:left="425" w:hanging="357"/>
        <w:rPr>
          <w:rFonts w:cs="Times New Roman"/>
          <w:szCs w:val="24"/>
        </w:rPr>
      </w:pPr>
      <w:bookmarkStart w:id="338" w:name="_Toc121870901"/>
      <w:bookmarkStart w:id="339" w:name="_Toc125316345"/>
      <w:bookmarkStart w:id="340" w:name="_Toc125316706"/>
      <w:bookmarkStart w:id="341" w:name="_Toc125362768"/>
      <w:bookmarkStart w:id="342" w:name="_Toc125382159"/>
      <w:bookmarkStart w:id="343" w:name="_Toc125399751"/>
      <w:bookmarkStart w:id="344" w:name="_Toc205554431"/>
      <w:bookmarkEnd w:id="338"/>
      <w:bookmarkEnd w:id="339"/>
      <w:bookmarkEnd w:id="340"/>
      <w:bookmarkEnd w:id="341"/>
      <w:bookmarkEnd w:id="342"/>
      <w:bookmarkEnd w:id="343"/>
      <w:r w:rsidRPr="00945DC6">
        <w:rPr>
          <w:rFonts w:cs="Times New Roman"/>
          <w:szCs w:val="24"/>
        </w:rPr>
        <w:t>Valsts kapitālsabiedrības, kuras nav pieklasificētas S.13 sektoram</w:t>
      </w:r>
      <w:bookmarkEnd w:id="344"/>
    </w:p>
    <w:p w14:paraId="5892ABAC" w14:textId="6252F9CE" w:rsidR="00614623" w:rsidRDefault="54635ED7" w:rsidP="469479B5">
      <w:pPr>
        <w:spacing w:after="0" w:line="240" w:lineRule="auto"/>
        <w:ind w:firstLine="720"/>
        <w:jc w:val="both"/>
        <w:rPr>
          <w:rFonts w:ascii="Times New Roman" w:hAnsi="Times New Roman" w:cs="Times New Roman"/>
          <w:color w:val="000000" w:themeColor="text1"/>
          <w:sz w:val="24"/>
          <w:szCs w:val="24"/>
        </w:rPr>
      </w:pPr>
      <w:r w:rsidRPr="469479B5">
        <w:rPr>
          <w:rFonts w:ascii="Times New Roman" w:hAnsi="Times New Roman" w:cs="Times New Roman"/>
          <w:color w:val="000000" w:themeColor="text1"/>
          <w:sz w:val="24"/>
          <w:szCs w:val="24"/>
        </w:rPr>
        <w:t>Covid–19 pandēmija un Krievijas uzsāktā kara pret Ukrainu sekas atkārtoti iezīmēja tendenci, kas netika novērota gandrīz dekādi kopš globālās finanšu un ekonomiskās krīzes – līdztekus atbalsta pasākumiem finanšu instrumentu formā, būtisks atbalsts publiskā sektora uzņēmumiem tika sniegts tās re</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 xml:space="preserve">kapitalizējot vai sniedzot budžeta dotācijas, lai sekmētu biznesa saglabāšanu, likviditātes nodrošināšanu un ļautu kompānijām turpināt saistību izpildi pret kreditoriem. </w:t>
      </w:r>
      <w:r w:rsidR="00CC73E3" w:rsidRPr="469479B5">
        <w:rPr>
          <w:rFonts w:ascii="Times New Roman" w:hAnsi="Times New Roman" w:cs="Times New Roman"/>
          <w:color w:val="000000" w:themeColor="text1"/>
          <w:sz w:val="24"/>
          <w:szCs w:val="24"/>
        </w:rPr>
        <w:t>Valsts atbalstu periodā no 202</w:t>
      </w:r>
      <w:r w:rsidR="00CC73E3">
        <w:rPr>
          <w:rFonts w:ascii="Times New Roman" w:hAnsi="Times New Roman" w:cs="Times New Roman"/>
          <w:color w:val="000000" w:themeColor="text1"/>
          <w:sz w:val="24"/>
          <w:szCs w:val="24"/>
        </w:rPr>
        <w:t>0</w:t>
      </w:r>
      <w:r w:rsidR="00CC73E3" w:rsidRPr="469479B5">
        <w:rPr>
          <w:rFonts w:ascii="Times New Roman" w:hAnsi="Times New Roman" w:cs="Times New Roman"/>
          <w:color w:val="000000" w:themeColor="text1"/>
          <w:sz w:val="24"/>
          <w:szCs w:val="24"/>
        </w:rPr>
        <w:t>. līdz 202</w:t>
      </w:r>
      <w:r w:rsidR="00C3009D">
        <w:rPr>
          <w:rFonts w:ascii="Times New Roman" w:hAnsi="Times New Roman" w:cs="Times New Roman"/>
          <w:color w:val="000000" w:themeColor="text1"/>
          <w:sz w:val="24"/>
          <w:szCs w:val="24"/>
        </w:rPr>
        <w:t>2</w:t>
      </w:r>
      <w:r w:rsidR="00CC73E3" w:rsidRPr="469479B5">
        <w:rPr>
          <w:rFonts w:ascii="Times New Roman" w:hAnsi="Times New Roman" w:cs="Times New Roman"/>
          <w:color w:val="000000" w:themeColor="text1"/>
          <w:sz w:val="24"/>
          <w:szCs w:val="24"/>
        </w:rPr>
        <w:t>.</w:t>
      </w:r>
      <w:r w:rsidR="00CC73E3" w:rsidRPr="469479B5">
        <w:rPr>
          <w:rFonts w:ascii="Times New Roman" w:hAnsi="Times New Roman" w:cs="Times New Roman"/>
          <w:b/>
          <w:bCs/>
          <w:sz w:val="24"/>
          <w:szCs w:val="24"/>
        </w:rPr>
        <w:t xml:space="preserve"> </w:t>
      </w:r>
      <w:r w:rsidR="00CC73E3" w:rsidRPr="469479B5">
        <w:rPr>
          <w:rFonts w:ascii="Times New Roman" w:hAnsi="Times New Roman" w:cs="Times New Roman"/>
          <w:color w:val="000000" w:themeColor="text1"/>
          <w:sz w:val="24"/>
          <w:szCs w:val="24"/>
        </w:rPr>
        <w:t xml:space="preserve">gadam saņēma </w:t>
      </w:r>
      <w:r w:rsidR="00CC73E3" w:rsidRPr="469479B5">
        <w:rPr>
          <w:rFonts w:ascii="Times New Roman" w:hAnsi="Times New Roman"/>
          <w:sz w:val="24"/>
          <w:szCs w:val="24"/>
        </w:rPr>
        <w:t>airBaltic,</w:t>
      </w:r>
      <w:r w:rsidR="00CC73E3" w:rsidRPr="469479B5">
        <w:rPr>
          <w:rFonts w:ascii="Times New Roman" w:hAnsi="Times New Roman" w:cs="Times New Roman"/>
          <w:color w:val="000000" w:themeColor="text1"/>
          <w:sz w:val="24"/>
          <w:szCs w:val="24"/>
        </w:rPr>
        <w:t xml:space="preserve"> VAS “Latvijas gaisa satiksme”</w:t>
      </w:r>
      <w:r w:rsidR="00CC73E3">
        <w:rPr>
          <w:rFonts w:ascii="Times New Roman" w:hAnsi="Times New Roman" w:cs="Times New Roman"/>
          <w:color w:val="000000" w:themeColor="text1"/>
          <w:sz w:val="24"/>
          <w:szCs w:val="24"/>
        </w:rPr>
        <w:t xml:space="preserve"> un</w:t>
      </w:r>
      <w:r w:rsidR="00CC73E3" w:rsidRPr="469479B5">
        <w:rPr>
          <w:rFonts w:ascii="Times New Roman" w:hAnsi="Times New Roman" w:cs="Times New Roman"/>
          <w:color w:val="000000" w:themeColor="text1"/>
          <w:sz w:val="24"/>
          <w:szCs w:val="24"/>
        </w:rPr>
        <w:t xml:space="preserve"> VAS “Starptautiskā lidosta </w:t>
      </w:r>
      <w:r w:rsidR="00CC73E3">
        <w:rPr>
          <w:rFonts w:ascii="Times New Roman" w:hAnsi="Times New Roman" w:cs="Times New Roman"/>
          <w:color w:val="000000" w:themeColor="text1"/>
          <w:sz w:val="24"/>
          <w:szCs w:val="24"/>
        </w:rPr>
        <w:t>“</w:t>
      </w:r>
      <w:r w:rsidR="00CC73E3" w:rsidRPr="469479B5">
        <w:rPr>
          <w:rFonts w:ascii="Times New Roman" w:hAnsi="Times New Roman" w:cs="Times New Roman"/>
          <w:color w:val="000000" w:themeColor="text1"/>
          <w:sz w:val="24"/>
          <w:szCs w:val="24"/>
        </w:rPr>
        <w:t>Rīga””</w:t>
      </w:r>
      <w:r w:rsidR="00CC73E3">
        <w:rPr>
          <w:rFonts w:ascii="Times New Roman" w:hAnsi="Times New Roman" w:cs="Times New Roman"/>
          <w:color w:val="000000" w:themeColor="text1"/>
          <w:sz w:val="24"/>
          <w:szCs w:val="24"/>
        </w:rPr>
        <w:t>.</w:t>
      </w:r>
    </w:p>
    <w:p w14:paraId="6067547A" w14:textId="0CC298E8" w:rsidR="00C66C00" w:rsidRPr="00883EE7" w:rsidRDefault="00614623" w:rsidP="00614623">
      <w:pPr>
        <w:spacing w:after="0" w:line="240" w:lineRule="auto"/>
        <w:ind w:firstLine="720"/>
        <w:jc w:val="both"/>
        <w:rPr>
          <w:rFonts w:ascii="Times New Roman" w:hAnsi="Times New Roman" w:cs="Times New Roman"/>
          <w:color w:val="000000"/>
          <w:sz w:val="24"/>
          <w:szCs w:val="24"/>
          <w:highlight w:val="yellow"/>
        </w:rPr>
      </w:pPr>
      <w:r w:rsidRPr="469479B5">
        <w:rPr>
          <w:rFonts w:ascii="Times New Roman" w:hAnsi="Times New Roman" w:cs="Times New Roman"/>
          <w:color w:val="000000" w:themeColor="text1"/>
          <w:sz w:val="24"/>
          <w:szCs w:val="24"/>
        </w:rPr>
        <w:t>2020.</w:t>
      </w:r>
      <w:r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gada 19.</w:t>
      </w:r>
      <w:r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 xml:space="preserve">martā </w:t>
      </w:r>
      <w:r>
        <w:rPr>
          <w:rFonts w:ascii="Times New Roman" w:hAnsi="Times New Roman" w:cs="Times New Roman"/>
          <w:color w:val="000000" w:themeColor="text1"/>
          <w:sz w:val="24"/>
          <w:szCs w:val="24"/>
        </w:rPr>
        <w:t>tika apstiprināts EK</w:t>
      </w:r>
      <w:r w:rsidRPr="469479B5">
        <w:rPr>
          <w:rFonts w:ascii="Times New Roman" w:hAnsi="Times New Roman" w:cs="Times New Roman"/>
          <w:color w:val="000000" w:themeColor="text1"/>
          <w:sz w:val="24"/>
          <w:szCs w:val="24"/>
        </w:rPr>
        <w:t xml:space="preserve"> paziņojum</w:t>
      </w:r>
      <w:r>
        <w:rPr>
          <w:rFonts w:ascii="Times New Roman" w:hAnsi="Times New Roman" w:cs="Times New Roman"/>
          <w:color w:val="000000" w:themeColor="text1"/>
          <w:sz w:val="24"/>
          <w:szCs w:val="24"/>
        </w:rPr>
        <w:t>s</w:t>
      </w:r>
      <w:r w:rsidRPr="469479B5">
        <w:rPr>
          <w:rFonts w:ascii="Times New Roman" w:hAnsi="Times New Roman" w:cs="Times New Roman"/>
          <w:color w:val="000000" w:themeColor="text1"/>
          <w:sz w:val="24"/>
          <w:szCs w:val="24"/>
        </w:rPr>
        <w:t xml:space="preserve"> “Pagaidu regulējums valsts atbalsta pasākumiem, ar ko atbalsta ekonomiku pašreizējā Covid–19 uzliesmojuma situācijā”, kas vēlāk tika vairākas reizes grozīts</w:t>
      </w:r>
      <w:r>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2020. gada 25. martā MK atbalstīja </w:t>
      </w:r>
      <w:r w:rsidRPr="001D0271">
        <w:rPr>
          <w:rFonts w:ascii="Times New Roman" w:hAnsi="Times New Roman" w:cs="Times New Roman"/>
          <w:color w:val="000000" w:themeColor="text1"/>
          <w:sz w:val="24"/>
          <w:szCs w:val="24"/>
        </w:rPr>
        <w:t>VAS “Latvijas gaisa satiksme”</w:t>
      </w:r>
      <w:r>
        <w:rPr>
          <w:rFonts w:ascii="Times New Roman" w:hAnsi="Times New Roman" w:cs="Times New Roman"/>
          <w:color w:val="000000" w:themeColor="text1"/>
          <w:sz w:val="24"/>
          <w:szCs w:val="24"/>
        </w:rPr>
        <w:t xml:space="preserve"> </w:t>
      </w:r>
      <w:r w:rsidRPr="009C52FB">
        <w:rPr>
          <w:rFonts w:ascii="Times New Roman" w:hAnsi="Times New Roman" w:cs="Times New Roman"/>
          <w:color w:val="000000" w:themeColor="text1"/>
          <w:sz w:val="24"/>
          <w:szCs w:val="24"/>
        </w:rPr>
        <w:t xml:space="preserve">pamatkapitāla palielināšanu, ieguldot tajā finanšu līdzekļus 6 </w:t>
      </w:r>
      <w:r>
        <w:rPr>
          <w:rFonts w:ascii="Times New Roman" w:hAnsi="Times New Roman" w:cs="Times New Roman"/>
          <w:color w:val="000000" w:themeColor="text1"/>
          <w:sz w:val="24"/>
          <w:szCs w:val="24"/>
        </w:rPr>
        <w:t>milj.</w:t>
      </w:r>
      <w:r w:rsidRPr="009C52FB">
        <w:rPr>
          <w:rFonts w:ascii="Times New Roman" w:hAnsi="Times New Roman" w:cs="Times New Roman"/>
          <w:color w:val="000000" w:themeColor="text1"/>
          <w:sz w:val="24"/>
          <w:szCs w:val="24"/>
        </w:rPr>
        <w:t xml:space="preserve"> </w:t>
      </w:r>
      <w:r w:rsidRPr="00D042D6">
        <w:rPr>
          <w:rFonts w:ascii="Times New Roman" w:hAnsi="Times New Roman" w:cs="Times New Roman"/>
          <w:i/>
          <w:iCs/>
          <w:color w:val="000000" w:themeColor="text1"/>
          <w:sz w:val="24"/>
          <w:szCs w:val="24"/>
        </w:rPr>
        <w:t>euro</w:t>
      </w:r>
      <w:r w:rsidRPr="009C52FB">
        <w:rPr>
          <w:rFonts w:ascii="Times New Roman" w:hAnsi="Times New Roman" w:cs="Times New Roman"/>
          <w:color w:val="000000" w:themeColor="text1"/>
          <w:sz w:val="24"/>
          <w:szCs w:val="24"/>
        </w:rPr>
        <w:t xml:space="preserve"> apmērā, lai nodrošinātu ekonomiskās krīzes pārvarēšanu un ekonomiskās situācijas stabilizēšanu nozarē</w:t>
      </w:r>
      <w:r w:rsidR="006F38A4">
        <w:rPr>
          <w:rStyle w:val="FootnoteReference"/>
          <w:rFonts w:ascii="Times New Roman" w:hAnsi="Times New Roman" w:cs="Times New Roman"/>
          <w:color w:val="000000" w:themeColor="text1"/>
          <w:sz w:val="24"/>
          <w:szCs w:val="24"/>
        </w:rPr>
        <w:footnoteReference w:id="74"/>
      </w:r>
      <w:r w:rsidRPr="009C52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Savukārt 2021. gadā i</w:t>
      </w:r>
      <w:r w:rsidRPr="469479B5">
        <w:rPr>
          <w:rFonts w:ascii="Times New Roman" w:hAnsi="Times New Roman" w:cs="Times New Roman"/>
          <w:color w:val="000000" w:themeColor="text1"/>
          <w:sz w:val="24"/>
          <w:szCs w:val="24"/>
        </w:rPr>
        <w:t>zņēmuma gadījuma atbalstu Covid–19 pandēmijas radīto zaudējumu kompensācijai un ekonomiskās krīzes pārvarēšanai</w:t>
      </w:r>
      <w:r>
        <w:rPr>
          <w:rFonts w:ascii="Times New Roman" w:hAnsi="Times New Roman" w:cs="Times New Roman"/>
          <w:color w:val="000000" w:themeColor="text1"/>
          <w:sz w:val="24"/>
          <w:szCs w:val="24"/>
        </w:rPr>
        <w:t xml:space="preserve"> 35,2 milj. </w:t>
      </w:r>
      <w:r w:rsidRPr="009F4892">
        <w:rPr>
          <w:rFonts w:ascii="Times New Roman" w:hAnsi="Times New Roman" w:cs="Times New Roman"/>
          <w:i/>
          <w:iCs/>
          <w:color w:val="000000" w:themeColor="text1"/>
          <w:sz w:val="24"/>
          <w:szCs w:val="24"/>
        </w:rPr>
        <w:t>euro</w:t>
      </w:r>
      <w:r>
        <w:rPr>
          <w:rFonts w:ascii="Times New Roman" w:hAnsi="Times New Roman" w:cs="Times New Roman"/>
          <w:color w:val="000000" w:themeColor="text1"/>
          <w:sz w:val="24"/>
          <w:szCs w:val="24"/>
        </w:rPr>
        <w:t xml:space="preserve"> apmērā</w:t>
      </w:r>
      <w:r w:rsidRPr="006E467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saņēma </w:t>
      </w:r>
      <w:r w:rsidRPr="006E4672">
        <w:rPr>
          <w:rFonts w:ascii="Times New Roman" w:hAnsi="Times New Roman" w:cs="Times New Roman"/>
          <w:color w:val="000000" w:themeColor="text1"/>
          <w:sz w:val="24"/>
          <w:szCs w:val="24"/>
        </w:rPr>
        <w:t>VAS “Starptautiskā lidosta “Rīga””</w:t>
      </w:r>
      <w:r>
        <w:rPr>
          <w:rFonts w:ascii="Times New Roman" w:hAnsi="Times New Roman" w:cs="Times New Roman"/>
          <w:color w:val="000000" w:themeColor="text1"/>
          <w:sz w:val="24"/>
          <w:szCs w:val="24"/>
        </w:rPr>
        <w:t xml:space="preserve"> un p</w:t>
      </w:r>
      <w:r w:rsidRPr="00522078">
        <w:rPr>
          <w:rFonts w:ascii="Times New Roman" w:hAnsi="Times New Roman" w:cs="Times New Roman"/>
          <w:color w:val="000000" w:themeColor="text1"/>
          <w:sz w:val="24"/>
          <w:szCs w:val="24"/>
        </w:rPr>
        <w:t>ar valsts atbalsta instrumenta pabeigšanu</w:t>
      </w:r>
      <w:r>
        <w:rPr>
          <w:rFonts w:ascii="Times New Roman" w:hAnsi="Times New Roman" w:cs="Times New Roman"/>
          <w:color w:val="000000" w:themeColor="text1"/>
          <w:sz w:val="24"/>
          <w:szCs w:val="24"/>
        </w:rPr>
        <w:t xml:space="preserve"> </w:t>
      </w:r>
      <w:r w:rsidRPr="00A121A3">
        <w:rPr>
          <w:rFonts w:ascii="Times New Roman" w:hAnsi="Times New Roman" w:cs="Times New Roman"/>
          <w:color w:val="000000" w:themeColor="text1"/>
          <w:sz w:val="24"/>
          <w:szCs w:val="24"/>
        </w:rPr>
        <w:t>“VAS “Starptautiskā lidosta “Rīga””</w:t>
      </w:r>
      <w:r w:rsidRPr="00522078">
        <w:rPr>
          <w:rFonts w:ascii="Times New Roman" w:hAnsi="Times New Roman" w:cs="Times New Roman"/>
          <w:color w:val="000000" w:themeColor="text1"/>
          <w:sz w:val="24"/>
          <w:szCs w:val="24"/>
        </w:rPr>
        <w:t xml:space="preserve"> uzskatāms 2023. gada 31. decembris</w:t>
      </w:r>
      <w:r w:rsidR="006D3DED">
        <w:rPr>
          <w:rFonts w:ascii="Times New Roman" w:hAnsi="Times New Roman" w:cs="Times New Roman"/>
          <w:color w:val="000000" w:themeColor="text1"/>
          <w:sz w:val="24"/>
          <w:szCs w:val="24"/>
        </w:rPr>
        <w:t xml:space="preserve">, </w:t>
      </w:r>
      <w:r w:rsidR="006D3DED" w:rsidRPr="006D3DED">
        <w:rPr>
          <w:rFonts w:ascii="Times New Roman" w:hAnsi="Times New Roman" w:cs="Times New Roman"/>
          <w:color w:val="000000" w:themeColor="text1"/>
          <w:sz w:val="24"/>
          <w:szCs w:val="24"/>
        </w:rPr>
        <w:t>jo neatkarīgā novērtējumā tika secināts, ka divus gadus pēc valsts atbalsta instrumenta saņemšanas tās akciju (pašu kapitāla) tirgus vērtība ir pieaugusi, salīdzinot ar to vērtību valsts atbalsta saņemšanas brīdī</w:t>
      </w:r>
      <w:r w:rsidR="001F33C9">
        <w:rPr>
          <w:rStyle w:val="FootnoteReference"/>
          <w:rFonts w:ascii="Times New Roman" w:hAnsi="Times New Roman" w:cs="Times New Roman"/>
          <w:color w:val="000000" w:themeColor="text1"/>
          <w:sz w:val="24"/>
          <w:szCs w:val="24"/>
        </w:rPr>
        <w:footnoteReference w:id="75"/>
      </w:r>
      <w:r w:rsidR="006D3DED">
        <w:rPr>
          <w:rFonts w:ascii="Times New Roman" w:hAnsi="Times New Roman" w:cs="Times New Roman"/>
          <w:color w:val="000000" w:themeColor="text1"/>
          <w:sz w:val="24"/>
          <w:szCs w:val="24"/>
        </w:rPr>
        <w:t>.</w:t>
      </w:r>
    </w:p>
    <w:p w14:paraId="7E050D11" w14:textId="72597604" w:rsidR="003C7D88" w:rsidRDefault="003C7D88" w:rsidP="00043C49">
      <w:pPr>
        <w:spacing w:after="0" w:line="240" w:lineRule="auto"/>
        <w:jc w:val="both"/>
        <w:rPr>
          <w:rFonts w:ascii="Times New Roman" w:hAnsi="Times New Roman" w:cs="Times New Roman"/>
          <w:color w:val="000000"/>
          <w:sz w:val="24"/>
          <w:szCs w:val="24"/>
          <w:highlight w:val="yellow"/>
        </w:rPr>
      </w:pPr>
    </w:p>
    <w:p w14:paraId="6220C88B" w14:textId="54E03922" w:rsidR="00CC73E3" w:rsidRDefault="00CC73E3" w:rsidP="00ED1EE3">
      <w:pPr>
        <w:spacing w:after="120" w:line="240" w:lineRule="auto"/>
        <w:jc w:val="right"/>
        <w:rPr>
          <w:rFonts w:ascii="Times New Roman" w:hAnsi="Times New Roman" w:cs="Times New Roman"/>
          <w:color w:val="000000"/>
          <w:sz w:val="24"/>
          <w:szCs w:val="24"/>
          <w:highlight w:val="yellow"/>
        </w:rPr>
      </w:pPr>
      <w:r w:rsidRPr="469479B5">
        <w:rPr>
          <w:rFonts w:ascii="Times New Roman" w:hAnsi="Times New Roman" w:cs="Times New Roman"/>
          <w:b/>
          <w:bCs/>
          <w:color w:val="000000" w:themeColor="text1"/>
          <w:sz w:val="24"/>
          <w:szCs w:val="24"/>
        </w:rPr>
        <w:t xml:space="preserve">Tabula Nr.4.1.1 Valsts sniegtais atbalsts publiskā sektora komercsabiedrībām 2020. </w:t>
      </w:r>
      <w:r w:rsidRPr="469479B5">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 </w:t>
      </w:r>
      <w:r w:rsidRPr="469479B5">
        <w:rPr>
          <w:rFonts w:ascii="Times New Roman" w:hAnsi="Times New Roman" w:cs="Times New Roman"/>
          <w:b/>
          <w:bCs/>
          <w:color w:val="000000" w:themeColor="text1"/>
          <w:sz w:val="24"/>
          <w:szCs w:val="24"/>
        </w:rPr>
        <w:t>202</w:t>
      </w:r>
      <w:r w:rsidR="00C3009D">
        <w:rPr>
          <w:rFonts w:ascii="Times New Roman" w:hAnsi="Times New Roman" w:cs="Times New Roman"/>
          <w:b/>
          <w:bCs/>
          <w:color w:val="000000" w:themeColor="text1"/>
          <w:sz w:val="24"/>
          <w:szCs w:val="24"/>
        </w:rPr>
        <w:t>2</w:t>
      </w:r>
      <w:r w:rsidRPr="469479B5">
        <w:rPr>
          <w:rFonts w:ascii="Times New Roman" w:hAnsi="Times New Roman" w:cs="Times New Roman"/>
          <w:b/>
          <w:bCs/>
          <w:color w:val="000000" w:themeColor="text1"/>
          <w:sz w:val="24"/>
          <w:szCs w:val="24"/>
        </w:rPr>
        <w:t xml:space="preserve">. gadā, milj. </w:t>
      </w:r>
      <w:r w:rsidRPr="469479B5">
        <w:rPr>
          <w:rFonts w:ascii="Times New Roman" w:hAnsi="Times New Roman" w:cs="Times New Roman"/>
          <w:b/>
          <w:bCs/>
          <w:i/>
          <w:iCs/>
          <w:color w:val="000000" w:themeColor="text1"/>
          <w:sz w:val="24"/>
          <w:szCs w:val="24"/>
        </w:rPr>
        <w:t>euro</w:t>
      </w:r>
      <w:r w:rsidRPr="469479B5">
        <w:rPr>
          <w:rFonts w:ascii="Times New Roman" w:hAnsi="Times New Roman" w:cs="Times New Roman"/>
          <w:b/>
          <w:bCs/>
          <w:color w:val="000000" w:themeColor="text1"/>
          <w:sz w:val="24"/>
          <w:szCs w:val="24"/>
        </w:rPr>
        <w:t xml:space="preserve"> (ieguldījums kapitālā/dotācija)</w:t>
      </w:r>
    </w:p>
    <w:tbl>
      <w:tblPr>
        <w:tblStyle w:val="TableGrid"/>
        <w:tblW w:w="3868"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73"/>
        <w:gridCol w:w="1132"/>
        <w:gridCol w:w="1132"/>
        <w:gridCol w:w="1130"/>
      </w:tblGrid>
      <w:tr w:rsidR="00C3009D" w:rsidRPr="00EA47C5" w14:paraId="6A064D71" w14:textId="77777777" w:rsidTr="00C3009D">
        <w:trPr>
          <w:jc w:val="center"/>
        </w:trPr>
        <w:tc>
          <w:tcPr>
            <w:tcW w:w="2787" w:type="pct"/>
          </w:tcPr>
          <w:p w14:paraId="1C97FA1E" w14:textId="77777777" w:rsidR="00C3009D" w:rsidRPr="003341F4" w:rsidRDefault="00C3009D" w:rsidP="00036AC3">
            <w:pPr>
              <w:jc w:val="both"/>
              <w:rPr>
                <w:rFonts w:eastAsia="Times New Roman" w:cs="Times New Roman"/>
                <w:color w:val="000000"/>
                <w:sz w:val="20"/>
                <w:szCs w:val="20"/>
              </w:rPr>
            </w:pPr>
          </w:p>
        </w:tc>
        <w:tc>
          <w:tcPr>
            <w:tcW w:w="738" w:type="pct"/>
          </w:tcPr>
          <w:p w14:paraId="0D630640" w14:textId="77777777" w:rsidR="00C3009D" w:rsidRPr="003341F4" w:rsidRDefault="00C3009D" w:rsidP="00036AC3">
            <w:pPr>
              <w:jc w:val="center"/>
              <w:rPr>
                <w:rFonts w:eastAsia="Times New Roman" w:cs="Times New Roman"/>
                <w:b/>
                <w:bCs/>
                <w:color w:val="000000"/>
                <w:sz w:val="20"/>
                <w:szCs w:val="20"/>
              </w:rPr>
            </w:pPr>
            <w:r w:rsidRPr="003341F4">
              <w:rPr>
                <w:rFonts w:eastAsia="Times New Roman" w:cs="Times New Roman"/>
                <w:b/>
                <w:bCs/>
                <w:color w:val="000000" w:themeColor="text1"/>
                <w:sz w:val="20"/>
                <w:szCs w:val="20"/>
              </w:rPr>
              <w:t>2020</w:t>
            </w:r>
          </w:p>
        </w:tc>
        <w:tc>
          <w:tcPr>
            <w:tcW w:w="738" w:type="pct"/>
          </w:tcPr>
          <w:p w14:paraId="2AF38551" w14:textId="77777777" w:rsidR="00C3009D" w:rsidRPr="003341F4" w:rsidRDefault="00C3009D" w:rsidP="00036AC3">
            <w:pPr>
              <w:jc w:val="center"/>
              <w:rPr>
                <w:rFonts w:eastAsia="Times New Roman" w:cs="Times New Roman"/>
                <w:b/>
                <w:bCs/>
                <w:color w:val="000000"/>
                <w:sz w:val="20"/>
                <w:szCs w:val="20"/>
              </w:rPr>
            </w:pPr>
            <w:r w:rsidRPr="003341F4">
              <w:rPr>
                <w:rFonts w:eastAsia="Times New Roman" w:cs="Times New Roman"/>
                <w:b/>
                <w:bCs/>
                <w:color w:val="000000" w:themeColor="text1"/>
                <w:sz w:val="20"/>
                <w:szCs w:val="20"/>
              </w:rPr>
              <w:t>2021</w:t>
            </w:r>
          </w:p>
        </w:tc>
        <w:tc>
          <w:tcPr>
            <w:tcW w:w="737" w:type="pct"/>
          </w:tcPr>
          <w:p w14:paraId="5B4E3384" w14:textId="77777777" w:rsidR="00C3009D" w:rsidRPr="003341F4" w:rsidRDefault="00C3009D" w:rsidP="00036AC3">
            <w:pPr>
              <w:jc w:val="center"/>
              <w:rPr>
                <w:rFonts w:eastAsia="Times New Roman" w:cs="Times New Roman"/>
                <w:b/>
                <w:bCs/>
                <w:color w:val="000000"/>
                <w:sz w:val="20"/>
                <w:szCs w:val="20"/>
              </w:rPr>
            </w:pPr>
            <w:r w:rsidRPr="003341F4">
              <w:rPr>
                <w:rFonts w:eastAsia="Times New Roman" w:cs="Times New Roman"/>
                <w:b/>
                <w:bCs/>
                <w:color w:val="000000" w:themeColor="text1"/>
                <w:sz w:val="20"/>
                <w:szCs w:val="20"/>
              </w:rPr>
              <w:t>2022</w:t>
            </w:r>
          </w:p>
        </w:tc>
      </w:tr>
      <w:tr w:rsidR="00C3009D" w:rsidRPr="00EA47C5" w14:paraId="69BCD617" w14:textId="77777777" w:rsidTr="00C3009D">
        <w:trPr>
          <w:jc w:val="center"/>
        </w:trPr>
        <w:tc>
          <w:tcPr>
            <w:tcW w:w="2787" w:type="pct"/>
            <w:shd w:val="clear" w:color="auto" w:fill="DEEAF6" w:themeFill="accent1" w:themeFillTint="33"/>
          </w:tcPr>
          <w:p w14:paraId="38F3397C" w14:textId="77777777" w:rsidR="00C3009D" w:rsidRPr="003341F4" w:rsidRDefault="00C3009D" w:rsidP="00036AC3">
            <w:pPr>
              <w:spacing w:line="259" w:lineRule="auto"/>
              <w:jc w:val="both"/>
              <w:rPr>
                <w:rFonts w:eastAsia="Times New Roman" w:cs="Times New Roman"/>
                <w:b/>
                <w:bCs/>
                <w:color w:val="000000" w:themeColor="text1"/>
                <w:sz w:val="20"/>
                <w:szCs w:val="20"/>
              </w:rPr>
            </w:pPr>
            <w:r w:rsidRPr="003341F4">
              <w:rPr>
                <w:rFonts w:eastAsia="Times New Roman" w:cs="Times New Roman"/>
                <w:b/>
                <w:bCs/>
                <w:color w:val="000000" w:themeColor="text1"/>
                <w:sz w:val="20"/>
                <w:szCs w:val="20"/>
              </w:rPr>
              <w:t>airBaltic</w:t>
            </w:r>
          </w:p>
        </w:tc>
        <w:tc>
          <w:tcPr>
            <w:tcW w:w="738" w:type="pct"/>
            <w:shd w:val="clear" w:color="auto" w:fill="DEEAF6" w:themeFill="accent1" w:themeFillTint="33"/>
          </w:tcPr>
          <w:p w14:paraId="65F10C5B"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250,0</w:t>
            </w:r>
          </w:p>
        </w:tc>
        <w:tc>
          <w:tcPr>
            <w:tcW w:w="738" w:type="pct"/>
            <w:shd w:val="clear" w:color="auto" w:fill="DEEAF6" w:themeFill="accent1" w:themeFillTint="33"/>
          </w:tcPr>
          <w:p w14:paraId="6B73F5BE"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45,0</w:t>
            </w:r>
          </w:p>
        </w:tc>
        <w:tc>
          <w:tcPr>
            <w:tcW w:w="737" w:type="pct"/>
            <w:shd w:val="clear" w:color="auto" w:fill="DEEAF6" w:themeFill="accent1" w:themeFillTint="33"/>
          </w:tcPr>
          <w:p w14:paraId="5AA76F6F"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45,0</w:t>
            </w:r>
          </w:p>
        </w:tc>
      </w:tr>
      <w:tr w:rsidR="00C3009D" w:rsidRPr="00EA47C5" w14:paraId="673E3947" w14:textId="77777777" w:rsidTr="00C3009D">
        <w:trPr>
          <w:jc w:val="center"/>
        </w:trPr>
        <w:tc>
          <w:tcPr>
            <w:tcW w:w="2787" w:type="pct"/>
          </w:tcPr>
          <w:p w14:paraId="224F9932" w14:textId="77777777" w:rsidR="00C3009D" w:rsidRPr="003341F4" w:rsidRDefault="00C3009D" w:rsidP="00036AC3">
            <w:pPr>
              <w:jc w:val="both"/>
              <w:rPr>
                <w:rFonts w:eastAsia="Times New Roman" w:cs="Times New Roman"/>
                <w:b/>
                <w:bCs/>
                <w:color w:val="000000"/>
                <w:sz w:val="20"/>
                <w:szCs w:val="20"/>
              </w:rPr>
            </w:pPr>
            <w:r w:rsidRPr="003341F4">
              <w:rPr>
                <w:rFonts w:eastAsia="Times New Roman" w:cs="Times New Roman"/>
                <w:b/>
                <w:bCs/>
                <w:color w:val="000000" w:themeColor="text1"/>
                <w:sz w:val="20"/>
                <w:szCs w:val="20"/>
              </w:rPr>
              <w:t>VAS “Latvijas gaisa satiksme”</w:t>
            </w:r>
          </w:p>
        </w:tc>
        <w:tc>
          <w:tcPr>
            <w:tcW w:w="738" w:type="pct"/>
          </w:tcPr>
          <w:p w14:paraId="62B4C97C"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6,0</w:t>
            </w:r>
          </w:p>
        </w:tc>
        <w:tc>
          <w:tcPr>
            <w:tcW w:w="738" w:type="pct"/>
          </w:tcPr>
          <w:p w14:paraId="4CA28E56"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0,0</w:t>
            </w:r>
          </w:p>
        </w:tc>
        <w:tc>
          <w:tcPr>
            <w:tcW w:w="737" w:type="pct"/>
          </w:tcPr>
          <w:p w14:paraId="133B4F7D"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0,0</w:t>
            </w:r>
          </w:p>
        </w:tc>
      </w:tr>
      <w:tr w:rsidR="00C3009D" w:rsidRPr="00EA47C5" w14:paraId="24A7CF97" w14:textId="77777777" w:rsidTr="00C3009D">
        <w:trPr>
          <w:jc w:val="center"/>
        </w:trPr>
        <w:tc>
          <w:tcPr>
            <w:tcW w:w="2787" w:type="pct"/>
            <w:shd w:val="clear" w:color="auto" w:fill="DEEAF6" w:themeFill="accent1" w:themeFillTint="33"/>
          </w:tcPr>
          <w:p w14:paraId="59283421" w14:textId="77777777" w:rsidR="00C3009D" w:rsidRPr="003341F4" w:rsidRDefault="00C3009D" w:rsidP="00036AC3">
            <w:pPr>
              <w:jc w:val="both"/>
              <w:rPr>
                <w:rFonts w:eastAsia="Times New Roman" w:cs="Times New Roman"/>
                <w:b/>
                <w:bCs/>
                <w:color w:val="000000"/>
                <w:sz w:val="20"/>
                <w:szCs w:val="20"/>
              </w:rPr>
            </w:pPr>
            <w:r w:rsidRPr="003341F4">
              <w:rPr>
                <w:rFonts w:eastAsia="Times New Roman" w:cs="Times New Roman"/>
                <w:b/>
                <w:bCs/>
                <w:color w:val="000000" w:themeColor="text1"/>
                <w:sz w:val="20"/>
                <w:szCs w:val="20"/>
              </w:rPr>
              <w:t>VAS “Starptautiskā lidosta “Rīga””</w:t>
            </w:r>
          </w:p>
        </w:tc>
        <w:tc>
          <w:tcPr>
            <w:tcW w:w="738" w:type="pct"/>
            <w:shd w:val="clear" w:color="auto" w:fill="DEEAF6" w:themeFill="accent1" w:themeFillTint="33"/>
          </w:tcPr>
          <w:p w14:paraId="7664BFEF"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0,0</w:t>
            </w:r>
          </w:p>
        </w:tc>
        <w:tc>
          <w:tcPr>
            <w:tcW w:w="738" w:type="pct"/>
            <w:shd w:val="clear" w:color="auto" w:fill="DEEAF6" w:themeFill="accent1" w:themeFillTint="33"/>
          </w:tcPr>
          <w:p w14:paraId="12242DE3"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35,2</w:t>
            </w:r>
          </w:p>
        </w:tc>
        <w:tc>
          <w:tcPr>
            <w:tcW w:w="737" w:type="pct"/>
            <w:shd w:val="clear" w:color="auto" w:fill="DEEAF6" w:themeFill="accent1" w:themeFillTint="33"/>
          </w:tcPr>
          <w:p w14:paraId="11010CE6" w14:textId="77777777" w:rsidR="00C3009D" w:rsidRPr="003341F4" w:rsidRDefault="00C3009D" w:rsidP="00036AC3">
            <w:pPr>
              <w:jc w:val="center"/>
              <w:rPr>
                <w:rFonts w:eastAsia="Times New Roman" w:cs="Times New Roman"/>
                <w:color w:val="000000"/>
                <w:sz w:val="20"/>
                <w:szCs w:val="20"/>
              </w:rPr>
            </w:pPr>
            <w:r w:rsidRPr="003341F4">
              <w:rPr>
                <w:rFonts w:eastAsia="Times New Roman" w:cs="Times New Roman"/>
                <w:color w:val="000000" w:themeColor="text1"/>
                <w:sz w:val="20"/>
                <w:szCs w:val="20"/>
              </w:rPr>
              <w:t>0,0</w:t>
            </w:r>
          </w:p>
        </w:tc>
      </w:tr>
    </w:tbl>
    <w:p w14:paraId="17B6E374" w14:textId="77777777" w:rsidR="00CC73E3" w:rsidRPr="00883EE7" w:rsidRDefault="00CC73E3" w:rsidP="00043C49">
      <w:pPr>
        <w:spacing w:after="0" w:line="240" w:lineRule="auto"/>
        <w:jc w:val="both"/>
        <w:rPr>
          <w:rFonts w:ascii="Times New Roman" w:hAnsi="Times New Roman" w:cs="Times New Roman"/>
          <w:color w:val="000000"/>
          <w:sz w:val="24"/>
          <w:szCs w:val="24"/>
          <w:highlight w:val="yellow"/>
        </w:rPr>
      </w:pPr>
    </w:p>
    <w:p w14:paraId="746CEC89" w14:textId="77777777" w:rsidR="00A952A1" w:rsidRDefault="00114006" w:rsidP="00A952A1">
      <w:pPr>
        <w:spacing w:after="0" w:line="240" w:lineRule="auto"/>
        <w:ind w:firstLine="720"/>
        <w:jc w:val="both"/>
        <w:rPr>
          <w:rFonts w:ascii="Times New Roman" w:hAnsi="Times New Roman" w:cs="Times New Roman"/>
          <w:color w:val="000000" w:themeColor="text1"/>
          <w:sz w:val="24"/>
          <w:szCs w:val="24"/>
        </w:rPr>
      </w:pPr>
      <w:r w:rsidRPr="00114006">
        <w:rPr>
          <w:rFonts w:ascii="Times New Roman" w:hAnsi="Times New Roman" w:cs="Times New Roman"/>
          <w:color w:val="000000" w:themeColor="text1"/>
          <w:sz w:val="24"/>
          <w:szCs w:val="24"/>
        </w:rPr>
        <w:t xml:space="preserve">Lai gan iespējamās saistības netiek reģistrētas vispārējās valdības bilancē, to potenciālo ietekmi ir būtiski analizēt. Dati par valdības iespējamajām un potenciālajām saistībām </w:t>
      </w:r>
      <w:r w:rsidRPr="00AD17EA">
        <w:rPr>
          <w:rFonts w:ascii="Times New Roman" w:hAnsi="Times New Roman" w:cs="Times New Roman"/>
          <w:i/>
          <w:iCs/>
          <w:color w:val="000000" w:themeColor="text1"/>
          <w:sz w:val="24"/>
          <w:szCs w:val="24"/>
        </w:rPr>
        <w:t xml:space="preserve">(contingent liabilities and potential obligations) </w:t>
      </w:r>
      <w:r w:rsidRPr="00114006">
        <w:rPr>
          <w:rFonts w:ascii="Times New Roman" w:hAnsi="Times New Roman" w:cs="Times New Roman"/>
          <w:color w:val="000000" w:themeColor="text1"/>
          <w:sz w:val="24"/>
          <w:szCs w:val="24"/>
        </w:rPr>
        <w:t>tiek apkopoti saskaņā ar Padomes Direktīvu 2011/85 par prasībām dalībvalstu budžeta struktūrām, kas grozīta ar jauno Padomes Direktīvu 2024/1265, kurā noteikts, ka dalībvalstīm jāpublicē attiecīga informācija par iespējamām saistībām, kas potenciāli var būtiski ietekmēt valsts budžetu. Šīs saistības sauc par “iespējamām” tādā nozīmē, ka pēc būtības tās ir tikai potenciālas, nevis faktiskas saistības, un tās var materializēties kā faktiskas valsts saistības tikai tad, ja pastāv konkrēti nosacījumi.</w:t>
      </w:r>
    </w:p>
    <w:p w14:paraId="7D29C962" w14:textId="3536050F" w:rsidR="009D7335" w:rsidRPr="00A952A1" w:rsidRDefault="3B3A3925" w:rsidP="00A952A1">
      <w:pPr>
        <w:spacing w:after="0" w:line="240" w:lineRule="auto"/>
        <w:ind w:firstLine="720"/>
        <w:jc w:val="both"/>
        <w:rPr>
          <w:rFonts w:ascii="Times New Roman" w:hAnsi="Times New Roman" w:cs="Times New Roman"/>
          <w:color w:val="000000" w:themeColor="text1"/>
          <w:sz w:val="24"/>
          <w:szCs w:val="24"/>
        </w:rPr>
      </w:pPr>
      <w:r w:rsidRPr="00940337">
        <w:rPr>
          <w:noProof/>
        </w:rPr>
        <w:t xml:space="preserve"> </w:t>
      </w:r>
    </w:p>
    <w:p w14:paraId="53DA898B" w14:textId="5B972C68" w:rsidR="000C3D96" w:rsidRPr="00391462" w:rsidRDefault="00D264DE" w:rsidP="003C7D88">
      <w:pPr>
        <w:spacing w:after="0" w:line="240" w:lineRule="auto"/>
        <w:jc w:val="center"/>
        <w:rPr>
          <w:rFonts w:ascii="Times New Roman" w:hAnsi="Times New Roman" w:cs="Times New Roman"/>
          <w:b/>
          <w:color w:val="000000"/>
          <w:sz w:val="24"/>
          <w:szCs w:val="24"/>
        </w:rPr>
      </w:pPr>
      <w:r w:rsidRPr="00D264DE">
        <w:rPr>
          <w:noProof/>
        </w:rPr>
        <w:t xml:space="preserve"> </w:t>
      </w:r>
      <w:r>
        <w:rPr>
          <w:noProof/>
        </w:rPr>
        <w:drawing>
          <wp:inline distT="0" distB="0" distL="0" distR="0" wp14:anchorId="47BC810A" wp14:editId="4CC83BFB">
            <wp:extent cx="5067300" cy="1943100"/>
            <wp:effectExtent l="0" t="0" r="0" b="0"/>
            <wp:docPr id="1186160489" name="Chart 1">
              <a:extLst xmlns:a="http://schemas.openxmlformats.org/drawingml/2006/main">
                <a:ext uri="{FF2B5EF4-FFF2-40B4-BE49-F238E27FC236}">
                  <a16:creationId xmlns:a16="http://schemas.microsoft.com/office/drawing/2014/main" id="{5D0DB825-8CFF-C76D-661D-C862DA5C6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F56AB7" w14:textId="1A25B3B2" w:rsidR="00043C49" w:rsidRPr="00883EE7" w:rsidRDefault="60CE7B04" w:rsidP="003C7D88">
      <w:pPr>
        <w:spacing w:after="0" w:line="240" w:lineRule="auto"/>
        <w:jc w:val="center"/>
        <w:rPr>
          <w:rFonts w:ascii="Times New Roman" w:hAnsi="Times New Roman" w:cs="Times New Roman"/>
          <w:color w:val="000000"/>
          <w:sz w:val="24"/>
          <w:szCs w:val="24"/>
          <w:highlight w:val="yellow"/>
        </w:rPr>
      </w:pPr>
      <w:r w:rsidRPr="469479B5">
        <w:rPr>
          <w:rFonts w:ascii="Times New Roman" w:hAnsi="Times New Roman" w:cs="Times New Roman"/>
          <w:b/>
          <w:bCs/>
          <w:color w:val="000000" w:themeColor="text1"/>
          <w:sz w:val="24"/>
          <w:szCs w:val="24"/>
        </w:rPr>
        <w:t>4.1</w:t>
      </w:r>
      <w:r w:rsidR="57AA465D" w:rsidRPr="469479B5">
        <w:rPr>
          <w:rFonts w:ascii="Times New Roman" w:hAnsi="Times New Roman" w:cs="Times New Roman"/>
          <w:b/>
          <w:bCs/>
          <w:color w:val="000000" w:themeColor="text1"/>
          <w:sz w:val="24"/>
          <w:szCs w:val="24"/>
        </w:rPr>
        <w:t>.</w:t>
      </w:r>
      <w:r w:rsidR="000333D6">
        <w:rPr>
          <w:rFonts w:ascii="Times New Roman" w:hAnsi="Times New Roman" w:cs="Times New Roman"/>
          <w:b/>
          <w:bCs/>
          <w:color w:val="000000" w:themeColor="text1"/>
          <w:sz w:val="24"/>
          <w:szCs w:val="24"/>
        </w:rPr>
        <w:t>1</w:t>
      </w:r>
      <w:r w:rsidR="193417EE" w:rsidRPr="469479B5">
        <w:rPr>
          <w:rFonts w:ascii="Times New Roman" w:hAnsi="Times New Roman" w:cs="Times New Roman"/>
          <w:b/>
          <w:bCs/>
          <w:color w:val="000000" w:themeColor="text1"/>
          <w:sz w:val="24"/>
          <w:szCs w:val="24"/>
        </w:rPr>
        <w:t>.</w:t>
      </w:r>
      <w:r w:rsidR="008674A0">
        <w:rPr>
          <w:rFonts w:ascii="Times New Roman" w:hAnsi="Times New Roman" w:cs="Times New Roman"/>
          <w:b/>
          <w:bCs/>
          <w:color w:val="000000" w:themeColor="text1"/>
          <w:sz w:val="24"/>
          <w:szCs w:val="24"/>
        </w:rPr>
        <w:t xml:space="preserve"> </w:t>
      </w:r>
      <w:r w:rsidR="2A25F243" w:rsidRPr="469479B5">
        <w:rPr>
          <w:rFonts w:ascii="Times New Roman" w:hAnsi="Times New Roman" w:cs="Times New Roman"/>
          <w:b/>
          <w:bCs/>
          <w:color w:val="000000" w:themeColor="text1"/>
          <w:sz w:val="24"/>
          <w:szCs w:val="24"/>
        </w:rPr>
        <w:t>attēls</w:t>
      </w:r>
      <w:r w:rsidR="57AA465D" w:rsidRPr="469479B5">
        <w:rPr>
          <w:rFonts w:ascii="Times New Roman" w:hAnsi="Times New Roman" w:cs="Times New Roman"/>
          <w:b/>
          <w:bCs/>
          <w:color w:val="000000" w:themeColor="text1"/>
          <w:sz w:val="24"/>
          <w:szCs w:val="24"/>
        </w:rPr>
        <w:t>.</w:t>
      </w:r>
      <w:r w:rsidR="2A25F243" w:rsidRPr="469479B5">
        <w:rPr>
          <w:rFonts w:ascii="Times New Roman" w:hAnsi="Times New Roman" w:cs="Times New Roman"/>
          <w:color w:val="000000" w:themeColor="text1"/>
          <w:sz w:val="24"/>
          <w:szCs w:val="24"/>
        </w:rPr>
        <w:t xml:space="preserve"> Vispārējā valdības sektora līdzdalības vērtība publisk</w:t>
      </w:r>
      <w:r w:rsidR="42020382" w:rsidRPr="469479B5">
        <w:rPr>
          <w:rFonts w:ascii="Times New Roman" w:hAnsi="Times New Roman" w:cs="Times New Roman"/>
          <w:color w:val="000000" w:themeColor="text1"/>
          <w:sz w:val="24"/>
          <w:szCs w:val="24"/>
        </w:rPr>
        <w:t>ā sektora</w:t>
      </w:r>
      <w:r w:rsidR="2A25F243" w:rsidRPr="469479B5">
        <w:rPr>
          <w:rFonts w:ascii="Times New Roman" w:hAnsi="Times New Roman" w:cs="Times New Roman"/>
          <w:color w:val="000000" w:themeColor="text1"/>
          <w:sz w:val="24"/>
          <w:szCs w:val="24"/>
        </w:rPr>
        <w:t xml:space="preserve"> </w:t>
      </w:r>
      <w:r w:rsidR="00114006">
        <w:rPr>
          <w:rFonts w:ascii="Times New Roman" w:hAnsi="Times New Roman" w:cs="Times New Roman"/>
          <w:color w:val="000000" w:themeColor="text1"/>
          <w:sz w:val="24"/>
          <w:szCs w:val="24"/>
        </w:rPr>
        <w:t>kapitālsabiedrību</w:t>
      </w:r>
      <w:r w:rsidR="00114006" w:rsidRPr="469479B5">
        <w:rPr>
          <w:rFonts w:ascii="Times New Roman" w:hAnsi="Times New Roman" w:cs="Times New Roman"/>
          <w:color w:val="000000" w:themeColor="text1"/>
          <w:sz w:val="24"/>
          <w:szCs w:val="24"/>
        </w:rPr>
        <w:t xml:space="preserve"> </w:t>
      </w:r>
      <w:r w:rsidR="2A25F243" w:rsidRPr="469479B5">
        <w:rPr>
          <w:rFonts w:ascii="Times New Roman" w:hAnsi="Times New Roman" w:cs="Times New Roman"/>
          <w:color w:val="000000" w:themeColor="text1"/>
          <w:sz w:val="24"/>
          <w:szCs w:val="24"/>
        </w:rPr>
        <w:t>kapitālā</w:t>
      </w:r>
      <w:r w:rsidR="42020382" w:rsidRPr="469479B5">
        <w:rPr>
          <w:rFonts w:ascii="Times New Roman" w:hAnsi="Times New Roman" w:cs="Times New Roman"/>
          <w:color w:val="000000" w:themeColor="text1"/>
          <w:sz w:val="24"/>
          <w:szCs w:val="24"/>
        </w:rPr>
        <w:t xml:space="preserve"> </w:t>
      </w:r>
      <w:r w:rsidR="1CFD95C2" w:rsidRPr="469479B5">
        <w:rPr>
          <w:rFonts w:ascii="Times New Roman" w:hAnsi="Times New Roman" w:cs="Times New Roman"/>
          <w:color w:val="000000" w:themeColor="text1"/>
          <w:sz w:val="24"/>
          <w:szCs w:val="24"/>
        </w:rPr>
        <w:t xml:space="preserve">no </w:t>
      </w:r>
      <w:r w:rsidR="79158708" w:rsidRPr="469479B5">
        <w:rPr>
          <w:rFonts w:ascii="Times New Roman" w:hAnsi="Times New Roman" w:cs="Times New Roman"/>
          <w:color w:val="000000" w:themeColor="text1"/>
          <w:sz w:val="24"/>
          <w:szCs w:val="24"/>
        </w:rPr>
        <w:t>201</w:t>
      </w:r>
      <w:r w:rsidR="000C3D96">
        <w:rPr>
          <w:rFonts w:ascii="Times New Roman" w:hAnsi="Times New Roman" w:cs="Times New Roman"/>
          <w:color w:val="000000" w:themeColor="text1"/>
          <w:sz w:val="24"/>
          <w:szCs w:val="24"/>
        </w:rPr>
        <w:t>3</w:t>
      </w:r>
      <w:r w:rsidR="1CFD95C2" w:rsidRPr="469479B5">
        <w:rPr>
          <w:rFonts w:ascii="Times New Roman" w:hAnsi="Times New Roman" w:cs="Times New Roman"/>
          <w:color w:val="000000" w:themeColor="text1"/>
          <w:sz w:val="24"/>
          <w:szCs w:val="24"/>
        </w:rPr>
        <w:t>.</w:t>
      </w:r>
      <w:r w:rsidR="3B5B7718" w:rsidRPr="469479B5">
        <w:rPr>
          <w:rFonts w:ascii="Times New Roman" w:hAnsi="Times New Roman" w:cs="Times New Roman"/>
          <w:color w:val="000000" w:themeColor="text1"/>
          <w:sz w:val="24"/>
          <w:szCs w:val="24"/>
        </w:rPr>
        <w:t xml:space="preserve"> </w:t>
      </w:r>
      <w:r w:rsidR="1CFD95C2" w:rsidRPr="469479B5">
        <w:rPr>
          <w:rFonts w:ascii="Times New Roman" w:hAnsi="Times New Roman" w:cs="Times New Roman"/>
          <w:color w:val="000000" w:themeColor="text1"/>
          <w:sz w:val="24"/>
          <w:szCs w:val="24"/>
        </w:rPr>
        <w:t xml:space="preserve">līdz </w:t>
      </w:r>
      <w:r w:rsidR="79158708" w:rsidRPr="469479B5">
        <w:rPr>
          <w:rFonts w:ascii="Times New Roman" w:hAnsi="Times New Roman" w:cs="Times New Roman"/>
          <w:color w:val="000000" w:themeColor="text1"/>
          <w:sz w:val="24"/>
          <w:szCs w:val="24"/>
        </w:rPr>
        <w:t>202</w:t>
      </w:r>
      <w:r w:rsidR="000C3D96">
        <w:rPr>
          <w:rFonts w:ascii="Times New Roman" w:hAnsi="Times New Roman" w:cs="Times New Roman"/>
          <w:color w:val="000000" w:themeColor="text1"/>
          <w:sz w:val="24"/>
          <w:szCs w:val="24"/>
        </w:rPr>
        <w:t>3</w:t>
      </w:r>
      <w:r w:rsidR="1CFD95C2" w:rsidRPr="469479B5">
        <w:rPr>
          <w:rFonts w:ascii="Times New Roman" w:hAnsi="Times New Roman" w:cs="Times New Roman"/>
          <w:color w:val="000000" w:themeColor="text1"/>
          <w:sz w:val="24"/>
          <w:szCs w:val="24"/>
        </w:rPr>
        <w:t>.</w:t>
      </w:r>
      <w:r w:rsidR="1423FD55" w:rsidRPr="469479B5">
        <w:rPr>
          <w:rFonts w:ascii="Times New Roman" w:hAnsi="Times New Roman" w:cs="Times New Roman"/>
          <w:color w:val="000000" w:themeColor="text1"/>
          <w:sz w:val="24"/>
          <w:szCs w:val="24"/>
        </w:rPr>
        <w:t xml:space="preserve"> </w:t>
      </w:r>
      <w:r w:rsidR="1CFD95C2" w:rsidRPr="469479B5">
        <w:rPr>
          <w:rFonts w:ascii="Times New Roman" w:hAnsi="Times New Roman" w:cs="Times New Roman"/>
          <w:color w:val="000000" w:themeColor="text1"/>
          <w:sz w:val="24"/>
          <w:szCs w:val="24"/>
        </w:rPr>
        <w:t>gadam</w:t>
      </w:r>
      <w:r w:rsidR="00270E62">
        <w:rPr>
          <w:rFonts w:ascii="Times New Roman" w:hAnsi="Times New Roman" w:cs="Times New Roman"/>
          <w:color w:val="000000" w:themeColor="text1"/>
          <w:sz w:val="24"/>
          <w:szCs w:val="24"/>
        </w:rPr>
        <w:t>,</w:t>
      </w:r>
      <w:r w:rsidR="42020382" w:rsidRPr="469479B5">
        <w:rPr>
          <w:rFonts w:ascii="Times New Roman" w:hAnsi="Times New Roman" w:cs="Times New Roman"/>
          <w:color w:val="000000" w:themeColor="text1"/>
          <w:sz w:val="24"/>
          <w:szCs w:val="24"/>
        </w:rPr>
        <w:t xml:space="preserve"> </w:t>
      </w:r>
      <w:r w:rsidR="3C5BD450" w:rsidRPr="469479B5">
        <w:rPr>
          <w:rFonts w:ascii="Times New Roman" w:hAnsi="Times New Roman" w:cs="Times New Roman"/>
          <w:color w:val="000000" w:themeColor="text1"/>
          <w:sz w:val="24"/>
          <w:szCs w:val="24"/>
        </w:rPr>
        <w:t>% no IKP</w:t>
      </w:r>
      <w:r w:rsidR="003477BF">
        <w:rPr>
          <w:rFonts w:ascii="Times New Roman" w:hAnsi="Times New Roman" w:cs="Times New Roman"/>
          <w:color w:val="000000" w:themeColor="text1"/>
          <w:sz w:val="24"/>
          <w:szCs w:val="24"/>
        </w:rPr>
        <w:t xml:space="preserve">. Avots: </w:t>
      </w:r>
      <w:r w:rsidR="004A1AC3">
        <w:rPr>
          <w:rFonts w:ascii="Times New Roman" w:hAnsi="Times New Roman" w:cs="Times New Roman"/>
          <w:color w:val="000000" w:themeColor="text1"/>
          <w:sz w:val="24"/>
          <w:szCs w:val="24"/>
        </w:rPr>
        <w:t>Valsts Kase</w:t>
      </w:r>
      <w:r w:rsidR="00B77FF8">
        <w:rPr>
          <w:rFonts w:ascii="Times New Roman" w:hAnsi="Times New Roman" w:cs="Times New Roman"/>
          <w:color w:val="000000" w:themeColor="text1"/>
          <w:sz w:val="24"/>
          <w:szCs w:val="24"/>
        </w:rPr>
        <w:t>, CSP</w:t>
      </w:r>
    </w:p>
    <w:p w14:paraId="37D78098" w14:textId="49F50983" w:rsidR="004442F3" w:rsidRPr="00883EE7" w:rsidRDefault="004442F3" w:rsidP="003C7D88">
      <w:pPr>
        <w:spacing w:after="0" w:line="240" w:lineRule="auto"/>
        <w:jc w:val="center"/>
        <w:rPr>
          <w:rFonts w:ascii="Times New Roman" w:hAnsi="Times New Roman" w:cs="Times New Roman"/>
          <w:color w:val="000000"/>
          <w:sz w:val="24"/>
          <w:szCs w:val="24"/>
          <w:highlight w:val="yellow"/>
        </w:rPr>
      </w:pPr>
    </w:p>
    <w:p w14:paraId="15AB14B3" w14:textId="346ACA9D" w:rsidR="00114006" w:rsidRDefault="00114006" w:rsidP="00114006">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Atbilstoši minētās direktīvas prasībām FM apkopo datus, </w:t>
      </w:r>
      <w:r w:rsidRPr="00106580">
        <w:rPr>
          <w:rFonts w:ascii="Times New Roman" w:hAnsi="Times New Roman" w:cs="Times New Roman"/>
          <w:color w:val="000000" w:themeColor="text1"/>
          <w:sz w:val="24"/>
          <w:szCs w:val="24"/>
        </w:rPr>
        <w:t>tai skaitā par vispārējās valdības sektora līdzdalību publiskā sektora k</w:t>
      </w:r>
      <w:r w:rsidR="00901841">
        <w:rPr>
          <w:rFonts w:ascii="Times New Roman" w:hAnsi="Times New Roman" w:cs="Times New Roman"/>
          <w:color w:val="000000" w:themeColor="text1"/>
          <w:sz w:val="24"/>
          <w:szCs w:val="24"/>
        </w:rPr>
        <w:t>apitālsabiedrībās</w:t>
      </w:r>
      <w:r w:rsidRPr="0010658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4.1.</w:t>
      </w:r>
      <w:r w:rsidR="000333D6">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r w:rsidRPr="00106580">
        <w:rPr>
          <w:rFonts w:ascii="Times New Roman" w:hAnsi="Times New Roman" w:cs="Times New Roman"/>
          <w:color w:val="000000" w:themeColor="text1"/>
          <w:sz w:val="24"/>
          <w:szCs w:val="24"/>
        </w:rPr>
        <w:t xml:space="preserve"> attēls).</w:t>
      </w:r>
      <w:r>
        <w:rPr>
          <w:rFonts w:ascii="Times New Roman" w:hAnsi="Times New Roman" w:cs="Times New Roman"/>
          <w:color w:val="000000" w:themeColor="text1"/>
          <w:sz w:val="24"/>
          <w:szCs w:val="24"/>
        </w:rPr>
        <w:t xml:space="preserve"> </w:t>
      </w:r>
      <w:r>
        <w:rPr>
          <w:rFonts w:ascii="Times New Roman" w:hAnsi="Times New Roman" w:cs="Times New Roman"/>
          <w:color w:val="000000"/>
          <w:sz w:val="24"/>
          <w:szCs w:val="24"/>
        </w:rPr>
        <w:t>No apkopotajiem datiem v</w:t>
      </w:r>
      <w:r w:rsidRPr="002322F2">
        <w:rPr>
          <w:rFonts w:ascii="Times New Roman" w:hAnsi="Times New Roman" w:cs="Times New Roman"/>
          <w:color w:val="000000"/>
          <w:sz w:val="24"/>
          <w:szCs w:val="24"/>
        </w:rPr>
        <w:t>ar secināt, ka vispārējās valdības sektora līdzdalība publiskā sektora kapitālsabiedrībās ir svārstīga laikā, tomēr ar lejupvērstu tendenci</w:t>
      </w:r>
      <w:r>
        <w:rPr>
          <w:rFonts w:ascii="Times New Roman" w:hAnsi="Times New Roman" w:cs="Times New Roman"/>
          <w:color w:val="000000"/>
          <w:sz w:val="24"/>
          <w:szCs w:val="24"/>
        </w:rPr>
        <w:t>. S</w:t>
      </w:r>
      <w:r w:rsidRPr="00391462">
        <w:rPr>
          <w:rFonts w:ascii="Times New Roman" w:hAnsi="Times New Roman" w:cs="Times New Roman"/>
          <w:color w:val="000000"/>
          <w:sz w:val="24"/>
          <w:szCs w:val="24"/>
        </w:rPr>
        <w:t>vārstību koridors ir noteiktās robežās un nenorāda uz būtisku riska pieaugumu</w:t>
      </w:r>
      <w:r>
        <w:rPr>
          <w:rFonts w:ascii="Times New Roman" w:hAnsi="Times New Roman" w:cs="Times New Roman"/>
          <w:color w:val="000000"/>
          <w:sz w:val="24"/>
          <w:szCs w:val="24"/>
        </w:rPr>
        <w:t>,</w:t>
      </w:r>
      <w:r w:rsidRPr="002322F2">
        <w:rPr>
          <w:rFonts w:ascii="Times New Roman" w:hAnsi="Times New Roman" w:cs="Times New Roman"/>
          <w:color w:val="000000"/>
          <w:sz w:val="24"/>
          <w:szCs w:val="24"/>
        </w:rPr>
        <w:t xml:space="preserve"> un nav pamata uzskatīt, ka tas pieaugtu arī vidējā termiņā</w:t>
      </w:r>
      <w:r w:rsidRPr="00391462">
        <w:rPr>
          <w:rFonts w:ascii="Times New Roman" w:hAnsi="Times New Roman" w:cs="Times New Roman"/>
          <w:color w:val="000000"/>
          <w:sz w:val="24"/>
          <w:szCs w:val="24"/>
        </w:rPr>
        <w:t>.</w:t>
      </w:r>
    </w:p>
    <w:p w14:paraId="60D832FF" w14:textId="77777777" w:rsidR="00114006" w:rsidRDefault="00114006" w:rsidP="00925871">
      <w:pPr>
        <w:spacing w:after="0" w:line="240" w:lineRule="auto"/>
        <w:ind w:firstLine="720"/>
        <w:jc w:val="both"/>
        <w:rPr>
          <w:rFonts w:ascii="Times New Roman" w:hAnsi="Times New Roman" w:cs="Times New Roman"/>
          <w:color w:val="000000" w:themeColor="text1"/>
          <w:sz w:val="24"/>
          <w:szCs w:val="24"/>
        </w:rPr>
      </w:pPr>
    </w:p>
    <w:p w14:paraId="36249594" w14:textId="24F97226" w:rsidR="00114006" w:rsidRPr="000333D6" w:rsidRDefault="00114006" w:rsidP="00114006">
      <w:pPr>
        <w:spacing w:after="0" w:line="240" w:lineRule="auto"/>
        <w:ind w:firstLine="720"/>
        <w:jc w:val="right"/>
        <w:rPr>
          <w:rFonts w:ascii="Times New Roman" w:hAnsi="Times New Roman" w:cs="Times New Roman"/>
          <w:b/>
          <w:bCs/>
          <w:color w:val="000000"/>
          <w:sz w:val="24"/>
          <w:szCs w:val="24"/>
        </w:rPr>
      </w:pPr>
      <w:r w:rsidRPr="000333D6">
        <w:rPr>
          <w:rFonts w:ascii="Times New Roman" w:hAnsi="Times New Roman" w:cs="Times New Roman"/>
          <w:b/>
          <w:bCs/>
          <w:color w:val="000000"/>
          <w:sz w:val="24"/>
          <w:szCs w:val="24"/>
        </w:rPr>
        <w:t>Tabula Nr. 4.1.</w:t>
      </w:r>
      <w:r w:rsidR="000333D6">
        <w:rPr>
          <w:rFonts w:ascii="Times New Roman" w:hAnsi="Times New Roman" w:cs="Times New Roman"/>
          <w:b/>
          <w:bCs/>
          <w:color w:val="000000"/>
          <w:sz w:val="24"/>
          <w:szCs w:val="24"/>
        </w:rPr>
        <w:t>2</w:t>
      </w:r>
      <w:r w:rsidRPr="000333D6">
        <w:rPr>
          <w:rFonts w:ascii="Times New Roman" w:hAnsi="Times New Roman" w:cs="Times New Roman"/>
          <w:b/>
          <w:bCs/>
          <w:color w:val="000000"/>
          <w:sz w:val="24"/>
          <w:szCs w:val="24"/>
        </w:rPr>
        <w:t xml:space="preserve"> Vispārējās valdības sektora </w:t>
      </w:r>
      <w:r w:rsidR="00E020DF" w:rsidRPr="000333D6">
        <w:rPr>
          <w:rFonts w:ascii="Times New Roman" w:hAnsi="Times New Roman" w:cs="Times New Roman"/>
          <w:b/>
          <w:bCs/>
          <w:color w:val="000000"/>
          <w:sz w:val="24"/>
          <w:szCs w:val="24"/>
        </w:rPr>
        <w:t xml:space="preserve">10 lielākās </w:t>
      </w:r>
      <w:r w:rsidRPr="000333D6">
        <w:rPr>
          <w:rFonts w:ascii="Times New Roman" w:hAnsi="Times New Roman" w:cs="Times New Roman"/>
          <w:b/>
          <w:bCs/>
          <w:color w:val="000000"/>
          <w:sz w:val="24"/>
          <w:szCs w:val="24"/>
        </w:rPr>
        <w:t>līdzdalības vērtība</w:t>
      </w:r>
      <w:r w:rsidR="00302AAA" w:rsidRPr="000333D6">
        <w:rPr>
          <w:rFonts w:ascii="Times New Roman" w:hAnsi="Times New Roman" w:cs="Times New Roman"/>
          <w:b/>
          <w:bCs/>
          <w:color w:val="000000"/>
          <w:sz w:val="24"/>
          <w:szCs w:val="24"/>
        </w:rPr>
        <w:t>s</w:t>
      </w:r>
      <w:r w:rsidRPr="000333D6">
        <w:rPr>
          <w:rFonts w:ascii="Times New Roman" w:hAnsi="Times New Roman" w:cs="Times New Roman"/>
          <w:b/>
          <w:bCs/>
          <w:color w:val="000000"/>
          <w:sz w:val="24"/>
          <w:szCs w:val="24"/>
        </w:rPr>
        <w:t xml:space="preserve"> kapitālsabiedrību kapitālā</w:t>
      </w:r>
      <w:r w:rsidR="00E86B32" w:rsidRPr="000333D6">
        <w:rPr>
          <w:rFonts w:ascii="Times New Roman" w:hAnsi="Times New Roman" w:cs="Times New Roman"/>
          <w:b/>
          <w:bCs/>
          <w:color w:val="000000"/>
          <w:sz w:val="24"/>
          <w:szCs w:val="24"/>
        </w:rPr>
        <w:t>, % no IKP</w:t>
      </w:r>
      <w:r w:rsidRPr="000333D6">
        <w:rPr>
          <w:rFonts w:ascii="Times New Roman" w:hAnsi="Times New Roman" w:cs="Times New Roman"/>
          <w:b/>
          <w:bCs/>
          <w:color w:val="000000"/>
          <w:sz w:val="24"/>
          <w:szCs w:val="24"/>
        </w:rPr>
        <w:t xml:space="preserve"> 2023.</w:t>
      </w:r>
      <w:r w:rsidR="001E7A19" w:rsidRPr="000333D6">
        <w:rPr>
          <w:rFonts w:ascii="Times New Roman" w:hAnsi="Times New Roman" w:cs="Times New Roman"/>
          <w:b/>
          <w:bCs/>
          <w:color w:val="000000"/>
          <w:sz w:val="24"/>
          <w:szCs w:val="24"/>
        </w:rPr>
        <w:t xml:space="preserve"> </w:t>
      </w:r>
      <w:r w:rsidRPr="000333D6">
        <w:rPr>
          <w:rFonts w:ascii="Times New Roman" w:hAnsi="Times New Roman" w:cs="Times New Roman"/>
          <w:b/>
          <w:bCs/>
          <w:color w:val="000000"/>
          <w:sz w:val="24"/>
          <w:szCs w:val="24"/>
        </w:rPr>
        <w:t>gadā</w:t>
      </w:r>
    </w:p>
    <w:tbl>
      <w:tblPr>
        <w:tblStyle w:val="GridTable6Colorful-Accent11"/>
        <w:tblW w:w="7092" w:type="dxa"/>
        <w:jc w:val="center"/>
        <w:tblLayout w:type="fixed"/>
        <w:tblLook w:val="04A0" w:firstRow="1" w:lastRow="0" w:firstColumn="1" w:lastColumn="0" w:noHBand="0" w:noVBand="1"/>
      </w:tblPr>
      <w:tblGrid>
        <w:gridCol w:w="5242"/>
        <w:gridCol w:w="1850"/>
      </w:tblGrid>
      <w:tr w:rsidR="00DF7D7B" w:rsidRPr="003E35F5" w14:paraId="641AC1B0" w14:textId="77777777" w:rsidTr="000333D6">
        <w:trPr>
          <w:cnfStyle w:val="100000000000" w:firstRow="1" w:lastRow="0" w:firstColumn="0" w:lastColumn="0" w:oddVBand="0" w:evenVBand="0" w:oddHBand="0"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35EBEB5B" w14:textId="77777777" w:rsidR="00DF7D7B" w:rsidRPr="003E35F5" w:rsidRDefault="00DF7D7B" w:rsidP="000500CD">
            <w:pPr>
              <w:jc w:val="both"/>
              <w:rPr>
                <w:rFonts w:eastAsia="Times New Roman" w:cs="Times New Roman"/>
                <w:color w:val="auto"/>
                <w:sz w:val="20"/>
                <w:szCs w:val="20"/>
                <w:lang w:eastAsia="lv-LV"/>
              </w:rPr>
            </w:pPr>
            <w:r w:rsidRPr="003E35F5">
              <w:rPr>
                <w:rFonts w:eastAsia="Times New Roman" w:cs="Times New Roman"/>
                <w:color w:val="auto"/>
                <w:sz w:val="20"/>
                <w:szCs w:val="20"/>
                <w:lang w:eastAsia="lv-LV"/>
              </w:rPr>
              <w:t> </w:t>
            </w:r>
          </w:p>
          <w:p w14:paraId="348B1AD2" w14:textId="36B0C892" w:rsidR="00DF7D7B" w:rsidRPr="003E35F5" w:rsidRDefault="00DF7D7B" w:rsidP="000500CD">
            <w:pPr>
              <w:jc w:val="both"/>
              <w:rPr>
                <w:rFonts w:eastAsia="Times New Roman" w:cs="Times New Roman"/>
                <w:color w:val="auto"/>
                <w:sz w:val="20"/>
                <w:szCs w:val="20"/>
                <w:lang w:eastAsia="lv-LV"/>
              </w:rPr>
            </w:pPr>
            <w:r w:rsidRPr="003E35F5">
              <w:rPr>
                <w:rFonts w:eastAsia="Times New Roman" w:cs="Times New Roman"/>
                <w:color w:val="auto"/>
                <w:sz w:val="20"/>
                <w:szCs w:val="20"/>
                <w:lang w:eastAsia="lv-LV"/>
              </w:rPr>
              <w:t> </w:t>
            </w:r>
          </w:p>
        </w:tc>
        <w:tc>
          <w:tcPr>
            <w:tcW w:w="1850" w:type="dxa"/>
            <w:vAlign w:val="center"/>
            <w:hideMark/>
          </w:tcPr>
          <w:p w14:paraId="5790ABC6" w14:textId="77777777" w:rsidR="00DF7D7B" w:rsidRPr="003E35F5" w:rsidRDefault="00DF7D7B" w:rsidP="000500C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3E35F5">
              <w:rPr>
                <w:rFonts w:eastAsia="Times New Roman" w:cs="Times New Roman"/>
                <w:color w:val="auto"/>
                <w:sz w:val="20"/>
                <w:szCs w:val="20"/>
                <w:lang w:eastAsia="lv-LV"/>
              </w:rPr>
              <w:t>2023</w:t>
            </w:r>
          </w:p>
        </w:tc>
      </w:tr>
      <w:tr w:rsidR="00D264DE" w:rsidRPr="003E35F5" w14:paraId="503617F8" w14:textId="77777777" w:rsidTr="000333D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tcPr>
          <w:p w14:paraId="30EF2B69" w14:textId="61C2C331" w:rsidR="00D264DE" w:rsidRPr="00D264DE" w:rsidRDefault="00D264DE" w:rsidP="00FF0B57">
            <w:pPr>
              <w:jc w:val="right"/>
              <w:rPr>
                <w:rFonts w:eastAsia="Times New Roman" w:cs="Times New Roman"/>
                <w:color w:val="auto"/>
                <w:sz w:val="20"/>
                <w:szCs w:val="20"/>
                <w:lang w:eastAsia="lv-LV"/>
              </w:rPr>
            </w:pPr>
            <w:r w:rsidRPr="00D264DE">
              <w:rPr>
                <w:rFonts w:eastAsia="Times New Roman" w:cs="Times New Roman"/>
                <w:color w:val="auto"/>
                <w:sz w:val="20"/>
                <w:szCs w:val="20"/>
                <w:lang w:eastAsia="lv-LV"/>
              </w:rPr>
              <w:t>Kopā</w:t>
            </w:r>
          </w:p>
        </w:tc>
        <w:tc>
          <w:tcPr>
            <w:tcW w:w="1850" w:type="dxa"/>
            <w:vAlign w:val="center"/>
          </w:tcPr>
          <w:p w14:paraId="464E9850" w14:textId="7E392390" w:rsidR="00D264DE" w:rsidRPr="00D264DE" w:rsidRDefault="00D264DE" w:rsidP="00C23D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auto"/>
                <w:sz w:val="20"/>
                <w:szCs w:val="20"/>
                <w:lang w:eastAsia="lv-LV"/>
              </w:rPr>
            </w:pPr>
            <w:r w:rsidRPr="00D264DE">
              <w:rPr>
                <w:rFonts w:eastAsia="Times New Roman" w:cs="Times New Roman"/>
                <w:i/>
                <w:iCs/>
                <w:color w:val="auto"/>
                <w:sz w:val="20"/>
                <w:szCs w:val="20"/>
                <w:lang w:eastAsia="lv-LV"/>
              </w:rPr>
              <w:t>14,9%</w:t>
            </w:r>
          </w:p>
        </w:tc>
      </w:tr>
      <w:tr w:rsidR="00D264DE" w:rsidRPr="003E35F5" w14:paraId="408FF07E" w14:textId="77777777" w:rsidTr="000333D6">
        <w:trPr>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tcPr>
          <w:p w14:paraId="43A12009" w14:textId="2F009274" w:rsidR="00D264DE" w:rsidRPr="00D264DE" w:rsidRDefault="00D264DE" w:rsidP="000500CD">
            <w:pPr>
              <w:jc w:val="both"/>
              <w:rPr>
                <w:rFonts w:eastAsia="Times New Roman" w:cs="Times New Roman"/>
                <w:i/>
                <w:iCs/>
                <w:color w:val="auto"/>
                <w:sz w:val="20"/>
                <w:szCs w:val="20"/>
                <w:lang w:eastAsia="lv-LV"/>
              </w:rPr>
            </w:pPr>
            <w:r w:rsidRPr="00D264DE">
              <w:rPr>
                <w:rFonts w:eastAsia="Times New Roman" w:cs="Times New Roman"/>
                <w:i/>
                <w:iCs/>
                <w:color w:val="auto"/>
                <w:sz w:val="20"/>
                <w:szCs w:val="20"/>
                <w:lang w:eastAsia="lv-LV"/>
              </w:rPr>
              <w:t>t.sk:</w:t>
            </w:r>
          </w:p>
        </w:tc>
        <w:tc>
          <w:tcPr>
            <w:tcW w:w="1850" w:type="dxa"/>
            <w:vAlign w:val="center"/>
          </w:tcPr>
          <w:p w14:paraId="7B888CD6" w14:textId="77777777" w:rsidR="00D264DE" w:rsidRPr="00D264DE" w:rsidRDefault="00D264DE" w:rsidP="000500C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auto"/>
                <w:sz w:val="20"/>
                <w:szCs w:val="20"/>
                <w:lang w:eastAsia="lv-LV"/>
              </w:rPr>
            </w:pPr>
          </w:p>
        </w:tc>
      </w:tr>
      <w:tr w:rsidR="00D264DE" w:rsidRPr="003E35F5" w14:paraId="05C85D31" w14:textId="77777777" w:rsidTr="000333D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36647729" w14:textId="754D58DE"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AS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Latvenergo</w:t>
            </w:r>
            <w:r>
              <w:rPr>
                <w:rFonts w:eastAsia="Times New Roman" w:cs="Times New Roman"/>
                <w:color w:val="auto"/>
                <w:sz w:val="20"/>
                <w:szCs w:val="20"/>
                <w:lang w:eastAsia="lv-LV"/>
              </w:rPr>
              <w:t>”</w:t>
            </w:r>
          </w:p>
        </w:tc>
        <w:tc>
          <w:tcPr>
            <w:tcW w:w="1850" w:type="dxa"/>
            <w:vAlign w:val="center"/>
            <w:hideMark/>
          </w:tcPr>
          <w:p w14:paraId="6CBC1040" w14:textId="52308D74" w:rsidR="00D264DE" w:rsidRPr="003E35F5" w:rsidRDefault="00D264DE" w:rsidP="000500C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7,5%</w:t>
            </w:r>
          </w:p>
        </w:tc>
      </w:tr>
      <w:tr w:rsidR="00D264DE" w:rsidRPr="003E35F5" w14:paraId="7D9B8EFE" w14:textId="77777777" w:rsidTr="000333D6">
        <w:trPr>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72ABD0AD" w14:textId="7588E1E4"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VAS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Latvijas Valsts meži</w:t>
            </w:r>
            <w:r>
              <w:rPr>
                <w:rFonts w:eastAsia="Times New Roman" w:cs="Times New Roman"/>
                <w:color w:val="auto"/>
                <w:sz w:val="20"/>
                <w:szCs w:val="20"/>
                <w:lang w:eastAsia="lv-LV"/>
              </w:rPr>
              <w:t>”</w:t>
            </w:r>
          </w:p>
        </w:tc>
        <w:tc>
          <w:tcPr>
            <w:tcW w:w="1850" w:type="dxa"/>
            <w:vAlign w:val="center"/>
            <w:hideMark/>
          </w:tcPr>
          <w:p w14:paraId="513BC904" w14:textId="0B522475" w:rsidR="00D264DE" w:rsidRPr="003E35F5" w:rsidRDefault="00D264DE" w:rsidP="000500C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1,9%</w:t>
            </w:r>
          </w:p>
        </w:tc>
      </w:tr>
      <w:tr w:rsidR="00D264DE" w:rsidRPr="003E35F5" w14:paraId="372D03A0" w14:textId="77777777" w:rsidTr="000333D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53C99FBB" w14:textId="502014CC"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AS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Augstsprieguma tīkls</w:t>
            </w:r>
            <w:r>
              <w:rPr>
                <w:rFonts w:eastAsia="Times New Roman" w:cs="Times New Roman"/>
                <w:color w:val="auto"/>
                <w:sz w:val="20"/>
                <w:szCs w:val="20"/>
                <w:lang w:eastAsia="lv-LV"/>
              </w:rPr>
              <w:t>”</w:t>
            </w:r>
          </w:p>
        </w:tc>
        <w:tc>
          <w:tcPr>
            <w:tcW w:w="1850" w:type="dxa"/>
            <w:vAlign w:val="center"/>
            <w:hideMark/>
          </w:tcPr>
          <w:p w14:paraId="5157FA60" w14:textId="68B671CA" w:rsidR="00D264DE" w:rsidRPr="003E35F5" w:rsidRDefault="00D264DE" w:rsidP="000500C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1,3%</w:t>
            </w:r>
          </w:p>
        </w:tc>
      </w:tr>
      <w:tr w:rsidR="00D264DE" w:rsidRPr="003E35F5" w14:paraId="526C707D" w14:textId="77777777" w:rsidTr="000333D6">
        <w:trPr>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54F0E74B" w14:textId="7509C6CA"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SIA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Rīgas meži</w:t>
            </w:r>
            <w:r>
              <w:rPr>
                <w:rFonts w:eastAsia="Times New Roman" w:cs="Times New Roman"/>
                <w:color w:val="auto"/>
                <w:sz w:val="20"/>
                <w:szCs w:val="20"/>
                <w:lang w:eastAsia="lv-LV"/>
              </w:rPr>
              <w:t>”</w:t>
            </w:r>
          </w:p>
        </w:tc>
        <w:tc>
          <w:tcPr>
            <w:tcW w:w="1850" w:type="dxa"/>
            <w:vAlign w:val="center"/>
            <w:hideMark/>
          </w:tcPr>
          <w:p w14:paraId="6A441F2A" w14:textId="1EFC3D18" w:rsidR="00D264DE" w:rsidRPr="003E35F5" w:rsidRDefault="00D264DE" w:rsidP="000500C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0,5%</w:t>
            </w:r>
          </w:p>
        </w:tc>
      </w:tr>
      <w:tr w:rsidR="00D264DE" w:rsidRPr="003E35F5" w14:paraId="56B5936F" w14:textId="77777777" w:rsidTr="000333D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25244A45" w14:textId="53ACE84C"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SIA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Rīgas ūdens</w:t>
            </w:r>
            <w:r>
              <w:rPr>
                <w:rFonts w:eastAsia="Times New Roman" w:cs="Times New Roman"/>
                <w:color w:val="auto"/>
                <w:sz w:val="20"/>
                <w:szCs w:val="20"/>
                <w:lang w:eastAsia="lv-LV"/>
              </w:rPr>
              <w:t>”</w:t>
            </w:r>
          </w:p>
        </w:tc>
        <w:tc>
          <w:tcPr>
            <w:tcW w:w="1850" w:type="dxa"/>
            <w:vAlign w:val="center"/>
            <w:hideMark/>
          </w:tcPr>
          <w:p w14:paraId="0D9CE2CD" w14:textId="7DEC6984" w:rsidR="00D264DE" w:rsidRPr="003E35F5" w:rsidRDefault="00D264DE" w:rsidP="000500C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0,5%</w:t>
            </w:r>
          </w:p>
        </w:tc>
      </w:tr>
      <w:tr w:rsidR="00D264DE" w:rsidRPr="003E35F5" w14:paraId="0F5AE721" w14:textId="77777777" w:rsidTr="000333D6">
        <w:trPr>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tcPr>
          <w:p w14:paraId="45A7D44F" w14:textId="6DF1B24C"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AS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Rīgas siltums</w:t>
            </w:r>
            <w:r>
              <w:rPr>
                <w:rFonts w:eastAsia="Times New Roman" w:cs="Times New Roman"/>
                <w:color w:val="auto"/>
                <w:sz w:val="20"/>
                <w:szCs w:val="20"/>
                <w:lang w:eastAsia="lv-LV"/>
              </w:rPr>
              <w:t>”</w:t>
            </w:r>
          </w:p>
        </w:tc>
        <w:tc>
          <w:tcPr>
            <w:tcW w:w="1850" w:type="dxa"/>
            <w:vAlign w:val="center"/>
          </w:tcPr>
          <w:p w14:paraId="5F77BB57" w14:textId="78286864" w:rsidR="00D264DE" w:rsidRPr="003E35F5" w:rsidRDefault="00D264DE" w:rsidP="00AD17E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0,4%</w:t>
            </w:r>
          </w:p>
        </w:tc>
      </w:tr>
      <w:tr w:rsidR="00D264DE" w:rsidRPr="003E35F5" w14:paraId="1C62DD82" w14:textId="77777777" w:rsidTr="000333D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0EE5F5AD" w14:textId="2BBB7EF9"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VAS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Latvijas Valsts radio un televīzijas centrs</w:t>
            </w:r>
            <w:r>
              <w:rPr>
                <w:rFonts w:eastAsia="Times New Roman" w:cs="Times New Roman"/>
                <w:color w:val="auto"/>
                <w:sz w:val="20"/>
                <w:szCs w:val="20"/>
                <w:lang w:eastAsia="lv-LV"/>
              </w:rPr>
              <w:t>”</w:t>
            </w:r>
          </w:p>
        </w:tc>
        <w:tc>
          <w:tcPr>
            <w:tcW w:w="1850" w:type="dxa"/>
            <w:vAlign w:val="center"/>
            <w:hideMark/>
          </w:tcPr>
          <w:p w14:paraId="755015D7" w14:textId="089516D6" w:rsidR="00D264DE" w:rsidRPr="003E35F5" w:rsidRDefault="00D264DE" w:rsidP="00AD17E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0,3%</w:t>
            </w:r>
          </w:p>
        </w:tc>
      </w:tr>
      <w:tr w:rsidR="00D264DE" w:rsidRPr="003E35F5" w14:paraId="6C6908B5" w14:textId="77777777" w:rsidTr="000333D6">
        <w:trPr>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5C26A145" w14:textId="162833C8"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SIA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TET</w:t>
            </w:r>
            <w:r>
              <w:rPr>
                <w:rFonts w:eastAsia="Times New Roman" w:cs="Times New Roman"/>
                <w:color w:val="auto"/>
                <w:sz w:val="20"/>
                <w:szCs w:val="20"/>
                <w:lang w:eastAsia="lv-LV"/>
              </w:rPr>
              <w:t>”</w:t>
            </w:r>
          </w:p>
        </w:tc>
        <w:tc>
          <w:tcPr>
            <w:tcW w:w="1850" w:type="dxa"/>
            <w:vAlign w:val="center"/>
            <w:hideMark/>
          </w:tcPr>
          <w:p w14:paraId="641DF5BC" w14:textId="5C435FCD" w:rsidR="00D264DE" w:rsidRPr="003E35F5" w:rsidRDefault="00D264DE" w:rsidP="00AD17E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0,3%</w:t>
            </w:r>
          </w:p>
        </w:tc>
      </w:tr>
      <w:tr w:rsidR="00D264DE" w:rsidRPr="003E35F5" w14:paraId="1B4A4BEA" w14:textId="77777777" w:rsidTr="000333D6">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147FF8AD" w14:textId="48CB8638"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SIA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Rīgas nami</w:t>
            </w:r>
            <w:r>
              <w:rPr>
                <w:rFonts w:eastAsia="Times New Roman" w:cs="Times New Roman"/>
                <w:color w:val="auto"/>
                <w:sz w:val="20"/>
                <w:szCs w:val="20"/>
                <w:lang w:eastAsia="lv-LV"/>
              </w:rPr>
              <w:t>”</w:t>
            </w:r>
          </w:p>
        </w:tc>
        <w:tc>
          <w:tcPr>
            <w:tcW w:w="1850" w:type="dxa"/>
            <w:vAlign w:val="center"/>
            <w:hideMark/>
          </w:tcPr>
          <w:p w14:paraId="4CEC2B69" w14:textId="64E51BE7" w:rsidR="00D264DE" w:rsidRPr="003E35F5" w:rsidRDefault="00D264DE" w:rsidP="00AD17E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0,3%</w:t>
            </w:r>
          </w:p>
        </w:tc>
      </w:tr>
      <w:tr w:rsidR="00D264DE" w:rsidRPr="003E35F5" w14:paraId="6CFC6358" w14:textId="77777777" w:rsidTr="000333D6">
        <w:trPr>
          <w:trHeight w:val="241"/>
          <w:jc w:val="center"/>
        </w:trPr>
        <w:tc>
          <w:tcPr>
            <w:cnfStyle w:val="001000000000" w:firstRow="0" w:lastRow="0" w:firstColumn="1" w:lastColumn="0" w:oddVBand="0" w:evenVBand="0" w:oddHBand="0" w:evenHBand="0" w:firstRowFirstColumn="0" w:firstRowLastColumn="0" w:lastRowFirstColumn="0" w:lastRowLastColumn="0"/>
            <w:tcW w:w="5242" w:type="dxa"/>
            <w:vAlign w:val="center"/>
            <w:hideMark/>
          </w:tcPr>
          <w:p w14:paraId="0C4F11A6" w14:textId="1D302138" w:rsidR="00D264DE" w:rsidRPr="003E35F5" w:rsidRDefault="00D264DE" w:rsidP="00FF0B57">
            <w:pPr>
              <w:rPr>
                <w:rFonts w:eastAsia="Times New Roman" w:cs="Times New Roman"/>
                <w:color w:val="auto"/>
                <w:sz w:val="20"/>
                <w:szCs w:val="20"/>
                <w:lang w:eastAsia="lv-LV"/>
              </w:rPr>
            </w:pPr>
            <w:r w:rsidRPr="003E35F5">
              <w:rPr>
                <w:rFonts w:eastAsia="Times New Roman" w:cs="Times New Roman"/>
                <w:color w:val="auto"/>
                <w:sz w:val="20"/>
                <w:szCs w:val="20"/>
                <w:lang w:eastAsia="lv-LV"/>
              </w:rPr>
              <w:t xml:space="preserve">VAS </w:t>
            </w:r>
            <w:r>
              <w:rPr>
                <w:rFonts w:eastAsia="Times New Roman" w:cs="Times New Roman"/>
                <w:color w:val="auto"/>
                <w:sz w:val="20"/>
                <w:szCs w:val="20"/>
                <w:lang w:eastAsia="lv-LV"/>
              </w:rPr>
              <w:t>“</w:t>
            </w:r>
            <w:r w:rsidRPr="003E35F5">
              <w:rPr>
                <w:rFonts w:eastAsia="Times New Roman" w:cs="Times New Roman"/>
                <w:color w:val="auto"/>
                <w:sz w:val="20"/>
                <w:szCs w:val="20"/>
                <w:lang w:eastAsia="lv-LV"/>
              </w:rPr>
              <w:t>Starptautiskā lidosta Rīga</w:t>
            </w:r>
            <w:r>
              <w:rPr>
                <w:rFonts w:eastAsia="Times New Roman" w:cs="Times New Roman"/>
                <w:color w:val="auto"/>
                <w:sz w:val="20"/>
                <w:szCs w:val="20"/>
                <w:lang w:eastAsia="lv-LV"/>
              </w:rPr>
              <w:t>”</w:t>
            </w:r>
          </w:p>
        </w:tc>
        <w:tc>
          <w:tcPr>
            <w:tcW w:w="1850" w:type="dxa"/>
            <w:vAlign w:val="center"/>
            <w:hideMark/>
          </w:tcPr>
          <w:p w14:paraId="44F10292" w14:textId="10FCD3C5" w:rsidR="00D264DE" w:rsidRPr="003E35F5" w:rsidRDefault="00D264DE" w:rsidP="00AD17E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auto"/>
                <w:sz w:val="20"/>
                <w:szCs w:val="20"/>
                <w:lang w:eastAsia="lv-LV"/>
              </w:rPr>
            </w:pPr>
            <w:r w:rsidRPr="003E35F5">
              <w:rPr>
                <w:rFonts w:eastAsia="Times New Roman" w:cs="Times New Roman"/>
                <w:i/>
                <w:iCs/>
                <w:color w:val="auto"/>
                <w:sz w:val="20"/>
                <w:szCs w:val="20"/>
                <w:lang w:eastAsia="lv-LV"/>
              </w:rPr>
              <w:t>0,2%</w:t>
            </w:r>
          </w:p>
        </w:tc>
      </w:tr>
    </w:tbl>
    <w:p w14:paraId="297C0BAD" w14:textId="77777777" w:rsidR="00114006" w:rsidRDefault="00114006" w:rsidP="00114006">
      <w:pPr>
        <w:spacing w:after="0" w:line="240" w:lineRule="auto"/>
        <w:ind w:firstLine="720"/>
        <w:jc w:val="both"/>
        <w:rPr>
          <w:rFonts w:ascii="Times New Roman" w:hAnsi="Times New Roman" w:cs="Times New Roman"/>
          <w:color w:val="000000"/>
          <w:sz w:val="24"/>
          <w:szCs w:val="24"/>
        </w:rPr>
      </w:pPr>
    </w:p>
    <w:p w14:paraId="2C512EA3" w14:textId="328C4D28" w:rsidR="00E40DE3" w:rsidRDefault="00114006" w:rsidP="004847C8">
      <w:pPr>
        <w:spacing w:after="0" w:line="240" w:lineRule="auto"/>
        <w:ind w:firstLine="720"/>
        <w:jc w:val="both"/>
        <w:rPr>
          <w:rFonts w:ascii="Times New Roman" w:hAnsi="Times New Roman" w:cs="Times New Roman"/>
          <w:b/>
          <w:color w:val="000000"/>
          <w:sz w:val="24"/>
          <w:szCs w:val="24"/>
          <w:highlight w:val="yellow"/>
        </w:rPr>
      </w:pPr>
      <w:r>
        <w:rPr>
          <w:rFonts w:ascii="Times New Roman" w:hAnsi="Times New Roman" w:cs="Times New Roman"/>
          <w:color w:val="000000"/>
          <w:sz w:val="24"/>
          <w:szCs w:val="24"/>
        </w:rPr>
        <w:t>Būtiskākās vispārējās valdības sektora līdzdalības vērtības kapitālsabiedrībās atspoguļotas tabulā Nr. 4.1.</w:t>
      </w:r>
      <w:r w:rsidR="000333D6">
        <w:rPr>
          <w:rFonts w:ascii="Times New Roman" w:hAnsi="Times New Roman" w:cs="Times New Roman"/>
          <w:color w:val="000000"/>
          <w:sz w:val="24"/>
          <w:szCs w:val="24"/>
        </w:rPr>
        <w:t>2</w:t>
      </w:r>
      <w:r>
        <w:rPr>
          <w:rFonts w:ascii="Times New Roman" w:hAnsi="Times New Roman" w:cs="Times New Roman"/>
          <w:color w:val="000000"/>
          <w:sz w:val="24"/>
          <w:szCs w:val="24"/>
        </w:rPr>
        <w:t xml:space="preserve">, kur informācija </w:t>
      </w:r>
      <w:r w:rsidRPr="003E108D">
        <w:rPr>
          <w:rFonts w:ascii="Times New Roman" w:hAnsi="Times New Roman" w:cs="Times New Roman"/>
          <w:color w:val="000000"/>
          <w:sz w:val="24"/>
          <w:szCs w:val="24"/>
        </w:rPr>
        <w:t>ir norādīta tikai par vispārējās valdības īpašumā esošām kapitāla daļām, nevis par visu sabiedrības kapitālu</w:t>
      </w:r>
      <w:r w:rsidR="00B935BF">
        <w:rPr>
          <w:rFonts w:ascii="Times New Roman" w:hAnsi="Times New Roman" w:cs="Times New Roman"/>
          <w:color w:val="000000"/>
          <w:sz w:val="24"/>
          <w:szCs w:val="24"/>
        </w:rPr>
        <w:t xml:space="preserve"> uz 2023. gada 31. decembri</w:t>
      </w:r>
      <w:r>
        <w:rPr>
          <w:rFonts w:ascii="Times New Roman" w:hAnsi="Times New Roman" w:cs="Times New Roman"/>
          <w:color w:val="000000"/>
          <w:sz w:val="24"/>
          <w:szCs w:val="24"/>
        </w:rPr>
        <w:t xml:space="preserve">. </w:t>
      </w:r>
      <w:r w:rsidRPr="00DC3846">
        <w:rPr>
          <w:rFonts w:ascii="Times New Roman" w:hAnsi="Times New Roman" w:cs="Times New Roman"/>
          <w:color w:val="000000"/>
          <w:sz w:val="24"/>
          <w:szCs w:val="24"/>
        </w:rPr>
        <w:t>Kopējos vispārējās valdības līdzdalības vērtības rādītājus lielā mērā nosaka līdzdalība dažās komercsabiedrībās</w:t>
      </w:r>
      <w:r>
        <w:rPr>
          <w:rFonts w:ascii="Times New Roman" w:hAnsi="Times New Roman" w:cs="Times New Roman"/>
          <w:color w:val="000000"/>
          <w:sz w:val="24"/>
          <w:szCs w:val="24"/>
        </w:rPr>
        <w:t>,</w:t>
      </w:r>
      <w:r w:rsidRPr="00DC3846">
        <w:rPr>
          <w:rFonts w:ascii="Times New Roman" w:hAnsi="Times New Roman" w:cs="Times New Roman"/>
          <w:color w:val="000000"/>
          <w:sz w:val="24"/>
          <w:szCs w:val="24"/>
        </w:rPr>
        <w:t xml:space="preserve"> it īpaši AS </w:t>
      </w:r>
      <w:r w:rsidR="002C4AE1">
        <w:rPr>
          <w:rFonts w:ascii="Times New Roman" w:hAnsi="Times New Roman" w:cs="Times New Roman"/>
          <w:color w:val="000000"/>
          <w:sz w:val="24"/>
          <w:szCs w:val="24"/>
        </w:rPr>
        <w:t>“</w:t>
      </w:r>
      <w:r w:rsidRPr="00DC3846">
        <w:rPr>
          <w:rFonts w:ascii="Times New Roman" w:hAnsi="Times New Roman" w:cs="Times New Roman"/>
          <w:color w:val="000000"/>
          <w:sz w:val="24"/>
          <w:szCs w:val="24"/>
        </w:rPr>
        <w:t>Latvenergo</w:t>
      </w:r>
      <w:r w:rsidR="002C4AE1">
        <w:rPr>
          <w:rFonts w:ascii="Times New Roman" w:hAnsi="Times New Roman" w:cs="Times New Roman"/>
          <w:color w:val="000000"/>
          <w:sz w:val="24"/>
          <w:szCs w:val="24"/>
        </w:rPr>
        <w:t>”</w:t>
      </w:r>
      <w:r>
        <w:rPr>
          <w:rFonts w:ascii="Times New Roman" w:hAnsi="Times New Roman" w:cs="Times New Roman"/>
          <w:color w:val="000000"/>
          <w:sz w:val="24"/>
          <w:szCs w:val="24"/>
        </w:rPr>
        <w:t xml:space="preserve"> (7,5% no IKP)</w:t>
      </w:r>
      <w:r w:rsidRPr="00DC3846">
        <w:rPr>
          <w:rFonts w:ascii="Times New Roman" w:hAnsi="Times New Roman" w:cs="Times New Roman"/>
          <w:color w:val="000000"/>
          <w:sz w:val="24"/>
          <w:szCs w:val="24"/>
        </w:rPr>
        <w:t xml:space="preserve">, VAS </w:t>
      </w:r>
      <w:r w:rsidR="002C4AE1">
        <w:rPr>
          <w:rFonts w:ascii="Times New Roman" w:hAnsi="Times New Roman" w:cs="Times New Roman"/>
          <w:color w:val="000000"/>
          <w:sz w:val="24"/>
          <w:szCs w:val="24"/>
        </w:rPr>
        <w:t>“</w:t>
      </w:r>
      <w:r w:rsidRPr="00DC3846">
        <w:rPr>
          <w:rFonts w:ascii="Times New Roman" w:hAnsi="Times New Roman" w:cs="Times New Roman"/>
          <w:color w:val="000000"/>
          <w:sz w:val="24"/>
          <w:szCs w:val="24"/>
        </w:rPr>
        <w:t>Latvijas valsts meži</w:t>
      </w:r>
      <w:r w:rsidR="002C4AE1">
        <w:rPr>
          <w:rFonts w:ascii="Times New Roman" w:hAnsi="Times New Roman" w:cs="Times New Roman"/>
          <w:color w:val="000000"/>
          <w:sz w:val="24"/>
          <w:szCs w:val="24"/>
        </w:rPr>
        <w:t>”</w:t>
      </w:r>
      <w:r>
        <w:rPr>
          <w:rFonts w:ascii="Times New Roman" w:hAnsi="Times New Roman" w:cs="Times New Roman"/>
          <w:color w:val="000000"/>
          <w:sz w:val="24"/>
          <w:szCs w:val="24"/>
        </w:rPr>
        <w:t xml:space="preserve"> (1,9% no IKP)</w:t>
      </w:r>
      <w:r w:rsidRPr="00DC3846">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AS “Augstsprieguma tīkls” (1,3% no IKP).</w:t>
      </w:r>
    </w:p>
    <w:p w14:paraId="560E7C61" w14:textId="625CE9E8" w:rsidR="009223CE" w:rsidRDefault="009223CE" w:rsidP="00CD1365">
      <w:pPr>
        <w:spacing w:after="0" w:line="240" w:lineRule="auto"/>
        <w:jc w:val="center"/>
        <w:rPr>
          <w:rFonts w:ascii="Times New Roman" w:hAnsi="Times New Roman" w:cs="Times New Roman"/>
          <w:b/>
          <w:color w:val="000000"/>
          <w:sz w:val="24"/>
          <w:szCs w:val="24"/>
          <w:highlight w:val="yellow"/>
        </w:rPr>
      </w:pPr>
    </w:p>
    <w:p w14:paraId="5ED2BE27" w14:textId="6BB97AA0" w:rsidR="00775A8D" w:rsidRDefault="00775A8D" w:rsidP="00C87512">
      <w:pPr>
        <w:spacing w:after="0" w:line="240" w:lineRule="auto"/>
        <w:jc w:val="center"/>
        <w:rPr>
          <w:rFonts w:ascii="Times New Roman" w:hAnsi="Times New Roman" w:cs="Times New Roman"/>
          <w:b/>
          <w:color w:val="000000"/>
          <w:sz w:val="24"/>
          <w:szCs w:val="24"/>
          <w:highlight w:val="yellow"/>
        </w:rPr>
      </w:pPr>
      <w:r w:rsidRPr="00A83A27">
        <w:rPr>
          <w:noProof/>
        </w:rPr>
        <w:drawing>
          <wp:inline distT="0" distB="0" distL="0" distR="0" wp14:anchorId="45A247FB" wp14:editId="78D574C2">
            <wp:extent cx="4775200" cy="2724150"/>
            <wp:effectExtent l="0" t="0" r="0" b="0"/>
            <wp:docPr id="1321964875" name="Chart 1">
              <a:extLst xmlns:a="http://schemas.openxmlformats.org/drawingml/2006/main">
                <a:ext uri="{FF2B5EF4-FFF2-40B4-BE49-F238E27FC236}">
                  <a16:creationId xmlns:a16="http://schemas.microsoft.com/office/drawing/2014/main" id="{9411567C-C81E-43CE-81D6-6207D6ACED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61D521" w14:textId="42AECBC3" w:rsidR="00043C49" w:rsidRPr="00391462" w:rsidRDefault="60CE7B04" w:rsidP="469479B5">
      <w:pPr>
        <w:spacing w:after="0" w:line="240" w:lineRule="auto"/>
        <w:jc w:val="center"/>
        <w:rPr>
          <w:rFonts w:ascii="Times New Roman" w:hAnsi="Times New Roman" w:cs="Times New Roman"/>
          <w:color w:val="000000"/>
          <w:sz w:val="24"/>
          <w:szCs w:val="24"/>
        </w:rPr>
      </w:pPr>
      <w:r w:rsidRPr="469479B5">
        <w:rPr>
          <w:rFonts w:ascii="Times New Roman" w:hAnsi="Times New Roman" w:cs="Times New Roman"/>
          <w:b/>
          <w:bCs/>
          <w:color w:val="000000" w:themeColor="text1"/>
          <w:sz w:val="24"/>
          <w:szCs w:val="24"/>
        </w:rPr>
        <w:t>4.</w:t>
      </w:r>
      <w:r w:rsidR="193417EE" w:rsidRPr="469479B5">
        <w:rPr>
          <w:rFonts w:ascii="Times New Roman" w:hAnsi="Times New Roman" w:cs="Times New Roman"/>
          <w:b/>
          <w:bCs/>
          <w:color w:val="000000" w:themeColor="text1"/>
          <w:sz w:val="24"/>
          <w:szCs w:val="24"/>
        </w:rPr>
        <w:t>1.</w:t>
      </w:r>
      <w:r w:rsidR="000333D6">
        <w:rPr>
          <w:rFonts w:ascii="Times New Roman" w:hAnsi="Times New Roman" w:cs="Times New Roman"/>
          <w:b/>
          <w:bCs/>
          <w:color w:val="000000" w:themeColor="text1"/>
          <w:sz w:val="24"/>
          <w:szCs w:val="24"/>
        </w:rPr>
        <w:t>2</w:t>
      </w:r>
      <w:r w:rsidR="57AA465D" w:rsidRPr="469479B5">
        <w:rPr>
          <w:rFonts w:ascii="Times New Roman" w:hAnsi="Times New Roman" w:cs="Times New Roman"/>
          <w:b/>
          <w:bCs/>
          <w:color w:val="000000" w:themeColor="text1"/>
          <w:sz w:val="24"/>
          <w:szCs w:val="24"/>
        </w:rPr>
        <w:t>.</w:t>
      </w:r>
      <w:r w:rsidR="008674A0">
        <w:rPr>
          <w:rFonts w:ascii="Times New Roman" w:hAnsi="Times New Roman" w:cs="Times New Roman"/>
          <w:b/>
          <w:bCs/>
          <w:color w:val="000000" w:themeColor="text1"/>
          <w:sz w:val="24"/>
          <w:szCs w:val="24"/>
        </w:rPr>
        <w:t xml:space="preserve"> </w:t>
      </w:r>
      <w:r w:rsidR="2A25F243" w:rsidRPr="469479B5">
        <w:rPr>
          <w:rFonts w:ascii="Times New Roman" w:hAnsi="Times New Roman" w:cs="Times New Roman"/>
          <w:b/>
          <w:bCs/>
          <w:color w:val="000000" w:themeColor="text1"/>
          <w:sz w:val="24"/>
          <w:szCs w:val="24"/>
        </w:rPr>
        <w:t>attēls.</w:t>
      </w:r>
      <w:r w:rsidR="2A25F243" w:rsidRPr="469479B5">
        <w:rPr>
          <w:rFonts w:ascii="Times New Roman" w:hAnsi="Times New Roman" w:cs="Times New Roman"/>
          <w:color w:val="000000" w:themeColor="text1"/>
          <w:sz w:val="24"/>
          <w:szCs w:val="24"/>
        </w:rPr>
        <w:t xml:space="preserve"> Vispārējās valdības kontrolēto publisko kapitālsabiedrību (ārpus S.13) kopējais saistību apmērs </w:t>
      </w:r>
      <w:r w:rsidR="71D3B3F0" w:rsidRPr="469479B5">
        <w:rPr>
          <w:rFonts w:ascii="Times New Roman" w:hAnsi="Times New Roman" w:cs="Times New Roman"/>
          <w:color w:val="000000" w:themeColor="text1"/>
          <w:sz w:val="24"/>
          <w:szCs w:val="24"/>
        </w:rPr>
        <w:t>202</w:t>
      </w:r>
      <w:r w:rsidR="00820DB1">
        <w:rPr>
          <w:rFonts w:ascii="Times New Roman" w:hAnsi="Times New Roman" w:cs="Times New Roman"/>
          <w:color w:val="000000" w:themeColor="text1"/>
          <w:sz w:val="24"/>
          <w:szCs w:val="24"/>
        </w:rPr>
        <w:t>3</w:t>
      </w:r>
      <w:r w:rsidR="1CFD95C2" w:rsidRPr="469479B5">
        <w:rPr>
          <w:rFonts w:ascii="Times New Roman" w:hAnsi="Times New Roman" w:cs="Times New Roman"/>
          <w:color w:val="000000" w:themeColor="text1"/>
          <w:sz w:val="24"/>
          <w:szCs w:val="24"/>
        </w:rPr>
        <w:t>.</w:t>
      </w:r>
      <w:r w:rsidR="2DF68966" w:rsidRPr="469479B5">
        <w:rPr>
          <w:rFonts w:ascii="Times New Roman" w:hAnsi="Times New Roman" w:cs="Times New Roman"/>
          <w:b/>
          <w:bCs/>
          <w:sz w:val="24"/>
          <w:szCs w:val="24"/>
        </w:rPr>
        <w:t xml:space="preserve"> </w:t>
      </w:r>
      <w:r w:rsidR="1CFD95C2" w:rsidRPr="469479B5">
        <w:rPr>
          <w:rFonts w:ascii="Times New Roman" w:hAnsi="Times New Roman" w:cs="Times New Roman"/>
          <w:color w:val="000000" w:themeColor="text1"/>
          <w:sz w:val="24"/>
          <w:szCs w:val="24"/>
        </w:rPr>
        <w:t>gadā</w:t>
      </w:r>
      <w:r w:rsidR="00820DB1">
        <w:rPr>
          <w:rFonts w:ascii="Times New Roman" w:hAnsi="Times New Roman" w:cs="Times New Roman"/>
          <w:color w:val="000000" w:themeColor="text1"/>
          <w:sz w:val="24"/>
          <w:szCs w:val="24"/>
        </w:rPr>
        <w:t xml:space="preserve"> (*- 2022. gadā)</w:t>
      </w:r>
      <w:r w:rsidR="2A25F243" w:rsidRPr="469479B5">
        <w:rPr>
          <w:rFonts w:ascii="Times New Roman" w:hAnsi="Times New Roman" w:cs="Times New Roman"/>
          <w:color w:val="000000" w:themeColor="text1"/>
          <w:sz w:val="24"/>
          <w:szCs w:val="24"/>
        </w:rPr>
        <w:t>, % no IKP</w:t>
      </w:r>
      <w:r w:rsidR="680CEF72" w:rsidRPr="469479B5">
        <w:rPr>
          <w:rFonts w:ascii="Times New Roman" w:hAnsi="Times New Roman" w:cs="Times New Roman"/>
          <w:color w:val="000000" w:themeColor="text1"/>
          <w:sz w:val="24"/>
          <w:szCs w:val="24"/>
        </w:rPr>
        <w:t xml:space="preserve">. Avots: </w:t>
      </w:r>
      <w:r w:rsidR="680CEF72" w:rsidRPr="469479B5">
        <w:rPr>
          <w:rFonts w:ascii="Times New Roman" w:hAnsi="Times New Roman" w:cs="Times New Roman"/>
          <w:i/>
          <w:iCs/>
          <w:color w:val="000000" w:themeColor="text1"/>
          <w:sz w:val="24"/>
          <w:szCs w:val="24"/>
        </w:rPr>
        <w:t>Eurostat</w:t>
      </w:r>
    </w:p>
    <w:p w14:paraId="3E3A36CB" w14:textId="3E73BBE5" w:rsidR="00043C49" w:rsidRPr="00883EE7" w:rsidRDefault="00043C49" w:rsidP="00043C49">
      <w:pPr>
        <w:spacing w:after="0" w:line="240" w:lineRule="auto"/>
        <w:jc w:val="both"/>
        <w:rPr>
          <w:rFonts w:ascii="Times New Roman" w:hAnsi="Times New Roman" w:cs="Times New Roman"/>
          <w:color w:val="000000"/>
          <w:sz w:val="24"/>
          <w:szCs w:val="24"/>
          <w:highlight w:val="yellow"/>
        </w:rPr>
      </w:pPr>
    </w:p>
    <w:p w14:paraId="024C2A73" w14:textId="41960257" w:rsidR="000333D6" w:rsidRDefault="00043C49" w:rsidP="000333D6">
      <w:pPr>
        <w:spacing w:after="0" w:line="240" w:lineRule="auto"/>
        <w:ind w:firstLine="720"/>
        <w:jc w:val="both"/>
        <w:rPr>
          <w:rFonts w:ascii="Times New Roman" w:hAnsi="Times New Roman" w:cs="Times New Roman"/>
          <w:color w:val="000000"/>
          <w:sz w:val="24"/>
          <w:szCs w:val="24"/>
        </w:rPr>
      </w:pPr>
      <w:r w:rsidRPr="00391462">
        <w:rPr>
          <w:rFonts w:ascii="Times New Roman" w:hAnsi="Times New Roman" w:cs="Times New Roman"/>
          <w:color w:val="000000"/>
          <w:sz w:val="24"/>
          <w:szCs w:val="24"/>
        </w:rPr>
        <w:t xml:space="preserve">Starpvalstu salīdzinājumam tiek izmantoti </w:t>
      </w:r>
      <w:r w:rsidRPr="00391462">
        <w:rPr>
          <w:rFonts w:ascii="Times New Roman" w:hAnsi="Times New Roman" w:cs="Times New Roman"/>
          <w:i/>
          <w:color w:val="000000"/>
          <w:sz w:val="24"/>
          <w:szCs w:val="24"/>
        </w:rPr>
        <w:t>Eurostat</w:t>
      </w:r>
      <w:r w:rsidRPr="00391462">
        <w:rPr>
          <w:rFonts w:ascii="Times New Roman" w:hAnsi="Times New Roman" w:cs="Times New Roman"/>
          <w:color w:val="000000"/>
          <w:sz w:val="24"/>
          <w:szCs w:val="24"/>
        </w:rPr>
        <w:t xml:space="preserve"> dati par vispārējās valdības kontrolēto publisko kapitālsabiedrību (ārpus S.13) kopējo saistību apmēru, kas varētu pat precīzāk atspoguļot potenciālo ietekmes lielumu</w:t>
      </w:r>
      <w:r w:rsidR="00FD1FDA" w:rsidRPr="00391462">
        <w:rPr>
          <w:rFonts w:ascii="Times New Roman" w:hAnsi="Times New Roman" w:cs="Times New Roman"/>
          <w:color w:val="000000"/>
          <w:sz w:val="24"/>
          <w:szCs w:val="24"/>
        </w:rPr>
        <w:t xml:space="preserve"> tādiem gadījumiem, kad valdībai būtu jāpārņem kapitālsabiedrību uzņemto saistību izpilde</w:t>
      </w:r>
      <w:r w:rsidRPr="00391462">
        <w:rPr>
          <w:rFonts w:ascii="Times New Roman" w:hAnsi="Times New Roman" w:cs="Times New Roman"/>
          <w:color w:val="000000"/>
          <w:sz w:val="24"/>
          <w:szCs w:val="24"/>
        </w:rPr>
        <w:t xml:space="preserve">. </w:t>
      </w:r>
      <w:r w:rsidR="00BD74FD" w:rsidRPr="00391462">
        <w:rPr>
          <w:rFonts w:ascii="Times New Roman" w:hAnsi="Times New Roman" w:cs="Times New Roman"/>
          <w:color w:val="000000"/>
          <w:sz w:val="24"/>
          <w:szCs w:val="24"/>
        </w:rPr>
        <w:t xml:space="preserve">Kā redzams </w:t>
      </w:r>
      <w:r w:rsidR="004A4C72" w:rsidRPr="00391462">
        <w:rPr>
          <w:rFonts w:ascii="Times New Roman" w:hAnsi="Times New Roman" w:cs="Times New Roman"/>
          <w:color w:val="000000"/>
          <w:sz w:val="24"/>
          <w:szCs w:val="24"/>
        </w:rPr>
        <w:t>4.</w:t>
      </w:r>
      <w:r w:rsidR="0077673B" w:rsidRPr="00391462">
        <w:rPr>
          <w:rFonts w:ascii="Times New Roman" w:hAnsi="Times New Roman" w:cs="Times New Roman"/>
          <w:color w:val="000000"/>
          <w:sz w:val="24"/>
          <w:szCs w:val="24"/>
        </w:rPr>
        <w:t>1.</w:t>
      </w:r>
      <w:r w:rsidR="000333D6">
        <w:rPr>
          <w:rFonts w:ascii="Times New Roman" w:hAnsi="Times New Roman" w:cs="Times New Roman"/>
          <w:color w:val="000000"/>
          <w:sz w:val="24"/>
          <w:szCs w:val="24"/>
        </w:rPr>
        <w:t>2</w:t>
      </w:r>
      <w:r w:rsidR="00BC34BE" w:rsidRPr="00391462">
        <w:rPr>
          <w:rFonts w:ascii="Times New Roman" w:hAnsi="Times New Roman" w:cs="Times New Roman"/>
          <w:color w:val="000000"/>
          <w:sz w:val="24"/>
          <w:szCs w:val="24"/>
        </w:rPr>
        <w:t xml:space="preserve"> </w:t>
      </w:r>
      <w:r w:rsidRPr="00391462">
        <w:rPr>
          <w:rFonts w:ascii="Times New Roman" w:hAnsi="Times New Roman" w:cs="Times New Roman"/>
          <w:color w:val="000000"/>
          <w:sz w:val="24"/>
          <w:szCs w:val="24"/>
        </w:rPr>
        <w:t>attēl</w:t>
      </w:r>
      <w:r w:rsidR="00925871" w:rsidRPr="00391462">
        <w:rPr>
          <w:rFonts w:ascii="Times New Roman" w:hAnsi="Times New Roman" w:cs="Times New Roman"/>
          <w:color w:val="000000"/>
          <w:sz w:val="24"/>
          <w:szCs w:val="24"/>
        </w:rPr>
        <w:t>ā</w:t>
      </w:r>
      <w:r w:rsidRPr="00391462">
        <w:rPr>
          <w:rFonts w:ascii="Times New Roman" w:hAnsi="Times New Roman" w:cs="Times New Roman"/>
          <w:color w:val="000000"/>
          <w:sz w:val="24"/>
          <w:szCs w:val="24"/>
        </w:rPr>
        <w:t>, Latvija</w:t>
      </w:r>
      <w:r w:rsidR="00BD74FD" w:rsidRPr="00391462">
        <w:rPr>
          <w:rFonts w:ascii="Times New Roman" w:hAnsi="Times New Roman" w:cs="Times New Roman"/>
          <w:color w:val="000000"/>
          <w:sz w:val="24"/>
          <w:szCs w:val="24"/>
        </w:rPr>
        <w:t>,</w:t>
      </w:r>
      <w:r w:rsidRPr="00391462">
        <w:rPr>
          <w:rFonts w:ascii="Times New Roman" w:hAnsi="Times New Roman" w:cs="Times New Roman"/>
          <w:color w:val="000000"/>
          <w:sz w:val="24"/>
          <w:szCs w:val="24"/>
        </w:rPr>
        <w:t xml:space="preserve"> mērot </w:t>
      </w:r>
      <w:r w:rsidR="00BD74FD" w:rsidRPr="00391462">
        <w:rPr>
          <w:rFonts w:ascii="Times New Roman" w:hAnsi="Times New Roman" w:cs="Times New Roman"/>
          <w:color w:val="000000"/>
          <w:sz w:val="24"/>
          <w:szCs w:val="24"/>
        </w:rPr>
        <w:t>minēto kapitālsabiedrību</w:t>
      </w:r>
      <w:r w:rsidRPr="00391462">
        <w:rPr>
          <w:rFonts w:ascii="Times New Roman" w:hAnsi="Times New Roman" w:cs="Times New Roman"/>
          <w:color w:val="000000"/>
          <w:sz w:val="24"/>
          <w:szCs w:val="24"/>
        </w:rPr>
        <w:t xml:space="preserve"> saistību apmēru</w:t>
      </w:r>
      <w:r w:rsidR="00BD74FD" w:rsidRPr="00391462">
        <w:rPr>
          <w:rFonts w:ascii="Times New Roman" w:hAnsi="Times New Roman" w:cs="Times New Roman"/>
          <w:color w:val="000000"/>
          <w:sz w:val="24"/>
          <w:szCs w:val="24"/>
        </w:rPr>
        <w:t>,</w:t>
      </w:r>
      <w:r w:rsidRPr="00391462">
        <w:rPr>
          <w:rFonts w:ascii="Times New Roman" w:hAnsi="Times New Roman" w:cs="Times New Roman"/>
          <w:color w:val="000000"/>
          <w:sz w:val="24"/>
          <w:szCs w:val="24"/>
        </w:rPr>
        <w:t xml:space="preserve"> atrodas zem ES </w:t>
      </w:r>
      <w:r w:rsidR="00882DEB" w:rsidRPr="00391462">
        <w:rPr>
          <w:rFonts w:ascii="Times New Roman" w:hAnsi="Times New Roman" w:cs="Times New Roman"/>
          <w:color w:val="000000"/>
          <w:sz w:val="24"/>
          <w:szCs w:val="24"/>
        </w:rPr>
        <w:t xml:space="preserve">dalībvalstu </w:t>
      </w:r>
      <w:r w:rsidR="00882DEB" w:rsidRPr="00C3009D">
        <w:rPr>
          <w:rFonts w:ascii="Times New Roman" w:hAnsi="Times New Roman" w:cs="Times New Roman"/>
          <w:color w:val="000000"/>
          <w:sz w:val="24"/>
          <w:szCs w:val="24"/>
        </w:rPr>
        <w:t>mediānas</w:t>
      </w:r>
      <w:r w:rsidR="008201BD" w:rsidRPr="00C3009D">
        <w:rPr>
          <w:rFonts w:ascii="Times New Roman" w:hAnsi="Times New Roman" w:cs="Times New Roman"/>
          <w:color w:val="000000"/>
          <w:sz w:val="24"/>
          <w:szCs w:val="24"/>
        </w:rPr>
        <w:t xml:space="preserve"> </w:t>
      </w:r>
      <w:r w:rsidR="008201BD" w:rsidRPr="00391462">
        <w:rPr>
          <w:rFonts w:ascii="Times New Roman" w:hAnsi="Times New Roman" w:cs="Times New Roman"/>
          <w:color w:val="000000"/>
          <w:sz w:val="24"/>
          <w:szCs w:val="24"/>
        </w:rPr>
        <w:t>(4.</w:t>
      </w:r>
      <w:r w:rsidR="0077673B" w:rsidRPr="00391462">
        <w:rPr>
          <w:rFonts w:ascii="Times New Roman" w:hAnsi="Times New Roman" w:cs="Times New Roman"/>
          <w:color w:val="000000"/>
          <w:sz w:val="24"/>
          <w:szCs w:val="24"/>
        </w:rPr>
        <w:t>1.</w:t>
      </w:r>
      <w:r w:rsidR="000333D6">
        <w:rPr>
          <w:rFonts w:ascii="Times New Roman" w:hAnsi="Times New Roman" w:cs="Times New Roman"/>
          <w:color w:val="000000"/>
          <w:sz w:val="24"/>
          <w:szCs w:val="24"/>
        </w:rPr>
        <w:t>2</w:t>
      </w:r>
      <w:r w:rsidR="00BC34BE" w:rsidRPr="00391462">
        <w:rPr>
          <w:rFonts w:ascii="Times New Roman" w:hAnsi="Times New Roman" w:cs="Times New Roman"/>
          <w:color w:val="000000"/>
          <w:sz w:val="24"/>
          <w:szCs w:val="24"/>
        </w:rPr>
        <w:t xml:space="preserve"> </w:t>
      </w:r>
      <w:r w:rsidR="008201BD" w:rsidRPr="00391462">
        <w:rPr>
          <w:rFonts w:ascii="Times New Roman" w:hAnsi="Times New Roman" w:cs="Times New Roman"/>
          <w:color w:val="000000"/>
          <w:sz w:val="24"/>
          <w:szCs w:val="24"/>
        </w:rPr>
        <w:t xml:space="preserve">attēlā </w:t>
      </w:r>
      <w:r w:rsidR="00C01DD8" w:rsidRPr="00391462">
        <w:rPr>
          <w:rFonts w:ascii="Times New Roman" w:hAnsi="Times New Roman" w:cs="Times New Roman"/>
          <w:color w:val="000000"/>
          <w:sz w:val="24"/>
          <w:szCs w:val="24"/>
        </w:rPr>
        <w:t xml:space="preserve">pelēkā </w:t>
      </w:r>
      <w:r w:rsidR="008201BD" w:rsidRPr="00391462">
        <w:rPr>
          <w:rFonts w:ascii="Times New Roman" w:hAnsi="Times New Roman" w:cs="Times New Roman"/>
          <w:color w:val="000000"/>
          <w:sz w:val="24"/>
          <w:szCs w:val="24"/>
        </w:rPr>
        <w:t xml:space="preserve">krāsā iekrāsota kolonna, kas atbilst </w:t>
      </w:r>
      <w:r w:rsidR="00820DB1">
        <w:rPr>
          <w:rFonts w:ascii="Times New Roman" w:hAnsi="Times New Roman" w:cs="Times New Roman"/>
          <w:color w:val="000000"/>
          <w:sz w:val="24"/>
          <w:szCs w:val="24"/>
        </w:rPr>
        <w:t>Austrijas</w:t>
      </w:r>
      <w:r w:rsidR="00820DB1" w:rsidRPr="00391462">
        <w:rPr>
          <w:rFonts w:ascii="Times New Roman" w:hAnsi="Times New Roman" w:cs="Times New Roman"/>
          <w:color w:val="000000"/>
          <w:sz w:val="24"/>
          <w:szCs w:val="24"/>
        </w:rPr>
        <w:t xml:space="preserve"> </w:t>
      </w:r>
      <w:r w:rsidR="008201BD" w:rsidRPr="00391462">
        <w:rPr>
          <w:rFonts w:ascii="Times New Roman" w:hAnsi="Times New Roman" w:cs="Times New Roman"/>
          <w:color w:val="000000"/>
          <w:sz w:val="24"/>
          <w:szCs w:val="24"/>
        </w:rPr>
        <w:t>rādītājam</w:t>
      </w:r>
      <w:r w:rsidR="00C87512">
        <w:rPr>
          <w:rFonts w:ascii="Times New Roman" w:hAnsi="Times New Roman" w:cs="Times New Roman"/>
          <w:color w:val="000000"/>
          <w:sz w:val="24"/>
          <w:szCs w:val="24"/>
        </w:rPr>
        <w:t>, 24,</w:t>
      </w:r>
      <w:r w:rsidR="00C3009D">
        <w:rPr>
          <w:rFonts w:ascii="Times New Roman" w:hAnsi="Times New Roman" w:cs="Times New Roman"/>
          <w:color w:val="000000"/>
          <w:sz w:val="24"/>
          <w:szCs w:val="24"/>
        </w:rPr>
        <w:t>7</w:t>
      </w:r>
      <w:r w:rsidR="00C87512">
        <w:rPr>
          <w:rFonts w:ascii="Times New Roman" w:hAnsi="Times New Roman" w:cs="Times New Roman"/>
          <w:color w:val="000000"/>
          <w:sz w:val="24"/>
          <w:szCs w:val="24"/>
        </w:rPr>
        <w:t>% no IKP</w:t>
      </w:r>
      <w:r w:rsidR="008201BD" w:rsidRPr="00391462">
        <w:rPr>
          <w:rFonts w:ascii="Times New Roman" w:hAnsi="Times New Roman" w:cs="Times New Roman"/>
          <w:color w:val="000000"/>
          <w:sz w:val="24"/>
          <w:szCs w:val="24"/>
        </w:rPr>
        <w:t>)</w:t>
      </w:r>
      <w:r w:rsidR="00882DEB" w:rsidRPr="00391462">
        <w:rPr>
          <w:rFonts w:ascii="Times New Roman" w:hAnsi="Times New Roman" w:cs="Times New Roman"/>
          <w:color w:val="000000"/>
          <w:sz w:val="24"/>
          <w:szCs w:val="24"/>
        </w:rPr>
        <w:t xml:space="preserve"> un </w:t>
      </w:r>
      <w:r w:rsidRPr="00391462">
        <w:rPr>
          <w:rFonts w:ascii="Times New Roman" w:hAnsi="Times New Roman" w:cs="Times New Roman"/>
          <w:color w:val="000000"/>
          <w:sz w:val="24"/>
          <w:szCs w:val="24"/>
        </w:rPr>
        <w:t>vidējā rādītāja</w:t>
      </w:r>
      <w:r w:rsidR="008201BD" w:rsidRPr="00391462">
        <w:rPr>
          <w:rFonts w:ascii="Times New Roman" w:hAnsi="Times New Roman" w:cs="Times New Roman"/>
          <w:color w:val="000000"/>
          <w:sz w:val="24"/>
          <w:szCs w:val="24"/>
        </w:rPr>
        <w:t xml:space="preserve"> (4.</w:t>
      </w:r>
      <w:r w:rsidR="0077673B" w:rsidRPr="00391462">
        <w:rPr>
          <w:rFonts w:ascii="Times New Roman" w:hAnsi="Times New Roman" w:cs="Times New Roman"/>
          <w:color w:val="000000"/>
          <w:sz w:val="24"/>
          <w:szCs w:val="24"/>
        </w:rPr>
        <w:t>1.</w:t>
      </w:r>
      <w:r w:rsidR="000333D6">
        <w:rPr>
          <w:rFonts w:ascii="Times New Roman" w:hAnsi="Times New Roman" w:cs="Times New Roman"/>
          <w:color w:val="000000"/>
          <w:sz w:val="24"/>
          <w:szCs w:val="24"/>
        </w:rPr>
        <w:t>2</w:t>
      </w:r>
      <w:r w:rsidR="008201BD" w:rsidRPr="00391462">
        <w:rPr>
          <w:rFonts w:ascii="Times New Roman" w:hAnsi="Times New Roman" w:cs="Times New Roman"/>
          <w:color w:val="000000"/>
          <w:sz w:val="24"/>
          <w:szCs w:val="24"/>
        </w:rPr>
        <w:t xml:space="preserve"> attēlā atspoguļotā </w:t>
      </w:r>
      <w:r w:rsidR="00820DB1">
        <w:rPr>
          <w:rFonts w:ascii="Times New Roman" w:hAnsi="Times New Roman" w:cs="Times New Roman"/>
          <w:color w:val="000000"/>
          <w:sz w:val="24"/>
          <w:szCs w:val="24"/>
        </w:rPr>
        <w:t>zaļā</w:t>
      </w:r>
      <w:r w:rsidR="00820DB1" w:rsidRPr="00391462">
        <w:rPr>
          <w:rFonts w:ascii="Times New Roman" w:hAnsi="Times New Roman" w:cs="Times New Roman"/>
          <w:color w:val="000000"/>
          <w:sz w:val="24"/>
          <w:szCs w:val="24"/>
        </w:rPr>
        <w:t xml:space="preserve"> </w:t>
      </w:r>
      <w:r w:rsidR="008201BD" w:rsidRPr="00391462">
        <w:rPr>
          <w:rFonts w:ascii="Times New Roman" w:hAnsi="Times New Roman" w:cs="Times New Roman"/>
          <w:color w:val="000000"/>
          <w:sz w:val="24"/>
          <w:szCs w:val="24"/>
        </w:rPr>
        <w:t>līnija</w:t>
      </w:r>
      <w:r w:rsidR="00820DB1">
        <w:rPr>
          <w:rFonts w:ascii="Times New Roman" w:hAnsi="Times New Roman" w:cs="Times New Roman"/>
          <w:color w:val="000000"/>
          <w:sz w:val="24"/>
          <w:szCs w:val="24"/>
        </w:rPr>
        <w:t>, 32,7% no IKP</w:t>
      </w:r>
      <w:r w:rsidR="008201BD" w:rsidRPr="00391462">
        <w:rPr>
          <w:rFonts w:ascii="Times New Roman" w:hAnsi="Times New Roman" w:cs="Times New Roman"/>
          <w:color w:val="000000"/>
          <w:sz w:val="24"/>
          <w:szCs w:val="24"/>
        </w:rPr>
        <w:t>)</w:t>
      </w:r>
      <w:r w:rsidR="00C87512">
        <w:rPr>
          <w:rFonts w:ascii="Times New Roman" w:hAnsi="Times New Roman" w:cs="Times New Roman"/>
          <w:color w:val="000000"/>
          <w:sz w:val="24"/>
          <w:szCs w:val="24"/>
        </w:rPr>
        <w:t>.</w:t>
      </w:r>
      <w:r w:rsidR="00882DEB" w:rsidRPr="00391462">
        <w:rPr>
          <w:rFonts w:ascii="Times New Roman" w:hAnsi="Times New Roman" w:cs="Times New Roman"/>
          <w:color w:val="000000"/>
          <w:sz w:val="24"/>
          <w:szCs w:val="24"/>
        </w:rPr>
        <w:t xml:space="preserve"> </w:t>
      </w:r>
      <w:r w:rsidR="00820DB1">
        <w:rPr>
          <w:rFonts w:ascii="Times New Roman" w:hAnsi="Times New Roman" w:cs="Times New Roman"/>
          <w:color w:val="000000"/>
          <w:sz w:val="24"/>
          <w:szCs w:val="24"/>
        </w:rPr>
        <w:t>Vienlaikus</w:t>
      </w:r>
      <w:r w:rsidR="00820DB1" w:rsidRPr="00391462">
        <w:rPr>
          <w:rFonts w:ascii="Times New Roman" w:hAnsi="Times New Roman" w:cs="Times New Roman"/>
          <w:color w:val="000000"/>
          <w:sz w:val="24"/>
          <w:szCs w:val="24"/>
        </w:rPr>
        <w:t xml:space="preserve"> </w:t>
      </w:r>
      <w:r w:rsidR="00882DEB" w:rsidRPr="00391462">
        <w:rPr>
          <w:rFonts w:ascii="Times New Roman" w:hAnsi="Times New Roman" w:cs="Times New Roman"/>
          <w:color w:val="000000"/>
          <w:sz w:val="24"/>
          <w:szCs w:val="24"/>
        </w:rPr>
        <w:t>jāatzīmē, ka</w:t>
      </w:r>
      <w:r w:rsidR="00FD1FDA" w:rsidRPr="00391462">
        <w:rPr>
          <w:rFonts w:ascii="Times New Roman" w:hAnsi="Times New Roman" w:cs="Times New Roman"/>
          <w:color w:val="000000"/>
          <w:sz w:val="24"/>
          <w:szCs w:val="24"/>
        </w:rPr>
        <w:t xml:space="preserve"> </w:t>
      </w:r>
      <w:r w:rsidR="00820DB1" w:rsidRPr="00AB0656">
        <w:rPr>
          <w:rFonts w:ascii="Times New Roman" w:hAnsi="Times New Roman" w:cs="Times New Roman"/>
          <w:color w:val="000000"/>
          <w:sz w:val="24"/>
          <w:szCs w:val="24"/>
        </w:rPr>
        <w:t xml:space="preserve">vispārējās valdības kontrolēto publisko kapitālsabiedrību (ārpus S.13) kopējais saistību apmērs </w:t>
      </w:r>
      <w:r w:rsidR="00882DEB" w:rsidRPr="00391462">
        <w:rPr>
          <w:rFonts w:ascii="Times New Roman" w:hAnsi="Times New Roman" w:cs="Times New Roman"/>
          <w:color w:val="000000"/>
          <w:sz w:val="24"/>
          <w:szCs w:val="24"/>
        </w:rPr>
        <w:t>Latvijai</w:t>
      </w:r>
      <w:r w:rsidR="00FD1FDA" w:rsidRPr="00391462">
        <w:rPr>
          <w:rFonts w:ascii="Times New Roman" w:hAnsi="Times New Roman" w:cs="Times New Roman"/>
          <w:color w:val="000000"/>
          <w:sz w:val="24"/>
          <w:szCs w:val="24"/>
        </w:rPr>
        <w:t xml:space="preserve"> ir bijis salīdzinoši stabils</w:t>
      </w:r>
      <w:r w:rsidR="005E0C04" w:rsidRPr="00391462">
        <w:rPr>
          <w:rFonts w:ascii="Times New Roman" w:hAnsi="Times New Roman" w:cs="Times New Roman"/>
          <w:color w:val="000000"/>
          <w:sz w:val="24"/>
          <w:szCs w:val="24"/>
        </w:rPr>
        <w:t xml:space="preserve"> ilgstošā laika </w:t>
      </w:r>
      <w:r w:rsidR="00820DB1">
        <w:rPr>
          <w:rFonts w:ascii="Times New Roman" w:hAnsi="Times New Roman" w:cs="Times New Roman"/>
          <w:color w:val="000000"/>
          <w:sz w:val="24"/>
          <w:szCs w:val="24"/>
        </w:rPr>
        <w:t>posmā</w:t>
      </w:r>
      <w:r w:rsidR="00FD1FDA" w:rsidRPr="00391462">
        <w:rPr>
          <w:rFonts w:ascii="Times New Roman" w:hAnsi="Times New Roman" w:cs="Times New Roman"/>
          <w:color w:val="000000"/>
          <w:sz w:val="24"/>
          <w:szCs w:val="24"/>
        </w:rPr>
        <w:t xml:space="preserve">, </w:t>
      </w:r>
      <w:r w:rsidR="00114006" w:rsidRPr="00391462">
        <w:rPr>
          <w:rFonts w:ascii="Times New Roman" w:hAnsi="Times New Roman" w:cs="Times New Roman"/>
          <w:color w:val="000000"/>
          <w:sz w:val="24"/>
          <w:szCs w:val="24"/>
        </w:rPr>
        <w:t>kā redzams 4.1.</w:t>
      </w:r>
      <w:r w:rsidR="000333D6">
        <w:rPr>
          <w:rFonts w:ascii="Times New Roman" w:hAnsi="Times New Roman" w:cs="Times New Roman"/>
          <w:color w:val="000000"/>
          <w:sz w:val="24"/>
          <w:szCs w:val="24"/>
        </w:rPr>
        <w:t>3</w:t>
      </w:r>
      <w:r w:rsidR="00114006" w:rsidRPr="00391462">
        <w:rPr>
          <w:rFonts w:ascii="Times New Roman" w:hAnsi="Times New Roman" w:cs="Times New Roman"/>
          <w:color w:val="000000"/>
          <w:sz w:val="24"/>
          <w:szCs w:val="24"/>
        </w:rPr>
        <w:t xml:space="preserve"> attēlā</w:t>
      </w:r>
      <w:r w:rsidR="00114006">
        <w:rPr>
          <w:rFonts w:ascii="Times New Roman" w:hAnsi="Times New Roman" w:cs="Times New Roman"/>
          <w:color w:val="000000"/>
          <w:sz w:val="24"/>
          <w:szCs w:val="24"/>
        </w:rPr>
        <w:t xml:space="preserve">, </w:t>
      </w:r>
      <w:r w:rsidR="00820DB1">
        <w:rPr>
          <w:rFonts w:ascii="Times New Roman" w:hAnsi="Times New Roman" w:cs="Times New Roman"/>
          <w:color w:val="000000"/>
          <w:sz w:val="24"/>
          <w:szCs w:val="24"/>
        </w:rPr>
        <w:t xml:space="preserve">desmit gadu periodā vidēji esot 21,2% </w:t>
      </w:r>
      <w:r w:rsidR="00FD1FDA" w:rsidRPr="00391462">
        <w:rPr>
          <w:rFonts w:ascii="Times New Roman" w:hAnsi="Times New Roman" w:cs="Times New Roman"/>
          <w:color w:val="000000"/>
          <w:sz w:val="24"/>
          <w:szCs w:val="24"/>
        </w:rPr>
        <w:t>no IKP atzīmes</w:t>
      </w:r>
      <w:r w:rsidR="00114006">
        <w:rPr>
          <w:rFonts w:ascii="Times New Roman" w:hAnsi="Times New Roman" w:cs="Times New Roman"/>
          <w:color w:val="000000"/>
          <w:sz w:val="24"/>
          <w:szCs w:val="24"/>
        </w:rPr>
        <w:t>.</w:t>
      </w:r>
      <w:r w:rsidR="002560FB" w:rsidRPr="00391462">
        <w:rPr>
          <w:rFonts w:ascii="Times New Roman" w:hAnsi="Times New Roman" w:cs="Times New Roman"/>
          <w:color w:val="000000"/>
          <w:sz w:val="24"/>
          <w:szCs w:val="24"/>
        </w:rPr>
        <w:t xml:space="preserve"> </w:t>
      </w:r>
    </w:p>
    <w:p w14:paraId="3C59052F" w14:textId="5BFF39F6" w:rsidR="000C3D96" w:rsidRPr="000333D6" w:rsidRDefault="000C3D96" w:rsidP="000333D6">
      <w:pPr>
        <w:spacing w:after="0" w:line="240" w:lineRule="auto"/>
        <w:ind w:firstLine="720"/>
        <w:jc w:val="both"/>
        <w:rPr>
          <w:rFonts w:ascii="Times New Roman" w:hAnsi="Times New Roman" w:cs="Times New Roman"/>
          <w:color w:val="000000"/>
          <w:sz w:val="24"/>
          <w:szCs w:val="24"/>
        </w:rPr>
      </w:pPr>
    </w:p>
    <w:p w14:paraId="7518E983" w14:textId="46CBD979" w:rsidR="005E0C04" w:rsidRPr="00883EE7" w:rsidRDefault="000C3D96" w:rsidP="00C87512">
      <w:pPr>
        <w:spacing w:after="0" w:line="240" w:lineRule="auto"/>
        <w:jc w:val="center"/>
        <w:rPr>
          <w:rFonts w:ascii="Times New Roman" w:hAnsi="Times New Roman" w:cs="Times New Roman"/>
          <w:i/>
          <w:iCs/>
          <w:color w:val="000000"/>
          <w:sz w:val="24"/>
          <w:szCs w:val="24"/>
          <w:highlight w:val="yellow"/>
        </w:rPr>
      </w:pPr>
      <w:r>
        <w:rPr>
          <w:noProof/>
        </w:rPr>
        <w:drawing>
          <wp:inline distT="0" distB="0" distL="0" distR="0" wp14:anchorId="0F250764" wp14:editId="22DFFDD6">
            <wp:extent cx="4679950" cy="2165350"/>
            <wp:effectExtent l="0" t="0" r="6350" b="6350"/>
            <wp:docPr id="783182509" name="Chart 1">
              <a:extLst xmlns:a="http://schemas.openxmlformats.org/drawingml/2006/main">
                <a:ext uri="{FF2B5EF4-FFF2-40B4-BE49-F238E27FC236}">
                  <a16:creationId xmlns:a16="http://schemas.microsoft.com/office/drawing/2014/main" id="{267F4E26-3B9E-775A-6762-F08079F912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F56444">
        <w:br/>
      </w:r>
      <w:r w:rsidR="3BF97D59" w:rsidRPr="469479B5">
        <w:rPr>
          <w:rFonts w:ascii="Times New Roman" w:hAnsi="Times New Roman" w:cs="Times New Roman"/>
          <w:b/>
          <w:bCs/>
          <w:color w:val="000000" w:themeColor="text1"/>
          <w:sz w:val="24"/>
          <w:szCs w:val="24"/>
        </w:rPr>
        <w:t>4.</w:t>
      </w:r>
      <w:r w:rsidR="193417EE" w:rsidRPr="469479B5">
        <w:rPr>
          <w:rFonts w:ascii="Times New Roman" w:hAnsi="Times New Roman" w:cs="Times New Roman"/>
          <w:b/>
          <w:bCs/>
          <w:color w:val="000000" w:themeColor="text1"/>
          <w:sz w:val="24"/>
          <w:szCs w:val="24"/>
        </w:rPr>
        <w:t>1.</w:t>
      </w:r>
      <w:r w:rsidR="000333D6">
        <w:rPr>
          <w:rFonts w:ascii="Times New Roman" w:hAnsi="Times New Roman" w:cs="Times New Roman"/>
          <w:b/>
          <w:bCs/>
          <w:color w:val="000000" w:themeColor="text1"/>
          <w:sz w:val="24"/>
          <w:szCs w:val="24"/>
        </w:rPr>
        <w:t>3</w:t>
      </w:r>
      <w:r w:rsidR="3BF97D59" w:rsidRPr="469479B5">
        <w:rPr>
          <w:rFonts w:ascii="Times New Roman" w:hAnsi="Times New Roman" w:cs="Times New Roman"/>
          <w:b/>
          <w:bCs/>
          <w:color w:val="000000" w:themeColor="text1"/>
          <w:sz w:val="24"/>
          <w:szCs w:val="24"/>
        </w:rPr>
        <w:t>.</w:t>
      </w:r>
      <w:r w:rsidR="008674A0">
        <w:rPr>
          <w:rFonts w:ascii="Times New Roman" w:hAnsi="Times New Roman" w:cs="Times New Roman"/>
          <w:b/>
          <w:bCs/>
          <w:color w:val="000000" w:themeColor="text1"/>
          <w:sz w:val="24"/>
          <w:szCs w:val="24"/>
        </w:rPr>
        <w:t xml:space="preserve"> </w:t>
      </w:r>
      <w:r w:rsidR="3BF97D59" w:rsidRPr="469479B5">
        <w:rPr>
          <w:rFonts w:ascii="Times New Roman" w:hAnsi="Times New Roman" w:cs="Times New Roman"/>
          <w:b/>
          <w:bCs/>
          <w:color w:val="000000" w:themeColor="text1"/>
          <w:sz w:val="24"/>
          <w:szCs w:val="24"/>
        </w:rPr>
        <w:t>attēls.</w:t>
      </w:r>
      <w:r w:rsidR="3BF97D59" w:rsidRPr="469479B5">
        <w:rPr>
          <w:rFonts w:ascii="Times New Roman" w:hAnsi="Times New Roman" w:cs="Times New Roman"/>
          <w:color w:val="000000" w:themeColor="text1"/>
          <w:sz w:val="24"/>
          <w:szCs w:val="24"/>
        </w:rPr>
        <w:t xml:space="preserve"> Vispārējās valdības kontrolēto publisko kapitālsabiedrību (ārpus S.13) kopējais saistību apmērs no </w:t>
      </w:r>
      <w:r w:rsidR="7FC235EA" w:rsidRPr="469479B5">
        <w:rPr>
          <w:rFonts w:ascii="Times New Roman" w:hAnsi="Times New Roman" w:cs="Times New Roman"/>
          <w:color w:val="000000" w:themeColor="text1"/>
          <w:sz w:val="24"/>
          <w:szCs w:val="24"/>
        </w:rPr>
        <w:t>201</w:t>
      </w:r>
      <w:r w:rsidR="53E3A507" w:rsidRPr="469479B5">
        <w:rPr>
          <w:rFonts w:ascii="Times New Roman" w:hAnsi="Times New Roman" w:cs="Times New Roman"/>
          <w:color w:val="000000" w:themeColor="text1"/>
          <w:sz w:val="24"/>
          <w:szCs w:val="24"/>
        </w:rPr>
        <w:t>3</w:t>
      </w:r>
      <w:r w:rsidR="3BF97D59" w:rsidRPr="469479B5">
        <w:rPr>
          <w:rFonts w:ascii="Times New Roman" w:hAnsi="Times New Roman" w:cs="Times New Roman"/>
          <w:color w:val="000000" w:themeColor="text1"/>
          <w:sz w:val="24"/>
          <w:szCs w:val="24"/>
        </w:rPr>
        <w:t xml:space="preserve">. līdz </w:t>
      </w:r>
      <w:r w:rsidR="7FC235EA" w:rsidRPr="469479B5">
        <w:rPr>
          <w:rFonts w:ascii="Times New Roman" w:hAnsi="Times New Roman" w:cs="Times New Roman"/>
          <w:color w:val="000000" w:themeColor="text1"/>
          <w:sz w:val="24"/>
          <w:szCs w:val="24"/>
        </w:rPr>
        <w:t>202</w:t>
      </w:r>
      <w:r w:rsidR="00820DB1">
        <w:rPr>
          <w:rFonts w:ascii="Times New Roman" w:hAnsi="Times New Roman" w:cs="Times New Roman"/>
          <w:color w:val="000000" w:themeColor="text1"/>
          <w:sz w:val="24"/>
          <w:szCs w:val="24"/>
        </w:rPr>
        <w:t>3</w:t>
      </w:r>
      <w:r w:rsidR="3BF97D59" w:rsidRPr="469479B5">
        <w:rPr>
          <w:rFonts w:ascii="Times New Roman" w:hAnsi="Times New Roman" w:cs="Times New Roman"/>
          <w:color w:val="000000" w:themeColor="text1"/>
          <w:sz w:val="24"/>
          <w:szCs w:val="24"/>
        </w:rPr>
        <w:t>.</w:t>
      </w:r>
      <w:r w:rsidR="7ABAD7E2" w:rsidRPr="469479B5">
        <w:rPr>
          <w:rFonts w:ascii="Times New Roman" w:hAnsi="Times New Roman" w:cs="Times New Roman"/>
          <w:b/>
          <w:bCs/>
          <w:sz w:val="24"/>
          <w:szCs w:val="24"/>
        </w:rPr>
        <w:t xml:space="preserve"> </w:t>
      </w:r>
      <w:r w:rsidR="3BF97D59" w:rsidRPr="469479B5">
        <w:rPr>
          <w:rFonts w:ascii="Times New Roman" w:hAnsi="Times New Roman" w:cs="Times New Roman"/>
          <w:color w:val="000000" w:themeColor="text1"/>
          <w:sz w:val="24"/>
          <w:szCs w:val="24"/>
        </w:rPr>
        <w:t xml:space="preserve">gadam, % no IKP. Avots: </w:t>
      </w:r>
      <w:r w:rsidR="3BF97D59" w:rsidRPr="000E69F0">
        <w:rPr>
          <w:rFonts w:ascii="Times New Roman" w:hAnsi="Times New Roman" w:cs="Times New Roman"/>
          <w:i/>
          <w:iCs/>
          <w:color w:val="000000" w:themeColor="text1"/>
          <w:sz w:val="24"/>
          <w:szCs w:val="24"/>
        </w:rPr>
        <w:t>Eurostat</w:t>
      </w:r>
    </w:p>
    <w:p w14:paraId="75F1A17E" w14:textId="77777777" w:rsidR="005E0C04" w:rsidRPr="00391462" w:rsidRDefault="005E0C04" w:rsidP="00D64BA9">
      <w:pPr>
        <w:spacing w:after="0" w:line="240" w:lineRule="auto"/>
        <w:jc w:val="center"/>
        <w:rPr>
          <w:rFonts w:ascii="Times New Roman" w:hAnsi="Times New Roman" w:cs="Times New Roman"/>
          <w:color w:val="000000"/>
          <w:sz w:val="24"/>
          <w:szCs w:val="24"/>
        </w:rPr>
      </w:pPr>
    </w:p>
    <w:p w14:paraId="1B5BE7D4" w14:textId="7B4584E7" w:rsidR="00043C49" w:rsidRPr="00945DC6" w:rsidRDefault="00925871" w:rsidP="0058124B">
      <w:pPr>
        <w:pStyle w:val="Heading2"/>
        <w:numPr>
          <w:ilvl w:val="1"/>
          <w:numId w:val="4"/>
        </w:numPr>
        <w:spacing w:before="120" w:after="120" w:line="240" w:lineRule="auto"/>
        <w:ind w:left="284"/>
        <w:rPr>
          <w:rFonts w:cs="Times New Roman"/>
          <w:color w:val="000000"/>
          <w:szCs w:val="24"/>
        </w:rPr>
      </w:pPr>
      <w:r w:rsidRPr="00391462">
        <w:rPr>
          <w:rFonts w:cs="Times New Roman"/>
          <w:color w:val="000000"/>
          <w:szCs w:val="24"/>
        </w:rPr>
        <w:t xml:space="preserve"> </w:t>
      </w:r>
      <w:bookmarkStart w:id="345" w:name="_Toc205554432"/>
      <w:r w:rsidR="00043C49" w:rsidRPr="00945DC6">
        <w:rPr>
          <w:rFonts w:cs="Times New Roman"/>
          <w:color w:val="000000"/>
          <w:szCs w:val="24"/>
        </w:rPr>
        <w:t>Vispārējās valdības sektora galvojumi</w:t>
      </w:r>
      <w:bookmarkEnd w:id="345"/>
    </w:p>
    <w:p w14:paraId="45B01D92" w14:textId="1153D655" w:rsidR="00043C49" w:rsidRPr="00391462" w:rsidRDefault="00043C49" w:rsidP="003E63F7">
      <w:pPr>
        <w:spacing w:before="240" w:after="0" w:line="240" w:lineRule="auto"/>
        <w:ind w:firstLine="720"/>
        <w:jc w:val="both"/>
        <w:rPr>
          <w:rFonts w:ascii="Times New Roman" w:hAnsi="Times New Roman" w:cs="Times New Roman"/>
          <w:color w:val="000000"/>
          <w:sz w:val="24"/>
          <w:szCs w:val="24"/>
        </w:rPr>
      </w:pPr>
      <w:r w:rsidRPr="00391462">
        <w:rPr>
          <w:rFonts w:ascii="Times New Roman" w:hAnsi="Times New Roman" w:cs="Times New Roman"/>
          <w:color w:val="000000"/>
          <w:sz w:val="24"/>
          <w:szCs w:val="24"/>
        </w:rPr>
        <w:t xml:space="preserve">Vēl viena </w:t>
      </w:r>
      <w:r w:rsidR="00BD74FD" w:rsidRPr="00391462">
        <w:rPr>
          <w:rFonts w:ascii="Times New Roman" w:hAnsi="Times New Roman" w:cs="Times New Roman"/>
          <w:color w:val="000000"/>
          <w:sz w:val="24"/>
          <w:szCs w:val="24"/>
        </w:rPr>
        <w:t xml:space="preserve">valsts </w:t>
      </w:r>
      <w:r w:rsidRPr="00391462">
        <w:rPr>
          <w:rFonts w:ascii="Times New Roman" w:hAnsi="Times New Roman" w:cs="Times New Roman"/>
          <w:color w:val="000000"/>
          <w:sz w:val="24"/>
          <w:szCs w:val="24"/>
        </w:rPr>
        <w:t>sniegtā atbalsta forma publiskajām un privātajām komercsabiedrībām krī</w:t>
      </w:r>
      <w:r w:rsidR="00623B8B" w:rsidRPr="00391462">
        <w:rPr>
          <w:rFonts w:ascii="Times New Roman" w:hAnsi="Times New Roman" w:cs="Times New Roman"/>
          <w:color w:val="000000"/>
          <w:sz w:val="24"/>
          <w:szCs w:val="24"/>
        </w:rPr>
        <w:t>žu</w:t>
      </w:r>
      <w:r w:rsidRPr="00391462">
        <w:rPr>
          <w:rFonts w:ascii="Times New Roman" w:hAnsi="Times New Roman" w:cs="Times New Roman"/>
          <w:color w:val="000000"/>
          <w:sz w:val="24"/>
          <w:szCs w:val="24"/>
        </w:rPr>
        <w:t xml:space="preserve"> seku mazināšanai gan Latvijā, gan Eiropā un pasaulē, ir atbalsts ar finanšu instrumentiem</w:t>
      </w:r>
      <w:r w:rsidR="00820DB1">
        <w:rPr>
          <w:rFonts w:ascii="Times New Roman" w:hAnsi="Times New Roman" w:cs="Times New Roman"/>
          <w:color w:val="000000"/>
          <w:sz w:val="24"/>
          <w:szCs w:val="24"/>
        </w:rPr>
        <w:t>,</w:t>
      </w:r>
      <w:r w:rsidRPr="00391462">
        <w:rPr>
          <w:rFonts w:ascii="Times New Roman" w:hAnsi="Times New Roman" w:cs="Times New Roman"/>
          <w:color w:val="000000"/>
          <w:sz w:val="24"/>
          <w:szCs w:val="24"/>
        </w:rPr>
        <w:t xml:space="preserve"> t.sk. vispārējās valdības sektora galvojumiem</w:t>
      </w:r>
      <w:r w:rsidR="00820DB1">
        <w:rPr>
          <w:rFonts w:ascii="Times New Roman" w:hAnsi="Times New Roman" w:cs="Times New Roman"/>
          <w:color w:val="000000"/>
          <w:sz w:val="24"/>
          <w:szCs w:val="24"/>
        </w:rPr>
        <w:t xml:space="preserve">, </w:t>
      </w:r>
      <w:r w:rsidR="00820DB1" w:rsidRPr="00756C7C">
        <w:rPr>
          <w:rFonts w:ascii="Times New Roman" w:hAnsi="Times New Roman" w:cs="Times New Roman"/>
          <w:color w:val="000000"/>
          <w:sz w:val="24"/>
          <w:szCs w:val="24"/>
        </w:rPr>
        <w:t>kas piešķirti ārpus vispārējās valdības sektora klasificētām vienībām</w:t>
      </w:r>
      <w:r w:rsidRPr="00391462">
        <w:rPr>
          <w:rFonts w:ascii="Times New Roman" w:hAnsi="Times New Roman" w:cs="Times New Roman"/>
          <w:color w:val="000000"/>
          <w:sz w:val="24"/>
          <w:szCs w:val="24"/>
        </w:rPr>
        <w:t>.</w:t>
      </w:r>
    </w:p>
    <w:p w14:paraId="337605EE" w14:textId="0D354584" w:rsidR="0028010E" w:rsidRDefault="00043C49" w:rsidP="004417BD">
      <w:pPr>
        <w:spacing w:after="0" w:line="240" w:lineRule="auto"/>
        <w:ind w:firstLine="720"/>
        <w:jc w:val="both"/>
        <w:rPr>
          <w:rFonts w:ascii="Times New Roman" w:hAnsi="Times New Roman" w:cs="Times New Roman"/>
          <w:color w:val="000000"/>
          <w:sz w:val="24"/>
          <w:szCs w:val="24"/>
          <w:highlight w:val="yellow"/>
        </w:rPr>
      </w:pPr>
      <w:r w:rsidRPr="00391462">
        <w:rPr>
          <w:rFonts w:ascii="Times New Roman" w:hAnsi="Times New Roman" w:cs="Times New Roman"/>
          <w:color w:val="000000"/>
          <w:sz w:val="24"/>
          <w:szCs w:val="24"/>
        </w:rPr>
        <w:t xml:space="preserve">Ietekme uz publiskajām finansēm šajā gadījumā iestājas, ja galvojuma saņēmējs nav spējīgs segt savas kredītsaistības un </w:t>
      </w:r>
      <w:r w:rsidR="00BD74FD" w:rsidRPr="00391462">
        <w:rPr>
          <w:rFonts w:ascii="Times New Roman" w:hAnsi="Times New Roman" w:cs="Times New Roman"/>
          <w:color w:val="000000"/>
          <w:sz w:val="24"/>
          <w:szCs w:val="24"/>
        </w:rPr>
        <w:t xml:space="preserve">vispārējās valdības </w:t>
      </w:r>
      <w:r w:rsidRPr="00391462">
        <w:rPr>
          <w:rFonts w:ascii="Times New Roman" w:hAnsi="Times New Roman" w:cs="Times New Roman"/>
          <w:color w:val="000000"/>
          <w:sz w:val="24"/>
          <w:szCs w:val="24"/>
        </w:rPr>
        <w:t xml:space="preserve">sektoram ir </w:t>
      </w:r>
      <w:r w:rsidR="00BD74FD" w:rsidRPr="00391462">
        <w:rPr>
          <w:rFonts w:ascii="Times New Roman" w:hAnsi="Times New Roman" w:cs="Times New Roman"/>
          <w:color w:val="000000"/>
          <w:sz w:val="24"/>
          <w:szCs w:val="24"/>
        </w:rPr>
        <w:t xml:space="preserve">tās </w:t>
      </w:r>
      <w:r w:rsidRPr="00391462">
        <w:rPr>
          <w:rFonts w:ascii="Times New Roman" w:hAnsi="Times New Roman" w:cs="Times New Roman"/>
          <w:color w:val="000000"/>
          <w:sz w:val="24"/>
          <w:szCs w:val="24"/>
        </w:rPr>
        <w:t>jāpārņem. Papildu risks var rasties arī gadījumā, ja sākotnēji novērtētie zaudējumi no galvojumu sniegšanas</w:t>
      </w:r>
      <w:r w:rsidR="00D717A0" w:rsidRPr="00391462">
        <w:rPr>
          <w:rFonts w:ascii="Times New Roman" w:hAnsi="Times New Roman" w:cs="Times New Roman"/>
          <w:color w:val="000000"/>
          <w:sz w:val="24"/>
          <w:szCs w:val="24"/>
        </w:rPr>
        <w:t>, kas uzskaitīti kā vispārējās valdības sektora izdevumi,</w:t>
      </w:r>
      <w:r w:rsidRPr="00391462">
        <w:rPr>
          <w:rFonts w:ascii="Times New Roman" w:hAnsi="Times New Roman" w:cs="Times New Roman"/>
          <w:color w:val="000000"/>
          <w:sz w:val="24"/>
          <w:szCs w:val="24"/>
        </w:rPr>
        <w:t xml:space="preserve"> realizējas lielākā apmērā.</w:t>
      </w:r>
      <w:r w:rsidR="005E0C04" w:rsidRPr="00391462">
        <w:rPr>
          <w:noProof/>
        </w:rPr>
        <w:t xml:space="preserve"> </w:t>
      </w:r>
    </w:p>
    <w:p w14:paraId="6BC1E685" w14:textId="574539FE" w:rsidR="0028010E" w:rsidRDefault="0028010E" w:rsidP="00391462">
      <w:pPr>
        <w:spacing w:after="0" w:line="240" w:lineRule="auto"/>
        <w:jc w:val="center"/>
        <w:rPr>
          <w:rFonts w:ascii="Times New Roman" w:hAnsi="Times New Roman" w:cs="Times New Roman"/>
          <w:color w:val="000000"/>
          <w:sz w:val="24"/>
          <w:szCs w:val="24"/>
          <w:highlight w:val="yellow"/>
        </w:rPr>
      </w:pPr>
    </w:p>
    <w:p w14:paraId="59EF39A8" w14:textId="57769F80" w:rsidR="00775A8D" w:rsidRPr="00883EE7" w:rsidRDefault="00775A8D" w:rsidP="00391462">
      <w:pPr>
        <w:spacing w:after="0" w:line="240" w:lineRule="auto"/>
        <w:jc w:val="center"/>
        <w:rPr>
          <w:rFonts w:ascii="Times New Roman" w:hAnsi="Times New Roman" w:cs="Times New Roman"/>
          <w:color w:val="000000"/>
          <w:sz w:val="24"/>
          <w:szCs w:val="24"/>
          <w:highlight w:val="yellow"/>
        </w:rPr>
      </w:pPr>
      <w:r>
        <w:rPr>
          <w:noProof/>
        </w:rPr>
        <w:drawing>
          <wp:inline distT="0" distB="0" distL="0" distR="0" wp14:anchorId="7CD1E3B0" wp14:editId="515E1F34">
            <wp:extent cx="4559300" cy="2559050"/>
            <wp:effectExtent l="0" t="0" r="0" b="0"/>
            <wp:docPr id="180834044" name="Chart 1">
              <a:extLst xmlns:a="http://schemas.openxmlformats.org/drawingml/2006/main">
                <a:ext uri="{FF2B5EF4-FFF2-40B4-BE49-F238E27FC236}">
                  <a16:creationId xmlns:a16="http://schemas.microsoft.com/office/drawing/2014/main" id="{31391EB0-0B69-423C-49A4-74E6B45D7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D6A2D8" w14:textId="1562C470" w:rsidR="005E0C04" w:rsidRPr="00391462" w:rsidRDefault="3BF97D59" w:rsidP="469479B5">
      <w:pPr>
        <w:spacing w:after="0" w:line="240" w:lineRule="auto"/>
        <w:jc w:val="center"/>
        <w:rPr>
          <w:rFonts w:ascii="Times New Roman" w:hAnsi="Times New Roman" w:cs="Times New Roman"/>
          <w:color w:val="000000"/>
          <w:sz w:val="24"/>
          <w:szCs w:val="24"/>
        </w:rPr>
      </w:pPr>
      <w:r w:rsidRPr="469479B5">
        <w:rPr>
          <w:rFonts w:ascii="Times New Roman" w:hAnsi="Times New Roman" w:cs="Times New Roman"/>
          <w:b/>
          <w:bCs/>
          <w:color w:val="000000" w:themeColor="text1"/>
          <w:sz w:val="24"/>
          <w:szCs w:val="24"/>
        </w:rPr>
        <w:t>4.</w:t>
      </w:r>
      <w:r w:rsidR="193417EE" w:rsidRPr="469479B5">
        <w:rPr>
          <w:rFonts w:ascii="Times New Roman" w:hAnsi="Times New Roman" w:cs="Times New Roman"/>
          <w:b/>
          <w:bCs/>
          <w:color w:val="000000" w:themeColor="text1"/>
          <w:sz w:val="24"/>
          <w:szCs w:val="24"/>
        </w:rPr>
        <w:t>2.1</w:t>
      </w:r>
      <w:r w:rsidRPr="469479B5">
        <w:rPr>
          <w:rFonts w:ascii="Times New Roman" w:hAnsi="Times New Roman" w:cs="Times New Roman"/>
          <w:b/>
          <w:bCs/>
          <w:color w:val="000000" w:themeColor="text1"/>
          <w:sz w:val="24"/>
          <w:szCs w:val="24"/>
        </w:rPr>
        <w:t>.</w:t>
      </w:r>
      <w:r w:rsidR="008674A0">
        <w:rPr>
          <w:rFonts w:ascii="Times New Roman" w:hAnsi="Times New Roman" w:cs="Times New Roman"/>
          <w:b/>
          <w:bCs/>
          <w:color w:val="000000" w:themeColor="text1"/>
          <w:sz w:val="24"/>
          <w:szCs w:val="24"/>
        </w:rPr>
        <w:t xml:space="preserve"> </w:t>
      </w:r>
      <w:r w:rsidRPr="469479B5">
        <w:rPr>
          <w:rFonts w:ascii="Times New Roman" w:hAnsi="Times New Roman" w:cs="Times New Roman"/>
          <w:b/>
          <w:bCs/>
          <w:color w:val="000000" w:themeColor="text1"/>
          <w:sz w:val="24"/>
          <w:szCs w:val="24"/>
        </w:rPr>
        <w:t>attēls.</w:t>
      </w:r>
      <w:r w:rsidRPr="469479B5">
        <w:rPr>
          <w:rFonts w:ascii="Times New Roman" w:hAnsi="Times New Roman" w:cs="Times New Roman"/>
          <w:color w:val="000000" w:themeColor="text1"/>
          <w:sz w:val="24"/>
          <w:szCs w:val="24"/>
        </w:rPr>
        <w:t xml:space="preserve"> Vispārējās valdības sektora galvojumu apmērs </w:t>
      </w:r>
      <w:r w:rsidR="606A059E" w:rsidRPr="469479B5">
        <w:rPr>
          <w:rFonts w:ascii="Times New Roman" w:hAnsi="Times New Roman" w:cs="Times New Roman"/>
          <w:color w:val="000000" w:themeColor="text1"/>
          <w:sz w:val="24"/>
          <w:szCs w:val="24"/>
        </w:rPr>
        <w:t>202</w:t>
      </w:r>
      <w:r w:rsidR="00820DB1">
        <w:rPr>
          <w:rFonts w:ascii="Times New Roman" w:hAnsi="Times New Roman" w:cs="Times New Roman"/>
          <w:color w:val="000000" w:themeColor="text1"/>
          <w:sz w:val="24"/>
          <w:szCs w:val="24"/>
        </w:rPr>
        <w:t>3</w:t>
      </w:r>
      <w:r w:rsidRPr="469479B5">
        <w:rPr>
          <w:rFonts w:ascii="Times New Roman" w:hAnsi="Times New Roman" w:cs="Times New Roman"/>
          <w:color w:val="000000" w:themeColor="text1"/>
          <w:sz w:val="24"/>
          <w:szCs w:val="24"/>
        </w:rPr>
        <w:t>.</w:t>
      </w:r>
      <w:r w:rsidR="7D1967F3"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gadā, % no IKP</w:t>
      </w:r>
      <w:r w:rsidR="005E0C04">
        <w:br/>
      </w:r>
      <w:r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rPr>
        <w:t>(</w:t>
      </w:r>
      <w:r w:rsidRPr="469479B5">
        <w:rPr>
          <w:rFonts w:ascii="Times New Roman" w:hAnsi="Times New Roman" w:cs="Times New Roman"/>
          <w:i/>
          <w:iCs/>
          <w:color w:val="000000" w:themeColor="text1"/>
        </w:rPr>
        <w:t>sniegti ārpus vispārējās valdības sektora klasificētām institūcijām, un neiekļauj tādus, kas jau ir atzīti vispārējās valdības parādā atbilstoši EKS metodoloģijai</w:t>
      </w:r>
      <w:r w:rsidRPr="469479B5">
        <w:rPr>
          <w:rFonts w:ascii="Times New Roman" w:hAnsi="Times New Roman" w:cs="Times New Roman"/>
          <w:color w:val="000000" w:themeColor="text1"/>
        </w:rPr>
        <w:t xml:space="preserve">). Avots: </w:t>
      </w:r>
      <w:r w:rsidRPr="469479B5">
        <w:rPr>
          <w:rFonts w:ascii="Times New Roman" w:hAnsi="Times New Roman" w:cs="Times New Roman"/>
          <w:i/>
          <w:iCs/>
          <w:color w:val="000000" w:themeColor="text1"/>
        </w:rPr>
        <w:t>Eurostat</w:t>
      </w:r>
    </w:p>
    <w:p w14:paraId="4263452C" w14:textId="77777777" w:rsidR="005E0C04" w:rsidRPr="00391462" w:rsidRDefault="005E0C04" w:rsidP="00D64BA9">
      <w:pPr>
        <w:spacing w:after="0" w:line="240" w:lineRule="auto"/>
        <w:ind w:firstLine="720"/>
        <w:jc w:val="center"/>
        <w:rPr>
          <w:rFonts w:ascii="Times New Roman" w:hAnsi="Times New Roman" w:cs="Times New Roman"/>
          <w:color w:val="000000"/>
          <w:sz w:val="24"/>
          <w:szCs w:val="24"/>
        </w:rPr>
      </w:pPr>
    </w:p>
    <w:p w14:paraId="69D7D9C5" w14:textId="324B1AEF" w:rsidR="0028010E" w:rsidRDefault="02A3E28B" w:rsidP="004A3446">
      <w:pPr>
        <w:spacing w:after="0" w:line="240" w:lineRule="auto"/>
        <w:ind w:firstLine="720"/>
        <w:jc w:val="both"/>
        <w:rPr>
          <w:noProof/>
          <w14:textOutline w14:w="9525" w14:cap="rnd" w14:cmpd="sng" w14:algn="ctr">
            <w14:solidFill>
              <w14:schemeClr w14:val="accent1"/>
            </w14:solidFill>
            <w14:prstDash w14:val="solid"/>
            <w14:bevel/>
          </w14:textOutline>
        </w:rPr>
      </w:pPr>
      <w:r w:rsidRPr="469479B5">
        <w:rPr>
          <w:rFonts w:ascii="Times New Roman" w:hAnsi="Times New Roman" w:cs="Times New Roman"/>
          <w:color w:val="000000" w:themeColor="text1"/>
          <w:sz w:val="24"/>
          <w:szCs w:val="24"/>
        </w:rPr>
        <w:t>V</w:t>
      </w:r>
      <w:r w:rsidR="32CF5971" w:rsidRPr="469479B5">
        <w:rPr>
          <w:rFonts w:ascii="Times New Roman" w:hAnsi="Times New Roman" w:cs="Times New Roman"/>
          <w:color w:val="000000" w:themeColor="text1"/>
          <w:sz w:val="24"/>
          <w:szCs w:val="24"/>
        </w:rPr>
        <w:t xml:space="preserve">ispārējās valdības sektora galvojumu </w:t>
      </w:r>
      <w:r w:rsidR="65E2FD20" w:rsidRPr="469479B5">
        <w:rPr>
          <w:rFonts w:ascii="Times New Roman" w:hAnsi="Times New Roman" w:cs="Times New Roman"/>
          <w:color w:val="000000" w:themeColor="text1"/>
          <w:sz w:val="24"/>
          <w:szCs w:val="24"/>
        </w:rPr>
        <w:t xml:space="preserve">vērtība </w:t>
      </w:r>
      <w:r w:rsidR="1ED9F7AC" w:rsidRPr="469479B5">
        <w:rPr>
          <w:rFonts w:ascii="Times New Roman" w:hAnsi="Times New Roman" w:cs="Times New Roman"/>
          <w:color w:val="000000" w:themeColor="text1"/>
          <w:sz w:val="24"/>
          <w:szCs w:val="24"/>
        </w:rPr>
        <w:t>202</w:t>
      </w:r>
      <w:r w:rsidR="00820DB1">
        <w:rPr>
          <w:rFonts w:ascii="Times New Roman" w:hAnsi="Times New Roman" w:cs="Times New Roman"/>
          <w:color w:val="000000" w:themeColor="text1"/>
          <w:sz w:val="24"/>
          <w:szCs w:val="24"/>
        </w:rPr>
        <w:t>3</w:t>
      </w:r>
      <w:r w:rsidR="65E2FD20" w:rsidRPr="469479B5">
        <w:rPr>
          <w:rFonts w:ascii="Times New Roman" w:hAnsi="Times New Roman" w:cs="Times New Roman"/>
          <w:color w:val="000000" w:themeColor="text1"/>
          <w:sz w:val="24"/>
          <w:szCs w:val="24"/>
        </w:rPr>
        <w:t>.</w:t>
      </w:r>
      <w:r w:rsidR="56C055CF" w:rsidRPr="469479B5">
        <w:rPr>
          <w:rFonts w:ascii="Times New Roman" w:hAnsi="Times New Roman" w:cs="Times New Roman"/>
          <w:b/>
          <w:bCs/>
          <w:sz w:val="24"/>
          <w:szCs w:val="24"/>
        </w:rPr>
        <w:t xml:space="preserve"> </w:t>
      </w:r>
      <w:r w:rsidR="65E2FD20" w:rsidRPr="469479B5">
        <w:rPr>
          <w:rFonts w:ascii="Times New Roman" w:hAnsi="Times New Roman" w:cs="Times New Roman"/>
          <w:color w:val="000000" w:themeColor="text1"/>
          <w:sz w:val="24"/>
          <w:szCs w:val="24"/>
        </w:rPr>
        <w:t>gadā</w:t>
      </w:r>
      <w:r w:rsidRPr="469479B5">
        <w:rPr>
          <w:rFonts w:ascii="Times New Roman" w:hAnsi="Times New Roman" w:cs="Times New Roman"/>
          <w:color w:val="000000" w:themeColor="text1"/>
          <w:sz w:val="24"/>
          <w:szCs w:val="24"/>
        </w:rPr>
        <w:t>, kas izteikta % no IKP ES dalībvalstu griezumā, ir atspoguļota 4.</w:t>
      </w:r>
      <w:r w:rsidR="193417EE" w:rsidRPr="469479B5">
        <w:rPr>
          <w:rFonts w:ascii="Times New Roman" w:hAnsi="Times New Roman" w:cs="Times New Roman"/>
          <w:color w:val="000000" w:themeColor="text1"/>
          <w:sz w:val="24"/>
          <w:szCs w:val="24"/>
        </w:rPr>
        <w:t>2.1</w:t>
      </w:r>
      <w:r w:rsidR="7180EA73"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attēlā</w:t>
      </w:r>
      <w:r w:rsidR="00114006">
        <w:rPr>
          <w:rFonts w:ascii="Times New Roman" w:hAnsi="Times New Roman" w:cs="Times New Roman"/>
          <w:color w:val="000000" w:themeColor="text1"/>
          <w:sz w:val="24"/>
          <w:szCs w:val="24"/>
        </w:rPr>
        <w:t>, ES vidējais galvojumu apmērs bijis 7,4% no IKP</w:t>
      </w:r>
      <w:r w:rsidR="32CF5971" w:rsidRPr="469479B5">
        <w:rPr>
          <w:rFonts w:ascii="Times New Roman" w:hAnsi="Times New Roman" w:cs="Times New Roman"/>
          <w:color w:val="000000" w:themeColor="text1"/>
          <w:sz w:val="24"/>
          <w:szCs w:val="24"/>
        </w:rPr>
        <w:t xml:space="preserve">. No </w:t>
      </w:r>
      <w:r w:rsidR="32CF5971" w:rsidRPr="469479B5">
        <w:rPr>
          <w:rFonts w:ascii="Times New Roman" w:hAnsi="Times New Roman" w:cs="Times New Roman"/>
          <w:i/>
          <w:iCs/>
          <w:color w:val="000000" w:themeColor="text1"/>
          <w:sz w:val="24"/>
          <w:szCs w:val="24"/>
        </w:rPr>
        <w:t>Eurostat</w:t>
      </w:r>
      <w:r w:rsidR="32CF5971" w:rsidRPr="469479B5">
        <w:rPr>
          <w:rFonts w:ascii="Times New Roman" w:hAnsi="Times New Roman" w:cs="Times New Roman"/>
          <w:color w:val="000000" w:themeColor="text1"/>
          <w:sz w:val="24"/>
          <w:szCs w:val="24"/>
        </w:rPr>
        <w:t xml:space="preserve"> apkopotajiem datiem var viennozīmīgi secināt, ka</w:t>
      </w:r>
      <w:r w:rsidR="65E2FD20" w:rsidRPr="469479B5">
        <w:rPr>
          <w:rFonts w:ascii="Times New Roman" w:hAnsi="Times New Roman" w:cs="Times New Roman"/>
          <w:color w:val="000000" w:themeColor="text1"/>
          <w:sz w:val="24"/>
          <w:szCs w:val="24"/>
        </w:rPr>
        <w:t xml:space="preserve"> </w:t>
      </w:r>
      <w:r w:rsidR="665197E5" w:rsidRPr="469479B5">
        <w:rPr>
          <w:rFonts w:ascii="Times New Roman" w:hAnsi="Times New Roman" w:cs="Times New Roman"/>
          <w:color w:val="000000" w:themeColor="text1"/>
          <w:sz w:val="24"/>
          <w:szCs w:val="24"/>
        </w:rPr>
        <w:t>ES</w:t>
      </w:r>
      <w:r w:rsidR="65E2FD20" w:rsidRPr="469479B5">
        <w:rPr>
          <w:rFonts w:ascii="Times New Roman" w:hAnsi="Times New Roman" w:cs="Times New Roman"/>
          <w:color w:val="000000" w:themeColor="text1"/>
          <w:sz w:val="24"/>
          <w:szCs w:val="24"/>
        </w:rPr>
        <w:t xml:space="preserve"> dalībvalstu vidū</w:t>
      </w:r>
      <w:r w:rsidR="32CF5971" w:rsidRPr="469479B5">
        <w:rPr>
          <w:rFonts w:ascii="Times New Roman" w:hAnsi="Times New Roman" w:cs="Times New Roman"/>
          <w:color w:val="000000" w:themeColor="text1"/>
          <w:sz w:val="24"/>
          <w:szCs w:val="24"/>
        </w:rPr>
        <w:t xml:space="preserve"> Latvijas vispārējās valdības sektora </w:t>
      </w:r>
      <w:r w:rsidR="65E2FD20" w:rsidRPr="469479B5">
        <w:rPr>
          <w:rFonts w:ascii="Times New Roman" w:hAnsi="Times New Roman" w:cs="Times New Roman"/>
          <w:color w:val="000000" w:themeColor="text1"/>
          <w:sz w:val="24"/>
          <w:szCs w:val="24"/>
        </w:rPr>
        <w:t xml:space="preserve">izsniegto </w:t>
      </w:r>
      <w:r w:rsidR="32CF5971" w:rsidRPr="469479B5">
        <w:rPr>
          <w:rFonts w:ascii="Times New Roman" w:hAnsi="Times New Roman" w:cs="Times New Roman"/>
          <w:color w:val="000000" w:themeColor="text1"/>
          <w:sz w:val="24"/>
          <w:szCs w:val="24"/>
        </w:rPr>
        <w:t xml:space="preserve">galvojumu </w:t>
      </w:r>
      <w:r w:rsidR="65E2FD20" w:rsidRPr="469479B5">
        <w:rPr>
          <w:rFonts w:ascii="Times New Roman" w:hAnsi="Times New Roman" w:cs="Times New Roman"/>
          <w:color w:val="000000" w:themeColor="text1"/>
          <w:sz w:val="24"/>
          <w:szCs w:val="24"/>
        </w:rPr>
        <w:t>apmērs</w:t>
      </w:r>
      <w:r w:rsidR="32CF5971" w:rsidRPr="469479B5">
        <w:rPr>
          <w:rFonts w:ascii="Times New Roman" w:hAnsi="Times New Roman" w:cs="Times New Roman"/>
          <w:color w:val="000000" w:themeColor="text1"/>
          <w:sz w:val="24"/>
          <w:szCs w:val="24"/>
        </w:rPr>
        <w:t xml:space="preserve"> ir zem</w:t>
      </w:r>
      <w:r w:rsidR="65E2FD20" w:rsidRPr="469479B5">
        <w:rPr>
          <w:rFonts w:ascii="Times New Roman" w:hAnsi="Times New Roman" w:cs="Times New Roman"/>
          <w:color w:val="000000" w:themeColor="text1"/>
          <w:sz w:val="24"/>
          <w:szCs w:val="24"/>
        </w:rPr>
        <w:t>s</w:t>
      </w:r>
      <w:r w:rsidR="00114006">
        <w:rPr>
          <w:rFonts w:ascii="Times New Roman" w:hAnsi="Times New Roman" w:cs="Times New Roman"/>
          <w:color w:val="000000" w:themeColor="text1"/>
          <w:sz w:val="24"/>
          <w:szCs w:val="24"/>
        </w:rPr>
        <w:t xml:space="preserve"> </w:t>
      </w:r>
      <w:r w:rsidR="004D1D10">
        <w:rPr>
          <w:rFonts w:ascii="Times New Roman" w:hAnsi="Times New Roman" w:cs="Times New Roman"/>
          <w:color w:val="000000" w:themeColor="text1"/>
          <w:sz w:val="24"/>
          <w:szCs w:val="24"/>
        </w:rPr>
        <w:t>– 1,5</w:t>
      </w:r>
      <w:r w:rsidR="00820DB1">
        <w:rPr>
          <w:rFonts w:ascii="Times New Roman" w:hAnsi="Times New Roman" w:cs="Times New Roman"/>
          <w:color w:val="000000" w:themeColor="text1"/>
          <w:sz w:val="24"/>
          <w:szCs w:val="24"/>
        </w:rPr>
        <w:t>% no IKP</w:t>
      </w:r>
      <w:r w:rsidR="00114006">
        <w:rPr>
          <w:rFonts w:ascii="Times New Roman" w:hAnsi="Times New Roman" w:cs="Times New Roman"/>
          <w:color w:val="000000" w:themeColor="text1"/>
          <w:sz w:val="24"/>
          <w:szCs w:val="24"/>
        </w:rPr>
        <w:t xml:space="preserve"> 2023. gadā</w:t>
      </w:r>
      <w:r w:rsidR="00820DB1">
        <w:rPr>
          <w:rFonts w:ascii="Times New Roman" w:hAnsi="Times New Roman" w:cs="Times New Roman"/>
          <w:color w:val="000000" w:themeColor="text1"/>
          <w:sz w:val="24"/>
          <w:szCs w:val="24"/>
        </w:rPr>
        <w:t>.</w:t>
      </w:r>
    </w:p>
    <w:p w14:paraId="1D20B21D" w14:textId="7F36609B" w:rsidR="00D46213" w:rsidRDefault="00D46213" w:rsidP="004755AC">
      <w:pPr>
        <w:spacing w:after="0" w:line="240" w:lineRule="auto"/>
        <w:jc w:val="center"/>
        <w:rPr>
          <w:noProof/>
          <w14:textOutline w14:w="9525" w14:cap="rnd" w14:cmpd="sng" w14:algn="ctr">
            <w14:solidFill>
              <w14:schemeClr w14:val="accent1"/>
            </w14:solidFill>
            <w14:prstDash w14:val="solid"/>
            <w14:bevel/>
          </w14:textOutline>
        </w:rPr>
      </w:pPr>
    </w:p>
    <w:p w14:paraId="5706C2EB" w14:textId="52F24F48" w:rsidR="00043C49" w:rsidRPr="00391462" w:rsidRDefault="00775A8D" w:rsidP="00A83A27">
      <w:pPr>
        <w:spacing w:after="0" w:line="240" w:lineRule="auto"/>
        <w:jc w:val="center"/>
        <w:rPr>
          <w:rFonts w:ascii="Times New Roman" w:hAnsi="Times New Roman" w:cs="Times New Roman"/>
          <w:color w:val="000000"/>
          <w:sz w:val="24"/>
          <w:szCs w:val="24"/>
        </w:rPr>
      </w:pPr>
      <w:r>
        <w:rPr>
          <w:noProof/>
        </w:rPr>
        <w:drawing>
          <wp:inline distT="0" distB="0" distL="0" distR="0" wp14:anchorId="41E5A6DE" wp14:editId="3E72438A">
            <wp:extent cx="4495800" cy="2028825"/>
            <wp:effectExtent l="0" t="0" r="0" b="0"/>
            <wp:docPr id="767839412" name="Chart 1">
              <a:extLst xmlns:a="http://schemas.openxmlformats.org/drawingml/2006/main">
                <a:ext uri="{FF2B5EF4-FFF2-40B4-BE49-F238E27FC236}">
                  <a16:creationId xmlns:a16="http://schemas.microsoft.com/office/drawing/2014/main" id="{38415CE6-3932-A530-7000-C7D146A57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2A27F7" w14:textId="002D75B7" w:rsidR="00043C49" w:rsidRDefault="3BF97D59" w:rsidP="469479B5">
      <w:pPr>
        <w:spacing w:after="0" w:line="240" w:lineRule="auto"/>
        <w:jc w:val="center"/>
        <w:rPr>
          <w:rFonts w:ascii="Times New Roman" w:hAnsi="Times New Roman" w:cs="Times New Roman"/>
          <w:i/>
          <w:iCs/>
          <w:color w:val="000000" w:themeColor="text1"/>
        </w:rPr>
      </w:pPr>
      <w:r w:rsidRPr="469479B5">
        <w:rPr>
          <w:rFonts w:ascii="Times New Roman" w:hAnsi="Times New Roman" w:cs="Times New Roman"/>
          <w:b/>
          <w:bCs/>
          <w:color w:val="000000" w:themeColor="text1"/>
          <w:sz w:val="24"/>
          <w:szCs w:val="24"/>
        </w:rPr>
        <w:t>4.</w:t>
      </w:r>
      <w:r w:rsidR="193417EE" w:rsidRPr="469479B5">
        <w:rPr>
          <w:rFonts w:ascii="Times New Roman" w:hAnsi="Times New Roman" w:cs="Times New Roman"/>
          <w:b/>
          <w:bCs/>
          <w:color w:val="000000" w:themeColor="text1"/>
          <w:sz w:val="24"/>
          <w:szCs w:val="24"/>
        </w:rPr>
        <w:t>2.2</w:t>
      </w:r>
      <w:r w:rsidRPr="469479B5">
        <w:rPr>
          <w:rFonts w:ascii="Times New Roman" w:hAnsi="Times New Roman" w:cs="Times New Roman"/>
          <w:b/>
          <w:bCs/>
          <w:color w:val="000000" w:themeColor="text1"/>
          <w:sz w:val="24"/>
          <w:szCs w:val="24"/>
        </w:rPr>
        <w:t>.</w:t>
      </w:r>
      <w:r w:rsidR="008674A0">
        <w:rPr>
          <w:rFonts w:ascii="Times New Roman" w:hAnsi="Times New Roman" w:cs="Times New Roman"/>
          <w:b/>
          <w:bCs/>
          <w:color w:val="000000" w:themeColor="text1"/>
          <w:sz w:val="24"/>
          <w:szCs w:val="24"/>
        </w:rPr>
        <w:t xml:space="preserve"> </w:t>
      </w:r>
      <w:r w:rsidRPr="469479B5">
        <w:rPr>
          <w:rFonts w:ascii="Times New Roman" w:hAnsi="Times New Roman" w:cs="Times New Roman"/>
          <w:b/>
          <w:bCs/>
          <w:color w:val="000000" w:themeColor="text1"/>
          <w:sz w:val="24"/>
          <w:szCs w:val="24"/>
        </w:rPr>
        <w:t>attēls.</w:t>
      </w:r>
      <w:r w:rsidRPr="469479B5">
        <w:rPr>
          <w:rFonts w:ascii="Times New Roman" w:hAnsi="Times New Roman" w:cs="Times New Roman"/>
          <w:color w:val="000000" w:themeColor="text1"/>
          <w:sz w:val="24"/>
          <w:szCs w:val="24"/>
        </w:rPr>
        <w:t xml:space="preserve"> Vispārējās valdības sektora galvojumu apmērs no </w:t>
      </w:r>
      <w:r w:rsidR="1ED9F7AC" w:rsidRPr="469479B5">
        <w:rPr>
          <w:rFonts w:ascii="Times New Roman" w:hAnsi="Times New Roman" w:cs="Times New Roman"/>
          <w:color w:val="000000" w:themeColor="text1"/>
          <w:sz w:val="24"/>
          <w:szCs w:val="24"/>
        </w:rPr>
        <w:t>201</w:t>
      </w:r>
      <w:r w:rsidR="028D1CE6" w:rsidRPr="469479B5">
        <w:rPr>
          <w:rFonts w:ascii="Times New Roman" w:hAnsi="Times New Roman" w:cs="Times New Roman"/>
          <w:color w:val="000000" w:themeColor="text1"/>
          <w:sz w:val="24"/>
          <w:szCs w:val="24"/>
        </w:rPr>
        <w:t>3</w:t>
      </w:r>
      <w:r w:rsidRPr="469479B5">
        <w:rPr>
          <w:rFonts w:ascii="Times New Roman" w:hAnsi="Times New Roman" w:cs="Times New Roman"/>
          <w:color w:val="000000" w:themeColor="text1"/>
          <w:sz w:val="24"/>
          <w:szCs w:val="24"/>
        </w:rPr>
        <w:t xml:space="preserve">. līdz </w:t>
      </w:r>
      <w:r w:rsidR="1ED9F7AC" w:rsidRPr="469479B5">
        <w:rPr>
          <w:rFonts w:ascii="Times New Roman" w:hAnsi="Times New Roman" w:cs="Times New Roman"/>
          <w:color w:val="000000" w:themeColor="text1"/>
          <w:sz w:val="24"/>
          <w:szCs w:val="24"/>
        </w:rPr>
        <w:t>202</w:t>
      </w:r>
      <w:r w:rsidR="00820DB1">
        <w:rPr>
          <w:rFonts w:ascii="Times New Roman" w:hAnsi="Times New Roman" w:cs="Times New Roman"/>
          <w:color w:val="000000" w:themeColor="text1"/>
          <w:sz w:val="24"/>
          <w:szCs w:val="24"/>
        </w:rPr>
        <w:t>3</w:t>
      </w:r>
      <w:r w:rsidRPr="469479B5">
        <w:rPr>
          <w:rFonts w:ascii="Times New Roman" w:hAnsi="Times New Roman" w:cs="Times New Roman"/>
          <w:color w:val="000000" w:themeColor="text1"/>
          <w:sz w:val="24"/>
          <w:szCs w:val="24"/>
        </w:rPr>
        <w:t>.</w:t>
      </w:r>
      <w:r w:rsidR="7E193DB8"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gadam, % no IKP</w:t>
      </w:r>
      <w:r w:rsidR="005E0C04">
        <w:br/>
      </w:r>
      <w:r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rPr>
        <w:t>(</w:t>
      </w:r>
      <w:r w:rsidRPr="469479B5">
        <w:rPr>
          <w:rFonts w:ascii="Times New Roman" w:hAnsi="Times New Roman" w:cs="Times New Roman"/>
          <w:i/>
          <w:iCs/>
          <w:color w:val="000000" w:themeColor="text1"/>
        </w:rPr>
        <w:t>sniegti ārpus vispārējās valdības sektora klasificētām institūcijām, un neiekļauj tādus, kas jau ir atzīti vispārējās valdības parādā atbilstoši EKS metodoloģijai</w:t>
      </w:r>
      <w:r w:rsidRPr="469479B5">
        <w:rPr>
          <w:rFonts w:ascii="Times New Roman" w:hAnsi="Times New Roman" w:cs="Times New Roman"/>
          <w:color w:val="000000" w:themeColor="text1"/>
        </w:rPr>
        <w:t xml:space="preserve">). Avots: </w:t>
      </w:r>
      <w:r w:rsidRPr="469479B5">
        <w:rPr>
          <w:rFonts w:ascii="Times New Roman" w:hAnsi="Times New Roman" w:cs="Times New Roman"/>
          <w:i/>
          <w:iCs/>
          <w:color w:val="000000" w:themeColor="text1"/>
        </w:rPr>
        <w:t>Eurostat</w:t>
      </w:r>
    </w:p>
    <w:p w14:paraId="251AE105" w14:textId="77777777" w:rsidR="00820DB1" w:rsidRPr="00391462" w:rsidRDefault="00820DB1" w:rsidP="469479B5">
      <w:pPr>
        <w:spacing w:after="0" w:line="240" w:lineRule="auto"/>
        <w:jc w:val="center"/>
        <w:rPr>
          <w:rFonts w:ascii="Times New Roman" w:hAnsi="Times New Roman" w:cs="Times New Roman"/>
          <w:color w:val="000000"/>
          <w:sz w:val="24"/>
          <w:szCs w:val="24"/>
        </w:rPr>
      </w:pPr>
    </w:p>
    <w:p w14:paraId="66E7E64E" w14:textId="2E8AC46D" w:rsidR="00820DB1" w:rsidRPr="00883EE7" w:rsidRDefault="00820DB1" w:rsidP="00820DB1">
      <w:pPr>
        <w:spacing w:after="0" w:line="240" w:lineRule="auto"/>
        <w:ind w:firstLine="720"/>
        <w:jc w:val="both"/>
        <w:rPr>
          <w:rFonts w:ascii="Times New Roman" w:hAnsi="Times New Roman" w:cs="Times New Roman"/>
          <w:color w:val="000000"/>
          <w:sz w:val="24"/>
          <w:szCs w:val="24"/>
          <w:highlight w:val="yellow"/>
        </w:rPr>
      </w:pPr>
      <w:bookmarkStart w:id="346" w:name="_Hlk193978699"/>
      <w:r>
        <w:rPr>
          <w:rFonts w:ascii="Times New Roman" w:hAnsi="Times New Roman" w:cs="Times New Roman"/>
          <w:color w:val="000000" w:themeColor="text1"/>
          <w:sz w:val="24"/>
          <w:szCs w:val="24"/>
        </w:rPr>
        <w:t xml:space="preserve">Latvijā vispārējās valdības sektora galvojumu apmērs, kas sniegts ārpus vispārējās valdības sektora klasificētām vienībām ir salīdzinoši zems, </w:t>
      </w:r>
      <w:r w:rsidRPr="469479B5">
        <w:rPr>
          <w:rFonts w:ascii="Times New Roman" w:hAnsi="Times New Roman" w:cs="Times New Roman"/>
          <w:color w:val="000000" w:themeColor="text1"/>
          <w:sz w:val="24"/>
          <w:szCs w:val="24"/>
        </w:rPr>
        <w:t>neskatoties</w:t>
      </w:r>
      <w:r>
        <w:rPr>
          <w:rFonts w:ascii="Times New Roman" w:hAnsi="Times New Roman" w:cs="Times New Roman"/>
          <w:color w:val="000000" w:themeColor="text1"/>
          <w:sz w:val="24"/>
          <w:szCs w:val="24"/>
        </w:rPr>
        <w:t xml:space="preserve"> arī</w:t>
      </w:r>
      <w:r w:rsidRPr="469479B5">
        <w:rPr>
          <w:rFonts w:ascii="Times New Roman" w:hAnsi="Times New Roman" w:cs="Times New Roman"/>
          <w:color w:val="000000" w:themeColor="text1"/>
          <w:sz w:val="24"/>
          <w:szCs w:val="24"/>
        </w:rPr>
        <w:t xml:space="preserve"> uz Covid–19 ietekmes mazināšanai sniegto atbalstu</w:t>
      </w:r>
      <w:r>
        <w:rPr>
          <w:rFonts w:ascii="Times New Roman" w:hAnsi="Times New Roman" w:cs="Times New Roman"/>
          <w:color w:val="000000" w:themeColor="text1"/>
          <w:sz w:val="24"/>
          <w:szCs w:val="24"/>
        </w:rPr>
        <w:t xml:space="preserve"> sākot ar 2020. gadu,</w:t>
      </w:r>
      <w:r w:rsidRPr="469479B5">
        <w:rPr>
          <w:rFonts w:ascii="Times New Roman" w:hAnsi="Times New Roman" w:cs="Times New Roman"/>
          <w:color w:val="000000" w:themeColor="text1"/>
          <w:sz w:val="24"/>
          <w:szCs w:val="24"/>
        </w:rPr>
        <w:t xml:space="preserve"> un šāda tendence ir novērota ilgstošā laika periodā, kā redzams 4.2.2 attēlā</w:t>
      </w:r>
      <w:r>
        <w:rPr>
          <w:rFonts w:ascii="Times New Roman" w:hAnsi="Times New Roman" w:cs="Times New Roman"/>
          <w:color w:val="000000" w:themeColor="text1"/>
          <w:sz w:val="24"/>
          <w:szCs w:val="24"/>
        </w:rPr>
        <w:t>, periodā no 2013. gada līdz 2023. gadam vidēji esot 1,5% no IKP</w:t>
      </w:r>
      <w:bookmarkEnd w:id="346"/>
      <w:r>
        <w:rPr>
          <w:rFonts w:ascii="Times New Roman" w:hAnsi="Times New Roman" w:cs="Times New Roman"/>
          <w:color w:val="000000" w:themeColor="text1"/>
          <w:sz w:val="24"/>
          <w:szCs w:val="24"/>
        </w:rPr>
        <w:t xml:space="preserve">. </w:t>
      </w:r>
      <w:r w:rsidRPr="00897E6D">
        <w:rPr>
          <w:rFonts w:ascii="Times New Roman" w:hAnsi="Times New Roman" w:cs="Times New Roman"/>
          <w:color w:val="000000" w:themeColor="text1"/>
          <w:sz w:val="24"/>
          <w:szCs w:val="24"/>
        </w:rPr>
        <w:t>Dati aptver gan vienreizēj</w:t>
      </w:r>
      <w:r>
        <w:rPr>
          <w:rFonts w:ascii="Times New Roman" w:hAnsi="Times New Roman" w:cs="Times New Roman"/>
          <w:color w:val="000000" w:themeColor="text1"/>
          <w:sz w:val="24"/>
          <w:szCs w:val="24"/>
        </w:rPr>
        <w:t>o</w:t>
      </w:r>
      <w:r w:rsidRPr="00897E6D">
        <w:rPr>
          <w:rFonts w:ascii="Times New Roman" w:hAnsi="Times New Roman" w:cs="Times New Roman"/>
          <w:color w:val="000000" w:themeColor="text1"/>
          <w:sz w:val="24"/>
          <w:szCs w:val="24"/>
        </w:rPr>
        <w:t>s, gan standart</w:t>
      </w:r>
      <w:r>
        <w:rPr>
          <w:rFonts w:ascii="Times New Roman" w:hAnsi="Times New Roman" w:cs="Times New Roman"/>
          <w:color w:val="000000" w:themeColor="text1"/>
          <w:sz w:val="24"/>
          <w:szCs w:val="24"/>
        </w:rPr>
        <w:t>izētos galvojumus</w:t>
      </w:r>
      <w:r w:rsidRPr="00897E6D">
        <w:rPr>
          <w:rFonts w:ascii="Times New Roman" w:hAnsi="Times New Roman" w:cs="Times New Roman"/>
          <w:color w:val="000000" w:themeColor="text1"/>
          <w:sz w:val="24"/>
          <w:szCs w:val="24"/>
        </w:rPr>
        <w:t>. Vienreizēj</w:t>
      </w:r>
      <w:r>
        <w:rPr>
          <w:rFonts w:ascii="Times New Roman" w:hAnsi="Times New Roman" w:cs="Times New Roman"/>
          <w:color w:val="000000" w:themeColor="text1"/>
          <w:sz w:val="24"/>
          <w:szCs w:val="24"/>
        </w:rPr>
        <w:t>ie galvojumi</w:t>
      </w:r>
      <w:r w:rsidRPr="00897E6D">
        <w:rPr>
          <w:rFonts w:ascii="Times New Roman" w:hAnsi="Times New Roman" w:cs="Times New Roman"/>
          <w:color w:val="000000" w:themeColor="text1"/>
          <w:sz w:val="24"/>
          <w:szCs w:val="24"/>
        </w:rPr>
        <w:t xml:space="preserve"> </w:t>
      </w:r>
      <w:r w:rsidRPr="00125671">
        <w:rPr>
          <w:rFonts w:ascii="Times New Roman" w:hAnsi="Times New Roman" w:cs="Times New Roman"/>
          <w:color w:val="000000" w:themeColor="text1"/>
          <w:sz w:val="24"/>
          <w:szCs w:val="24"/>
        </w:rPr>
        <w:t>tiek piešķirti individuāli</w:t>
      </w:r>
      <w:r>
        <w:rPr>
          <w:rFonts w:ascii="Times New Roman" w:hAnsi="Times New Roman" w:cs="Times New Roman"/>
          <w:color w:val="000000" w:themeColor="text1"/>
          <w:sz w:val="24"/>
          <w:szCs w:val="24"/>
        </w:rPr>
        <w:t>, savukārt standartizētos galvojumus</w:t>
      </w:r>
      <w:r w:rsidRPr="00125671">
        <w:rPr>
          <w:rFonts w:ascii="Times New Roman" w:hAnsi="Times New Roman" w:cs="Times New Roman"/>
          <w:color w:val="000000" w:themeColor="text1"/>
          <w:sz w:val="24"/>
          <w:szCs w:val="24"/>
        </w:rPr>
        <w:t xml:space="preserve"> sniedz lielā skaitā, parasti salīdzinoši mazu summu un pēc līdzīgas pazīmes. </w:t>
      </w:r>
    </w:p>
    <w:p w14:paraId="0F658558" w14:textId="727BD022" w:rsidR="00916397" w:rsidRPr="00883EE7" w:rsidRDefault="00916397" w:rsidP="008D7BC1">
      <w:pPr>
        <w:spacing w:after="0" w:line="240" w:lineRule="auto"/>
        <w:ind w:firstLine="720"/>
        <w:jc w:val="both"/>
        <w:rPr>
          <w:rFonts w:ascii="Times New Roman" w:hAnsi="Times New Roman" w:cs="Times New Roman"/>
          <w:color w:val="000000"/>
          <w:sz w:val="24"/>
          <w:szCs w:val="24"/>
          <w:highlight w:val="yellow"/>
        </w:rPr>
      </w:pPr>
    </w:p>
    <w:p w14:paraId="2A41DF1C" w14:textId="462BAA91" w:rsidR="008F582D" w:rsidRPr="00945DC6" w:rsidRDefault="005A3FF5" w:rsidP="0058124B">
      <w:pPr>
        <w:pStyle w:val="Heading2"/>
        <w:numPr>
          <w:ilvl w:val="1"/>
          <w:numId w:val="4"/>
        </w:numPr>
        <w:spacing w:before="120" w:after="120" w:line="240" w:lineRule="auto"/>
        <w:ind w:left="284"/>
        <w:rPr>
          <w:rFonts w:cs="Times New Roman"/>
          <w:color w:val="000000"/>
          <w:szCs w:val="24"/>
        </w:rPr>
      </w:pPr>
      <w:r>
        <w:rPr>
          <w:rFonts w:cs="Times New Roman"/>
          <w:color w:val="000000"/>
          <w:szCs w:val="24"/>
        </w:rPr>
        <w:t xml:space="preserve"> </w:t>
      </w:r>
      <w:bookmarkStart w:id="347" w:name="_Toc205554433"/>
      <w:r w:rsidR="00916397" w:rsidRPr="00945DC6">
        <w:rPr>
          <w:rFonts w:cs="Times New Roman"/>
          <w:color w:val="000000"/>
          <w:szCs w:val="24"/>
        </w:rPr>
        <w:t>Valsts parāda vadība</w:t>
      </w:r>
      <w:bookmarkEnd w:id="347"/>
    </w:p>
    <w:p w14:paraId="3BD344DC" w14:textId="67A52918" w:rsidR="00AE3116" w:rsidRPr="00AA347C" w:rsidRDefault="00AE3116" w:rsidP="00AE3116">
      <w:pPr>
        <w:spacing w:after="0" w:line="240" w:lineRule="auto"/>
        <w:ind w:firstLine="709"/>
        <w:jc w:val="both"/>
        <w:rPr>
          <w:rFonts w:ascii="Times New Roman" w:hAnsi="Times New Roman" w:cs="Times New Roman"/>
          <w:sz w:val="24"/>
          <w:szCs w:val="24"/>
        </w:rPr>
      </w:pPr>
      <w:r w:rsidRPr="00AA347C">
        <w:rPr>
          <w:rFonts w:ascii="Times New Roman" w:hAnsi="Times New Roman" w:cs="Times New Roman"/>
          <w:sz w:val="24"/>
          <w:szCs w:val="24"/>
        </w:rPr>
        <w:t>Aizņemšanās apjomu un valsts parāda līmeni vidējā termiņā ietekmē kopējā finansēšanas nepieciešamība, kuru galvenokārt veido valsts budžeta deficīts, valsts parāda atmaksa un valsts aizdevumu izsniegšana (pašvaldībām, pašvaldību kapitālsabiedrībām, valsts kapitālsabiedrībām, ostām un augstskolām)</w:t>
      </w:r>
      <w:r w:rsidR="007F0ADE">
        <w:rPr>
          <w:rFonts w:ascii="Times New Roman" w:hAnsi="Times New Roman" w:cs="Times New Roman"/>
          <w:sz w:val="24"/>
          <w:szCs w:val="24"/>
        </w:rPr>
        <w:t xml:space="preserve">, </w:t>
      </w:r>
      <w:r w:rsidR="007F0ADE" w:rsidRPr="00E3161F">
        <w:rPr>
          <w:rFonts w:ascii="Times New Roman" w:hAnsi="Times New Roman" w:cs="Times New Roman"/>
          <w:sz w:val="24"/>
          <w:szCs w:val="24"/>
        </w:rPr>
        <w:t>kā arī resursu rezerves uzturēšana Valsts kases kontos dažādu risku vadībai paaugstinātas nenoteiktības apstākļos</w:t>
      </w:r>
      <w:r w:rsidRPr="00AA347C">
        <w:rPr>
          <w:rFonts w:ascii="Times New Roman" w:hAnsi="Times New Roman" w:cs="Times New Roman"/>
          <w:sz w:val="24"/>
          <w:szCs w:val="24"/>
        </w:rPr>
        <w:t xml:space="preserve">. </w:t>
      </w:r>
    </w:p>
    <w:p w14:paraId="33057C79" w14:textId="47A8FA3E" w:rsidR="00AE3116" w:rsidRDefault="00AE3116" w:rsidP="00AE3116">
      <w:pPr>
        <w:spacing w:after="0" w:line="240" w:lineRule="auto"/>
        <w:ind w:firstLine="709"/>
        <w:jc w:val="both"/>
        <w:rPr>
          <w:rFonts w:ascii="Times New Roman" w:hAnsi="Times New Roman" w:cs="Times New Roman"/>
          <w:sz w:val="24"/>
          <w:szCs w:val="24"/>
        </w:rPr>
      </w:pPr>
      <w:r w:rsidRPr="00AA347C">
        <w:rPr>
          <w:rFonts w:ascii="Times New Roman" w:hAnsi="Times New Roman" w:cs="Times New Roman"/>
          <w:sz w:val="24"/>
          <w:szCs w:val="24"/>
        </w:rPr>
        <w:t>Ņemot vērā līdz 202</w:t>
      </w:r>
      <w:r w:rsidR="007F0ADE">
        <w:rPr>
          <w:rFonts w:ascii="Times New Roman" w:hAnsi="Times New Roman" w:cs="Times New Roman"/>
          <w:sz w:val="24"/>
          <w:szCs w:val="24"/>
        </w:rPr>
        <w:t>5</w:t>
      </w:r>
      <w:r w:rsidRPr="00AA347C">
        <w:rPr>
          <w:rFonts w:ascii="Times New Roman" w:hAnsi="Times New Roman" w:cs="Times New Roman"/>
          <w:sz w:val="24"/>
          <w:szCs w:val="24"/>
        </w:rPr>
        <w:t xml:space="preserve">. gada </w:t>
      </w:r>
      <w:r w:rsidR="00EC0F9B">
        <w:rPr>
          <w:rFonts w:ascii="Times New Roman" w:hAnsi="Times New Roman" w:cs="Times New Roman"/>
          <w:sz w:val="24"/>
          <w:szCs w:val="24"/>
        </w:rPr>
        <w:t>31. jūlijam</w:t>
      </w:r>
      <w:r w:rsidR="007F0ADE" w:rsidRPr="00AA347C">
        <w:rPr>
          <w:rFonts w:ascii="Times New Roman" w:hAnsi="Times New Roman" w:cs="Times New Roman"/>
          <w:sz w:val="24"/>
          <w:szCs w:val="24"/>
        </w:rPr>
        <w:t xml:space="preserve"> </w:t>
      </w:r>
      <w:r w:rsidRPr="00AA347C">
        <w:rPr>
          <w:rFonts w:ascii="Times New Roman" w:hAnsi="Times New Roman" w:cs="Times New Roman"/>
          <w:sz w:val="24"/>
          <w:szCs w:val="24"/>
        </w:rPr>
        <w:t>uzņemtās valsts parāda saistības, saskaņā ar valsts parāda atmaksas grafiku 202</w:t>
      </w:r>
      <w:r w:rsidR="007F0ADE">
        <w:rPr>
          <w:rFonts w:ascii="Times New Roman" w:hAnsi="Times New Roman" w:cs="Times New Roman"/>
          <w:sz w:val="24"/>
          <w:szCs w:val="24"/>
        </w:rPr>
        <w:t>5</w:t>
      </w:r>
      <w:r w:rsidRPr="00AA347C">
        <w:rPr>
          <w:rFonts w:ascii="Times New Roman" w:hAnsi="Times New Roman" w:cs="Times New Roman"/>
          <w:sz w:val="24"/>
          <w:szCs w:val="24"/>
        </w:rPr>
        <w:t xml:space="preserve">. gada </w:t>
      </w:r>
      <w:r w:rsidR="00EC0F9B">
        <w:rPr>
          <w:rFonts w:ascii="Times New Roman" w:hAnsi="Times New Roman" w:cs="Times New Roman"/>
          <w:sz w:val="24"/>
          <w:szCs w:val="24"/>
        </w:rPr>
        <w:t>augustā</w:t>
      </w:r>
      <w:r w:rsidR="00EC0F9B" w:rsidRPr="00AA347C">
        <w:rPr>
          <w:rFonts w:ascii="Times New Roman" w:hAnsi="Times New Roman" w:cs="Times New Roman"/>
          <w:sz w:val="24"/>
          <w:szCs w:val="24"/>
        </w:rPr>
        <w:t xml:space="preserve"> </w:t>
      </w:r>
      <w:r w:rsidRPr="00AA347C">
        <w:rPr>
          <w:rFonts w:ascii="Times New Roman" w:hAnsi="Times New Roman" w:cs="Times New Roman"/>
          <w:sz w:val="24"/>
          <w:szCs w:val="24"/>
        </w:rPr>
        <w:t>– 202</w:t>
      </w:r>
      <w:r w:rsidR="007F0ADE">
        <w:rPr>
          <w:rFonts w:ascii="Times New Roman" w:hAnsi="Times New Roman" w:cs="Times New Roman"/>
          <w:sz w:val="24"/>
          <w:szCs w:val="24"/>
        </w:rPr>
        <w:t>9</w:t>
      </w:r>
      <w:r w:rsidRPr="00AA347C">
        <w:rPr>
          <w:rFonts w:ascii="Times New Roman" w:hAnsi="Times New Roman" w:cs="Times New Roman"/>
          <w:sz w:val="24"/>
          <w:szCs w:val="24"/>
        </w:rPr>
        <w:t>. gada decembrī, jāpārfinansē valsts parāda saistības ~</w:t>
      </w:r>
      <w:r w:rsidR="007F0ADE">
        <w:rPr>
          <w:rFonts w:ascii="Times New Roman" w:hAnsi="Times New Roman" w:cs="Times New Roman"/>
          <w:sz w:val="24"/>
          <w:szCs w:val="24"/>
        </w:rPr>
        <w:t>9,</w:t>
      </w:r>
      <w:r w:rsidR="00EC0F9B">
        <w:rPr>
          <w:rFonts w:ascii="Times New Roman" w:hAnsi="Times New Roman" w:cs="Times New Roman"/>
          <w:sz w:val="24"/>
          <w:szCs w:val="24"/>
        </w:rPr>
        <w:t>5</w:t>
      </w:r>
      <w:r w:rsidRPr="00AA347C">
        <w:rPr>
          <w:rFonts w:ascii="Times New Roman" w:hAnsi="Times New Roman" w:cs="Times New Roman"/>
          <w:sz w:val="24"/>
          <w:szCs w:val="24"/>
        </w:rPr>
        <w:t xml:space="preserve"> mljrd. </w:t>
      </w:r>
      <w:r w:rsidRPr="009F0588">
        <w:rPr>
          <w:rFonts w:ascii="Times New Roman" w:hAnsi="Times New Roman" w:cs="Times New Roman"/>
          <w:i/>
          <w:iCs/>
          <w:sz w:val="24"/>
          <w:szCs w:val="24"/>
        </w:rPr>
        <w:t>euro</w:t>
      </w:r>
      <w:r w:rsidRPr="00AA347C">
        <w:rPr>
          <w:rFonts w:ascii="Times New Roman" w:hAnsi="Times New Roman" w:cs="Times New Roman"/>
          <w:sz w:val="24"/>
          <w:szCs w:val="24"/>
        </w:rPr>
        <w:t xml:space="preserve"> apmērā (skat. </w:t>
      </w:r>
      <w:r>
        <w:rPr>
          <w:rFonts w:ascii="Times New Roman" w:hAnsi="Times New Roman" w:cs="Times New Roman"/>
          <w:sz w:val="24"/>
          <w:szCs w:val="24"/>
        </w:rPr>
        <w:t>4.3.1</w:t>
      </w:r>
      <w:r w:rsidRPr="00AA347C">
        <w:rPr>
          <w:rFonts w:ascii="Times New Roman" w:hAnsi="Times New Roman" w:cs="Times New Roman"/>
          <w:sz w:val="24"/>
          <w:szCs w:val="24"/>
        </w:rPr>
        <w:t xml:space="preserve">. attēlu). Lielāko daļu no minētajā periodā pārfinansējamā parāda apjoma veido starptautiskajos finanšu tirgos emitētās eiroobligācijas, kurām iestāsies dzēšanas termiņš. </w:t>
      </w:r>
    </w:p>
    <w:p w14:paraId="12D913C6" w14:textId="77777777" w:rsidR="00AE3116" w:rsidRPr="00AA347C" w:rsidRDefault="00AE3116" w:rsidP="00AE3116">
      <w:pPr>
        <w:spacing w:after="0" w:line="240" w:lineRule="auto"/>
        <w:ind w:firstLine="709"/>
        <w:jc w:val="both"/>
        <w:rPr>
          <w:rFonts w:ascii="Times New Roman" w:hAnsi="Times New Roman" w:cs="Times New Roman"/>
          <w:sz w:val="24"/>
          <w:szCs w:val="24"/>
        </w:rPr>
      </w:pPr>
    </w:p>
    <w:p w14:paraId="7484EB8C" w14:textId="13DAE18E" w:rsidR="00AE3116" w:rsidRDefault="00AE3116" w:rsidP="00AE3116">
      <w:pPr>
        <w:spacing w:after="0" w:line="240" w:lineRule="auto"/>
        <w:jc w:val="center"/>
        <w:rPr>
          <w:rFonts w:ascii="Times New Roman" w:hAnsi="Times New Roman" w:cs="Times New Roman"/>
          <w:sz w:val="24"/>
          <w:szCs w:val="24"/>
        </w:rPr>
      </w:pPr>
    </w:p>
    <w:p w14:paraId="5AC793BE" w14:textId="0288D249" w:rsidR="007F0ADE" w:rsidRDefault="007F0ADE" w:rsidP="00AE3116">
      <w:pPr>
        <w:spacing w:after="0" w:line="240" w:lineRule="auto"/>
        <w:jc w:val="center"/>
        <w:rPr>
          <w:rFonts w:ascii="Times New Roman" w:hAnsi="Times New Roman" w:cs="Times New Roman"/>
          <w:sz w:val="24"/>
          <w:szCs w:val="24"/>
        </w:rPr>
      </w:pPr>
    </w:p>
    <w:p w14:paraId="4E22B2F9" w14:textId="1A4BD11C" w:rsidR="00EC0F9B" w:rsidRPr="00AA347C" w:rsidRDefault="00EC0F9B" w:rsidP="00AE311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A1DD6F" wp14:editId="7EC31155">
            <wp:extent cx="5288592" cy="2563495"/>
            <wp:effectExtent l="0" t="0" r="7620" b="8255"/>
            <wp:docPr id="1409431671" name="Picture 1" descr="A graph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31671" name="Picture 1" descr="A graph of blue and white bar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05041" cy="2571468"/>
                    </a:xfrm>
                    <a:prstGeom prst="rect">
                      <a:avLst/>
                    </a:prstGeom>
                    <a:noFill/>
                  </pic:spPr>
                </pic:pic>
              </a:graphicData>
            </a:graphic>
          </wp:inline>
        </w:drawing>
      </w:r>
    </w:p>
    <w:p w14:paraId="2A4D3F8A" w14:textId="72FC57AB" w:rsidR="00AE3116" w:rsidRPr="00AA347C" w:rsidRDefault="00AE3116" w:rsidP="00AE3116">
      <w:pPr>
        <w:spacing w:after="0" w:line="240" w:lineRule="auto"/>
        <w:ind w:firstLine="709"/>
        <w:jc w:val="center"/>
        <w:rPr>
          <w:rFonts w:ascii="Times New Roman" w:hAnsi="Times New Roman" w:cs="Times New Roman"/>
          <w:sz w:val="24"/>
          <w:szCs w:val="24"/>
        </w:rPr>
      </w:pPr>
      <w:r w:rsidRPr="00391462">
        <w:rPr>
          <w:rFonts w:ascii="Times New Roman" w:hAnsi="Times New Roman" w:cs="Times New Roman"/>
          <w:b/>
          <w:bCs/>
          <w:sz w:val="24"/>
          <w:szCs w:val="24"/>
        </w:rPr>
        <w:t>4.3.1. att</w:t>
      </w:r>
      <w:r>
        <w:rPr>
          <w:rFonts w:ascii="Times New Roman" w:hAnsi="Times New Roman" w:cs="Times New Roman"/>
          <w:b/>
          <w:bCs/>
          <w:sz w:val="24"/>
          <w:szCs w:val="24"/>
        </w:rPr>
        <w:t>ēls</w:t>
      </w:r>
      <w:r w:rsidRPr="00391462">
        <w:rPr>
          <w:rFonts w:ascii="Times New Roman" w:hAnsi="Times New Roman" w:cs="Times New Roman"/>
          <w:b/>
          <w:bCs/>
          <w:sz w:val="24"/>
          <w:szCs w:val="24"/>
        </w:rPr>
        <w:t>.</w:t>
      </w:r>
      <w:r w:rsidRPr="00AA347C">
        <w:rPr>
          <w:rFonts w:ascii="Times New Roman" w:hAnsi="Times New Roman" w:cs="Times New Roman"/>
          <w:sz w:val="24"/>
          <w:szCs w:val="24"/>
        </w:rPr>
        <w:t xml:space="preserve"> Centrālās valdības aizņēmumu atmaksas grafiks</w:t>
      </w:r>
    </w:p>
    <w:p w14:paraId="708B5757" w14:textId="276013A5" w:rsidR="00AE3116" w:rsidRPr="00AA347C" w:rsidRDefault="5FAC2DDF" w:rsidP="469479B5">
      <w:pPr>
        <w:spacing w:after="0" w:line="240" w:lineRule="auto"/>
        <w:ind w:firstLine="709"/>
        <w:jc w:val="center"/>
        <w:rPr>
          <w:rFonts w:ascii="Times New Roman" w:hAnsi="Times New Roman" w:cs="Times New Roman"/>
          <w:sz w:val="24"/>
          <w:szCs w:val="24"/>
        </w:rPr>
      </w:pPr>
      <w:r w:rsidRPr="469479B5">
        <w:rPr>
          <w:rFonts w:ascii="Times New Roman" w:hAnsi="Times New Roman" w:cs="Times New Roman"/>
          <w:sz w:val="24"/>
          <w:szCs w:val="24"/>
        </w:rPr>
        <w:t>(līdz 202</w:t>
      </w:r>
      <w:r w:rsidR="007F0ADE">
        <w:rPr>
          <w:rFonts w:ascii="Times New Roman" w:hAnsi="Times New Roman" w:cs="Times New Roman"/>
          <w:sz w:val="24"/>
          <w:szCs w:val="24"/>
        </w:rPr>
        <w:t>5</w:t>
      </w:r>
      <w:r w:rsidRPr="469479B5">
        <w:rPr>
          <w:rFonts w:ascii="Times New Roman" w:hAnsi="Times New Roman" w:cs="Times New Roman"/>
          <w:sz w:val="24"/>
          <w:szCs w:val="24"/>
        </w:rPr>
        <w:t>. gada 3</w:t>
      </w:r>
      <w:r w:rsidR="00EC0F9B">
        <w:rPr>
          <w:rFonts w:ascii="Times New Roman" w:hAnsi="Times New Roman" w:cs="Times New Roman"/>
          <w:sz w:val="24"/>
          <w:szCs w:val="24"/>
        </w:rPr>
        <w:t>1</w:t>
      </w:r>
      <w:r w:rsidRPr="469479B5">
        <w:rPr>
          <w:rFonts w:ascii="Times New Roman" w:hAnsi="Times New Roman" w:cs="Times New Roman"/>
          <w:sz w:val="24"/>
          <w:szCs w:val="24"/>
        </w:rPr>
        <w:t>.</w:t>
      </w:r>
      <w:r w:rsidR="021A2936" w:rsidRPr="469479B5">
        <w:rPr>
          <w:rFonts w:ascii="Times New Roman" w:hAnsi="Times New Roman" w:cs="Times New Roman"/>
          <w:b/>
          <w:bCs/>
          <w:sz w:val="24"/>
          <w:szCs w:val="24"/>
        </w:rPr>
        <w:t xml:space="preserve"> </w:t>
      </w:r>
      <w:r w:rsidR="00EC0F9B" w:rsidRPr="00F9014C">
        <w:rPr>
          <w:rFonts w:ascii="Times New Roman" w:hAnsi="Times New Roman" w:cs="Times New Roman"/>
          <w:sz w:val="24"/>
          <w:szCs w:val="24"/>
        </w:rPr>
        <w:t>jūlijam</w:t>
      </w:r>
      <w:r w:rsidRPr="469479B5">
        <w:rPr>
          <w:rFonts w:ascii="Times New Roman" w:hAnsi="Times New Roman" w:cs="Times New Roman"/>
          <w:sz w:val="24"/>
          <w:szCs w:val="24"/>
        </w:rPr>
        <w:t xml:space="preserve"> uzņemtās saistības, nominālvērtībā, milj. </w:t>
      </w:r>
      <w:r w:rsidRPr="469479B5">
        <w:rPr>
          <w:rFonts w:ascii="Times New Roman" w:hAnsi="Times New Roman" w:cs="Times New Roman"/>
          <w:i/>
          <w:iCs/>
          <w:sz w:val="24"/>
          <w:szCs w:val="24"/>
        </w:rPr>
        <w:t>euro</w:t>
      </w:r>
      <w:r w:rsidRPr="469479B5">
        <w:rPr>
          <w:rFonts w:ascii="Times New Roman" w:hAnsi="Times New Roman" w:cs="Times New Roman"/>
          <w:sz w:val="24"/>
          <w:szCs w:val="24"/>
        </w:rPr>
        <w:t>)</w:t>
      </w:r>
    </w:p>
    <w:p w14:paraId="2CA28604" w14:textId="77777777" w:rsidR="00AE3116" w:rsidRPr="00AA347C" w:rsidRDefault="00AE3116" w:rsidP="00AE3116">
      <w:pPr>
        <w:spacing w:after="0" w:line="240" w:lineRule="auto"/>
        <w:ind w:firstLine="709"/>
        <w:jc w:val="center"/>
        <w:rPr>
          <w:rFonts w:ascii="Times New Roman" w:hAnsi="Times New Roman" w:cs="Times New Roman"/>
          <w:sz w:val="24"/>
          <w:szCs w:val="24"/>
        </w:rPr>
      </w:pPr>
    </w:p>
    <w:p w14:paraId="7C03DE41" w14:textId="1F3E2F7B" w:rsidR="007F0ADE" w:rsidRPr="00AA347C" w:rsidRDefault="007F0ADE" w:rsidP="007F0ADE">
      <w:pPr>
        <w:spacing w:after="0" w:line="240" w:lineRule="auto"/>
        <w:ind w:firstLine="709"/>
        <w:jc w:val="both"/>
        <w:rPr>
          <w:rFonts w:ascii="Times New Roman" w:hAnsi="Times New Roman" w:cs="Times New Roman"/>
          <w:sz w:val="24"/>
          <w:szCs w:val="24"/>
        </w:rPr>
      </w:pPr>
      <w:r w:rsidRPr="006A3022">
        <w:rPr>
          <w:rFonts w:ascii="Times New Roman" w:hAnsi="Times New Roman" w:cs="Times New Roman"/>
          <w:sz w:val="24"/>
          <w:szCs w:val="24"/>
        </w:rPr>
        <w:t>202</w:t>
      </w:r>
      <w:r>
        <w:rPr>
          <w:rFonts w:ascii="Times New Roman" w:hAnsi="Times New Roman" w:cs="Times New Roman"/>
          <w:sz w:val="24"/>
          <w:szCs w:val="24"/>
        </w:rPr>
        <w:t>5</w:t>
      </w:r>
      <w:r w:rsidRPr="006A3022">
        <w:rPr>
          <w:rFonts w:ascii="Times New Roman" w:hAnsi="Times New Roman" w:cs="Times New Roman"/>
          <w:sz w:val="24"/>
          <w:szCs w:val="24"/>
        </w:rPr>
        <w:t>. gad</w:t>
      </w:r>
      <w:r>
        <w:rPr>
          <w:rFonts w:ascii="Times New Roman" w:hAnsi="Times New Roman" w:cs="Times New Roman"/>
          <w:sz w:val="24"/>
          <w:szCs w:val="24"/>
        </w:rPr>
        <w:t>a janvārī-</w:t>
      </w:r>
      <w:r w:rsidR="00EC0F9B">
        <w:rPr>
          <w:rFonts w:ascii="Times New Roman" w:hAnsi="Times New Roman" w:cs="Times New Roman"/>
          <w:sz w:val="24"/>
          <w:szCs w:val="24"/>
        </w:rPr>
        <w:t>jūlijā</w:t>
      </w:r>
      <w:r w:rsidRPr="006A3022">
        <w:rPr>
          <w:rFonts w:ascii="Times New Roman" w:hAnsi="Times New Roman" w:cs="Times New Roman"/>
          <w:sz w:val="24"/>
          <w:szCs w:val="24"/>
        </w:rPr>
        <w:t xml:space="preserve"> kopējās finansēšanas nepieciešamības segšanai veikti aizņemšanās darījumi </w:t>
      </w:r>
      <w:r>
        <w:rPr>
          <w:rFonts w:ascii="Times New Roman" w:hAnsi="Times New Roman" w:cs="Times New Roman"/>
          <w:sz w:val="24"/>
          <w:szCs w:val="24"/>
        </w:rPr>
        <w:t>1,</w:t>
      </w:r>
      <w:r w:rsidR="00EC0F9B">
        <w:rPr>
          <w:rFonts w:ascii="Times New Roman" w:hAnsi="Times New Roman" w:cs="Times New Roman"/>
          <w:sz w:val="24"/>
          <w:szCs w:val="24"/>
        </w:rPr>
        <w:t>7</w:t>
      </w:r>
      <w:r>
        <w:rPr>
          <w:rFonts w:ascii="Times New Roman" w:hAnsi="Times New Roman" w:cs="Times New Roman"/>
          <w:sz w:val="24"/>
          <w:szCs w:val="24"/>
        </w:rPr>
        <w:t xml:space="preserve"> mljrd</w:t>
      </w:r>
      <w:r w:rsidRPr="006A3022">
        <w:rPr>
          <w:rFonts w:ascii="Times New Roman" w:hAnsi="Times New Roman" w:cs="Times New Roman"/>
          <w:sz w:val="24"/>
          <w:szCs w:val="24"/>
        </w:rPr>
        <w:t xml:space="preserve">. </w:t>
      </w:r>
      <w:r w:rsidRPr="00677906">
        <w:rPr>
          <w:rFonts w:ascii="Times New Roman" w:hAnsi="Times New Roman" w:cs="Times New Roman"/>
          <w:i/>
          <w:iCs/>
          <w:sz w:val="24"/>
          <w:szCs w:val="24"/>
        </w:rPr>
        <w:t>euro</w:t>
      </w:r>
      <w:r w:rsidRPr="006A3022">
        <w:rPr>
          <w:rFonts w:ascii="Times New Roman" w:hAnsi="Times New Roman" w:cs="Times New Roman"/>
          <w:sz w:val="24"/>
          <w:szCs w:val="24"/>
        </w:rPr>
        <w:t xml:space="preserve"> apmērā. </w:t>
      </w:r>
      <w:r>
        <w:rPr>
          <w:rFonts w:ascii="Times New Roman" w:hAnsi="Times New Roman" w:cs="Times New Roman"/>
          <w:sz w:val="24"/>
          <w:szCs w:val="24"/>
        </w:rPr>
        <w:t xml:space="preserve">Š.g. maijā </w:t>
      </w:r>
      <w:r w:rsidRPr="003E3B03">
        <w:rPr>
          <w:rFonts w:ascii="Times New Roman" w:hAnsi="Times New Roman" w:cs="Times New Roman"/>
          <w:sz w:val="24"/>
          <w:szCs w:val="24"/>
        </w:rPr>
        <w:t xml:space="preserve">starptautiskajos finanšu tirgos </w:t>
      </w:r>
      <w:r>
        <w:rPr>
          <w:rFonts w:ascii="Times New Roman" w:hAnsi="Times New Roman" w:cs="Times New Roman"/>
          <w:sz w:val="24"/>
          <w:szCs w:val="24"/>
        </w:rPr>
        <w:t>tika emitētas</w:t>
      </w:r>
      <w:r w:rsidRPr="003E3B03">
        <w:rPr>
          <w:rFonts w:ascii="Times New Roman" w:hAnsi="Times New Roman" w:cs="Times New Roman"/>
          <w:sz w:val="24"/>
          <w:szCs w:val="24"/>
        </w:rPr>
        <w:t xml:space="preserve"> 5 gadu eiroobligācijas, piesaistot finansējumu 1</w:t>
      </w:r>
      <w:r>
        <w:rPr>
          <w:rFonts w:ascii="Times New Roman" w:hAnsi="Times New Roman" w:cs="Times New Roman"/>
          <w:sz w:val="24"/>
          <w:szCs w:val="24"/>
        </w:rPr>
        <w:t>,0</w:t>
      </w:r>
      <w:r w:rsidRPr="003E3B03">
        <w:rPr>
          <w:rFonts w:ascii="Times New Roman" w:hAnsi="Times New Roman" w:cs="Times New Roman"/>
          <w:sz w:val="24"/>
          <w:szCs w:val="24"/>
        </w:rPr>
        <w:t xml:space="preserve"> m</w:t>
      </w:r>
      <w:r>
        <w:rPr>
          <w:rFonts w:ascii="Times New Roman" w:hAnsi="Times New Roman" w:cs="Times New Roman"/>
          <w:sz w:val="24"/>
          <w:szCs w:val="24"/>
        </w:rPr>
        <w:t xml:space="preserve">ljrd. </w:t>
      </w:r>
      <w:r w:rsidRPr="00677906">
        <w:rPr>
          <w:rFonts w:ascii="Times New Roman" w:hAnsi="Times New Roman" w:cs="Times New Roman"/>
          <w:i/>
          <w:iCs/>
          <w:sz w:val="24"/>
          <w:szCs w:val="24"/>
        </w:rPr>
        <w:t>euro</w:t>
      </w:r>
      <w:r w:rsidRPr="003E3B03">
        <w:rPr>
          <w:rFonts w:ascii="Times New Roman" w:hAnsi="Times New Roman" w:cs="Times New Roman"/>
          <w:sz w:val="24"/>
          <w:szCs w:val="24"/>
        </w:rPr>
        <w:t xml:space="preserve"> apmērā ar ienesīgumu 2</w:t>
      </w:r>
      <w:r w:rsidR="007B31CC">
        <w:rPr>
          <w:rFonts w:ascii="Times New Roman" w:hAnsi="Times New Roman" w:cs="Times New Roman"/>
          <w:sz w:val="24"/>
          <w:szCs w:val="24"/>
        </w:rPr>
        <w:t>,</w:t>
      </w:r>
      <w:r w:rsidRPr="003E3B03">
        <w:rPr>
          <w:rFonts w:ascii="Times New Roman" w:hAnsi="Times New Roman" w:cs="Times New Roman"/>
          <w:sz w:val="24"/>
          <w:szCs w:val="24"/>
        </w:rPr>
        <w:t>971% un fiksējot kupona likmi 2</w:t>
      </w:r>
      <w:r w:rsidR="007B31CC">
        <w:rPr>
          <w:rFonts w:ascii="Times New Roman" w:hAnsi="Times New Roman" w:cs="Times New Roman"/>
          <w:sz w:val="24"/>
          <w:szCs w:val="24"/>
        </w:rPr>
        <w:t>,</w:t>
      </w:r>
      <w:r w:rsidRPr="003E3B03">
        <w:rPr>
          <w:rFonts w:ascii="Times New Roman" w:hAnsi="Times New Roman" w:cs="Times New Roman"/>
          <w:sz w:val="24"/>
          <w:szCs w:val="24"/>
        </w:rPr>
        <w:t>875%.</w:t>
      </w:r>
      <w:r>
        <w:rPr>
          <w:rFonts w:ascii="Times New Roman" w:hAnsi="Times New Roman" w:cs="Times New Roman"/>
          <w:sz w:val="24"/>
          <w:szCs w:val="24"/>
        </w:rPr>
        <w:t xml:space="preserve"> </w:t>
      </w:r>
      <w:r w:rsidRPr="006A3022">
        <w:rPr>
          <w:rFonts w:ascii="Times New Roman" w:hAnsi="Times New Roman" w:cs="Times New Roman"/>
          <w:sz w:val="24"/>
          <w:szCs w:val="24"/>
        </w:rPr>
        <w:t xml:space="preserve">Savukārt, dažāda termiņa eiroobligāciju papildu laidienu izsolēs ar Primāro dīleru starpniecību piesaistīti </w:t>
      </w:r>
      <w:r w:rsidR="00EC0F9B">
        <w:rPr>
          <w:rFonts w:ascii="Times New Roman" w:hAnsi="Times New Roman" w:cs="Times New Roman"/>
          <w:sz w:val="24"/>
          <w:szCs w:val="24"/>
        </w:rPr>
        <w:t>580</w:t>
      </w:r>
      <w:r>
        <w:rPr>
          <w:rFonts w:ascii="Times New Roman" w:hAnsi="Times New Roman" w:cs="Times New Roman"/>
          <w:sz w:val="24"/>
          <w:szCs w:val="24"/>
        </w:rPr>
        <w:t>,0</w:t>
      </w:r>
      <w:r w:rsidRPr="006A3022">
        <w:rPr>
          <w:rFonts w:ascii="Times New Roman" w:hAnsi="Times New Roman" w:cs="Times New Roman"/>
          <w:sz w:val="24"/>
          <w:szCs w:val="24"/>
        </w:rPr>
        <w:t xml:space="preserve"> milj. </w:t>
      </w:r>
      <w:r w:rsidRPr="00677906">
        <w:rPr>
          <w:rFonts w:ascii="Times New Roman" w:hAnsi="Times New Roman" w:cs="Times New Roman"/>
          <w:i/>
          <w:iCs/>
          <w:sz w:val="24"/>
          <w:szCs w:val="24"/>
        </w:rPr>
        <w:t>euro</w:t>
      </w:r>
      <w:r w:rsidRPr="006A3022">
        <w:rPr>
          <w:rFonts w:ascii="Times New Roman" w:hAnsi="Times New Roman" w:cs="Times New Roman"/>
          <w:sz w:val="24"/>
          <w:szCs w:val="24"/>
        </w:rPr>
        <w:t xml:space="preserve">. Krājobligācijas emitētas </w:t>
      </w:r>
      <w:r w:rsidR="00EC0F9B">
        <w:rPr>
          <w:rFonts w:ascii="Times New Roman" w:hAnsi="Times New Roman" w:cs="Times New Roman"/>
          <w:sz w:val="24"/>
          <w:szCs w:val="24"/>
        </w:rPr>
        <w:t>164,4</w:t>
      </w:r>
      <w:r w:rsidRPr="006A3022">
        <w:rPr>
          <w:rFonts w:ascii="Times New Roman" w:hAnsi="Times New Roman" w:cs="Times New Roman"/>
          <w:sz w:val="24"/>
          <w:szCs w:val="24"/>
        </w:rPr>
        <w:t xml:space="preserve"> milj. </w:t>
      </w:r>
      <w:r w:rsidRPr="00677906">
        <w:rPr>
          <w:rFonts w:ascii="Times New Roman" w:hAnsi="Times New Roman" w:cs="Times New Roman"/>
          <w:i/>
          <w:iCs/>
          <w:sz w:val="24"/>
          <w:szCs w:val="24"/>
        </w:rPr>
        <w:t>euro</w:t>
      </w:r>
      <w:r w:rsidRPr="006A3022">
        <w:rPr>
          <w:rFonts w:ascii="Times New Roman" w:hAnsi="Times New Roman" w:cs="Times New Roman"/>
          <w:sz w:val="24"/>
          <w:szCs w:val="24"/>
        </w:rPr>
        <w:t xml:space="preserve"> apmērā, saglabājoties lielam iedzīvotāju pieprasījumam pēc šī instrumenta, kā arī vēlmei veikt ieguldījumu atkārtoti pēc 2023. gadā iegādāto krājobligāciju dzēšanas.</w:t>
      </w:r>
    </w:p>
    <w:p w14:paraId="27B8F2C3" w14:textId="7BF6AAE1" w:rsidR="00EC0F9B" w:rsidRDefault="5FAC2DDF" w:rsidP="007F033A">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Līdz 2024.</w:t>
      </w:r>
      <w:r w:rsidR="56289230"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beigām un 2025.</w:t>
      </w:r>
      <w:r w:rsidR="43EDA8DA"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sidR="43BAF1CC"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202</w:t>
      </w:r>
      <w:r w:rsidR="00EC0F9B">
        <w:rPr>
          <w:rFonts w:ascii="Times New Roman" w:hAnsi="Times New Roman" w:cs="Times New Roman"/>
          <w:sz w:val="24"/>
          <w:szCs w:val="24"/>
        </w:rPr>
        <w:t>9</w:t>
      </w:r>
      <w:r w:rsidRPr="469479B5">
        <w:rPr>
          <w:rFonts w:ascii="Times New Roman" w:hAnsi="Times New Roman" w:cs="Times New Roman"/>
          <w:sz w:val="24"/>
          <w:szCs w:val="24"/>
        </w:rPr>
        <w:t xml:space="preserve">. gadā kopējās finansēšanas nepieciešamības segšanai tiks izmantoti VK kontos pieejamie resursi un aizņemšanās pasākumi finanšu tirgos, pieļaujot arī citu aizņemšanās instrumentu izmantošanu atkarībā no situācijas finanšu tirgos un procentu likmju tendencēm. </w:t>
      </w:r>
      <w:r w:rsidR="007F0ADE" w:rsidRPr="007C5FB7">
        <w:rPr>
          <w:rFonts w:ascii="Times New Roman" w:hAnsi="Times New Roman" w:cs="Times New Roman"/>
          <w:sz w:val="24"/>
          <w:szCs w:val="24"/>
        </w:rPr>
        <w:t>Aizņemšanos finanšu tirgos plānots nodrošināt galvenokārt ar publiskām etalona apjoma eiroobligāciju emisijām, uzturot iespējami elastīgas aizņemšanās instrumentu izvēles iespējas, kā arī veicot apgrozībā esošo eiroobligāciju papildu laidienu izsoles ar primāro dīleru starpniecību. Lai nodrošinātu Latvijas iedzīvotājiem drošu ieguldīšanas un uzkrājumu veidošanas instrumentu, tiks uzturēts arī dažādu termiņu krājobligāciju piedāvājums.</w:t>
      </w:r>
      <w:r w:rsidR="007F0ADE">
        <w:rPr>
          <w:rFonts w:ascii="Times New Roman" w:hAnsi="Times New Roman" w:cs="Times New Roman"/>
          <w:sz w:val="24"/>
          <w:szCs w:val="24"/>
        </w:rPr>
        <w:t xml:space="preserve"> </w:t>
      </w:r>
    </w:p>
    <w:p w14:paraId="143BFAAA" w14:textId="0AA02D7D" w:rsidR="00AE3116" w:rsidRPr="00883EE7" w:rsidRDefault="5FAC2DDF" w:rsidP="007F033A">
      <w:pPr>
        <w:spacing w:after="0" w:line="240" w:lineRule="auto"/>
        <w:ind w:firstLine="709"/>
        <w:jc w:val="both"/>
        <w:rPr>
          <w:rFonts w:ascii="Times New Roman" w:hAnsi="Times New Roman" w:cs="Times New Roman"/>
          <w:sz w:val="24"/>
          <w:szCs w:val="24"/>
          <w:highlight w:val="yellow"/>
        </w:rPr>
      </w:pPr>
      <w:r w:rsidRPr="469479B5">
        <w:rPr>
          <w:rFonts w:ascii="Times New Roman" w:hAnsi="Times New Roman" w:cs="Times New Roman"/>
          <w:sz w:val="24"/>
          <w:szCs w:val="24"/>
        </w:rPr>
        <w:t>Valsts parāda tendences vidējā termiņā ietekmē valsts budžeta bilances prognoze, t.sk. ņemot vērā izdevumu pieaugumu valsts aizsardzības kapacitātes stiprināšanai un ES fondu līdzfinansētiem projektiem, kā arī makroekonomisko rādītāju prognozes 202</w:t>
      </w:r>
      <w:r w:rsidR="007F0ADE">
        <w:rPr>
          <w:rFonts w:ascii="Times New Roman" w:hAnsi="Times New Roman" w:cs="Times New Roman"/>
          <w:sz w:val="24"/>
          <w:szCs w:val="24"/>
        </w:rPr>
        <w:t>5</w:t>
      </w:r>
      <w:r w:rsidRPr="469479B5">
        <w:rPr>
          <w:rFonts w:ascii="Times New Roman" w:hAnsi="Times New Roman" w:cs="Times New Roman"/>
          <w:sz w:val="24"/>
          <w:szCs w:val="24"/>
        </w:rPr>
        <w:t>.</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202</w:t>
      </w:r>
      <w:r w:rsidR="007F0ADE">
        <w:rPr>
          <w:rFonts w:ascii="Times New Roman" w:hAnsi="Times New Roman" w:cs="Times New Roman"/>
          <w:sz w:val="24"/>
          <w:szCs w:val="24"/>
        </w:rPr>
        <w:t>9</w:t>
      </w:r>
      <w:r w:rsidRPr="469479B5">
        <w:rPr>
          <w:rFonts w:ascii="Times New Roman" w:hAnsi="Times New Roman" w:cs="Times New Roman"/>
          <w:sz w:val="24"/>
          <w:szCs w:val="24"/>
        </w:rPr>
        <w:t>.</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gadam</w:t>
      </w:r>
      <w:r w:rsidR="007F0ADE">
        <w:rPr>
          <w:rFonts w:ascii="Times New Roman" w:hAnsi="Times New Roman" w:cs="Times New Roman"/>
          <w:sz w:val="24"/>
          <w:szCs w:val="24"/>
        </w:rPr>
        <w:t>.</w:t>
      </w:r>
      <w:r w:rsidRPr="469479B5">
        <w:rPr>
          <w:rFonts w:ascii="Times New Roman" w:hAnsi="Times New Roman" w:cs="Times New Roman"/>
          <w:sz w:val="24"/>
          <w:szCs w:val="24"/>
        </w:rPr>
        <w:t xml:space="preserve"> 2027.</w:t>
      </w:r>
      <w:r w:rsidR="007F0ADE">
        <w:rPr>
          <w:rFonts w:ascii="Times New Roman" w:hAnsi="Times New Roman" w:cs="Times New Roman"/>
          <w:sz w:val="24"/>
          <w:szCs w:val="24"/>
        </w:rPr>
        <w:t>, 2028.</w:t>
      </w:r>
      <w:r w:rsidRPr="469479B5">
        <w:rPr>
          <w:rFonts w:ascii="Times New Roman" w:hAnsi="Times New Roman" w:cs="Times New Roman"/>
          <w:sz w:val="24"/>
          <w:szCs w:val="24"/>
        </w:rPr>
        <w:t xml:space="preserve"> un 202</w:t>
      </w:r>
      <w:r w:rsidR="007F0ADE">
        <w:rPr>
          <w:rFonts w:ascii="Times New Roman" w:hAnsi="Times New Roman" w:cs="Times New Roman"/>
          <w:sz w:val="24"/>
          <w:szCs w:val="24"/>
        </w:rPr>
        <w:t>9</w:t>
      </w:r>
      <w:r w:rsidRPr="469479B5">
        <w:rPr>
          <w:rFonts w:ascii="Times New Roman" w:hAnsi="Times New Roman" w:cs="Times New Roman"/>
          <w:sz w:val="24"/>
          <w:szCs w:val="24"/>
        </w:rPr>
        <w:t>.</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vispārējās valdības parāda apjomu papildus iepriekš minētajiem faktoriem noteiks nepieciešamība savlaicīgi nodrošināt resursus 2028.</w:t>
      </w:r>
      <w:r w:rsidR="007F0ADE">
        <w:rPr>
          <w:rFonts w:ascii="Times New Roman" w:hAnsi="Times New Roman" w:cs="Times New Roman"/>
          <w:sz w:val="24"/>
          <w:szCs w:val="24"/>
        </w:rPr>
        <w:t>, 2029.</w:t>
      </w:r>
      <w:r w:rsidRPr="469479B5">
        <w:rPr>
          <w:rFonts w:ascii="Times New Roman" w:hAnsi="Times New Roman" w:cs="Times New Roman"/>
          <w:sz w:val="24"/>
          <w:szCs w:val="24"/>
        </w:rPr>
        <w:t xml:space="preserve"> un 20</w:t>
      </w:r>
      <w:r w:rsidR="007F0ADE">
        <w:rPr>
          <w:rFonts w:ascii="Times New Roman" w:hAnsi="Times New Roman" w:cs="Times New Roman"/>
          <w:sz w:val="24"/>
          <w:szCs w:val="24"/>
        </w:rPr>
        <w:t>30</w:t>
      </w:r>
      <w:r w:rsidRPr="469479B5">
        <w:rPr>
          <w:rFonts w:ascii="Times New Roman" w:hAnsi="Times New Roman" w:cs="Times New Roman"/>
          <w:sz w:val="24"/>
          <w:szCs w:val="24"/>
        </w:rPr>
        <w:t>.</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gada sākumā plānotajai valsts parāda atmaksai. Atbilstoši aktuālajām prognozēm sagaidāms </w:t>
      </w:r>
      <w:r w:rsidR="00EC0F9B" w:rsidRPr="008663E7">
        <w:rPr>
          <w:rFonts w:ascii="Times New Roman" w:hAnsi="Times New Roman" w:cs="Times New Roman"/>
          <w:sz w:val="24"/>
          <w:szCs w:val="24"/>
        </w:rPr>
        <w:t>pakāpenisks vispārējās valdības parāda līmeņa pieaugums līdz 55-56% no IKP</w:t>
      </w:r>
      <w:r w:rsidR="00F9014C">
        <w:rPr>
          <w:rFonts w:ascii="Times New Roman" w:hAnsi="Times New Roman" w:cs="Times New Roman"/>
          <w:sz w:val="24"/>
          <w:szCs w:val="24"/>
        </w:rPr>
        <w:t>.</w:t>
      </w:r>
      <w:r w:rsidR="00EC0F9B" w:rsidRPr="469479B5" w:rsidDel="00EC0F9B">
        <w:rPr>
          <w:rFonts w:ascii="Times New Roman" w:hAnsi="Times New Roman" w:cs="Times New Roman"/>
          <w:sz w:val="24"/>
          <w:szCs w:val="24"/>
        </w:rPr>
        <w:t xml:space="preserve"> </w:t>
      </w:r>
      <w:r w:rsidR="00A712AA">
        <w:rPr>
          <w:rFonts w:ascii="Times New Roman" w:hAnsi="Times New Roman" w:cs="Times New Roman"/>
          <w:sz w:val="24"/>
          <w:szCs w:val="24"/>
        </w:rPr>
        <w:t>V</w:t>
      </w:r>
      <w:r w:rsidRPr="469479B5">
        <w:rPr>
          <w:rFonts w:ascii="Times New Roman" w:hAnsi="Times New Roman" w:cs="Times New Roman"/>
          <w:sz w:val="24"/>
          <w:szCs w:val="24"/>
        </w:rPr>
        <w:t>idējā termiņā Fiskālās disciplīnas likumā noteiktais parāda nosacījums (60% no IKP) tiks ievērots.</w:t>
      </w:r>
    </w:p>
    <w:p w14:paraId="4F9976B6" w14:textId="3DAFF204" w:rsidR="009A1B94" w:rsidRPr="00940337" w:rsidRDefault="30A11E7B" w:rsidP="469479B5">
      <w:pPr>
        <w:pStyle w:val="Heading2"/>
        <w:numPr>
          <w:ilvl w:val="0"/>
          <w:numId w:val="0"/>
        </w:numPr>
        <w:spacing w:after="120"/>
        <w:rPr>
          <w:rFonts w:cs="Times New Roman"/>
          <w:szCs w:val="24"/>
        </w:rPr>
      </w:pPr>
      <w:bookmarkStart w:id="348" w:name="_Toc118743676"/>
      <w:bookmarkStart w:id="349" w:name="_Toc205554434"/>
      <w:r w:rsidRPr="00945DC6">
        <w:rPr>
          <w:rFonts w:cs="Times New Roman"/>
          <w:szCs w:val="24"/>
        </w:rPr>
        <w:t>4.4</w:t>
      </w:r>
      <w:r w:rsidRPr="006643F4">
        <w:t>. Vispārējās valdības parāda ilgtspēja</w:t>
      </w:r>
      <w:bookmarkEnd w:id="348"/>
      <w:bookmarkEnd w:id="349"/>
      <w:r w:rsidR="009A1B94">
        <w:tab/>
      </w:r>
    </w:p>
    <w:p w14:paraId="01302DAD" w14:textId="6BAD0271" w:rsidR="00497710" w:rsidRPr="00940337" w:rsidRDefault="21C7E381" w:rsidP="469479B5">
      <w:pPr>
        <w:spacing w:after="0" w:line="240" w:lineRule="auto"/>
        <w:ind w:firstLine="720"/>
        <w:jc w:val="both"/>
        <w:rPr>
          <w:rFonts w:ascii="Times New Roman" w:hAnsi="Times New Roman" w:cs="Times New Roman"/>
          <w:sz w:val="24"/>
          <w:szCs w:val="24"/>
        </w:rPr>
      </w:pPr>
      <w:r w:rsidRPr="00940337">
        <w:rPr>
          <w:rFonts w:ascii="Times New Roman" w:hAnsi="Times New Roman" w:cs="Times New Roman"/>
          <w:sz w:val="24"/>
          <w:szCs w:val="24"/>
        </w:rPr>
        <w:t>Covid</w:t>
      </w:r>
      <w:r w:rsidR="00597FA9" w:rsidRPr="469479B5">
        <w:rPr>
          <w:rFonts w:ascii="Times New Roman" w:hAnsi="Times New Roman" w:cs="Times New Roman"/>
          <w:color w:val="000000" w:themeColor="text1"/>
          <w:sz w:val="24"/>
          <w:szCs w:val="24"/>
        </w:rPr>
        <w:t>–</w:t>
      </w:r>
      <w:r w:rsidRPr="00940337">
        <w:rPr>
          <w:rFonts w:ascii="Times New Roman" w:hAnsi="Times New Roman" w:cs="Times New Roman"/>
          <w:sz w:val="24"/>
          <w:szCs w:val="24"/>
        </w:rPr>
        <w:t xml:space="preserve">19 pandēmija un tās sekas, Krievijas iebrukums Ukrainā, </w:t>
      </w:r>
      <w:r w:rsidR="00A75A79">
        <w:rPr>
          <w:rFonts w:ascii="Times New Roman" w:hAnsi="Times New Roman" w:cs="Times New Roman"/>
          <w:sz w:val="24"/>
          <w:szCs w:val="24"/>
        </w:rPr>
        <w:t>un augstās procentu likmes</w:t>
      </w:r>
      <w:r w:rsidRPr="00940337">
        <w:rPr>
          <w:rFonts w:ascii="Times New Roman" w:hAnsi="Times New Roman" w:cs="Times New Roman"/>
          <w:sz w:val="24"/>
          <w:szCs w:val="24"/>
        </w:rPr>
        <w:t xml:space="preserve"> tiešā veidā ietekmē vispārējās valdības budžeta ieņēmumus un izdevumus. Ņemot vērā nepieciešamību nodrošināt atbalstu iedzīvotājiem un uzņēmumiem, kā arī stiprināt valsts aizsardzības kapacitāti, vispārējās valdības budžetā veidojas būtisks deficīts un pieaug vispārējās valdības parāds. Minēto apstākļu kontekstā ir svarīgi novērtēt, vai vispārējās valdības parāds, ņemot vērā augošos izdevumus, ir ilgtspējīgs un negatīvi neietekmē publisko finanšu sistēmu.</w:t>
      </w:r>
    </w:p>
    <w:p w14:paraId="3054F487" w14:textId="77777777" w:rsidR="00497710" w:rsidRPr="00940337" w:rsidRDefault="21C7E381" w:rsidP="469479B5">
      <w:pPr>
        <w:spacing w:after="120" w:line="240" w:lineRule="auto"/>
        <w:ind w:firstLine="720"/>
        <w:jc w:val="both"/>
        <w:rPr>
          <w:rFonts w:ascii="Times New Roman" w:hAnsi="Times New Roman" w:cs="Times New Roman"/>
          <w:sz w:val="24"/>
          <w:szCs w:val="24"/>
        </w:rPr>
      </w:pPr>
      <w:r w:rsidRPr="00940337">
        <w:rPr>
          <w:rFonts w:ascii="Times New Roman" w:hAnsi="Times New Roman" w:cs="Times New Roman"/>
          <w:sz w:val="24"/>
          <w:szCs w:val="24"/>
        </w:rPr>
        <w:t>Vispārējās valdības parāds tiek uzskatīts par ilgtspējīgu, ja valsts ir spējīga izpildīt visas savas esošās un nākotnes saistības, ievērojot aizņemšanās līguma nosacījumus, t.i. parāda apkalpošanas maksājumi tiek veikti atbilstoši plānam, netiek veikta parāda restrukturizācija vai pasludināta valsts maksātnespēja</w:t>
      </w:r>
      <w:r w:rsidR="00497710" w:rsidRPr="00940337">
        <w:rPr>
          <w:rStyle w:val="FootnoteReference"/>
          <w:rFonts w:ascii="Times New Roman" w:hAnsi="Times New Roman" w:cs="Times New Roman"/>
          <w:sz w:val="24"/>
          <w:szCs w:val="24"/>
        </w:rPr>
        <w:footnoteReference w:id="76"/>
      </w:r>
      <w:r w:rsidRPr="00940337">
        <w:rPr>
          <w:rFonts w:ascii="Times New Roman" w:hAnsi="Times New Roman" w:cs="Times New Roman"/>
          <w:sz w:val="24"/>
          <w:szCs w:val="24"/>
        </w:rPr>
        <w:t>. Lai izpētītu vai Latvijas vispārējās valdības parāds ir ilgtspējīgs tiek veikta parāda ilgtspējas analīze, kas balstās uz parāda dinamikas vienādojumu:</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417"/>
      </w:tblGrid>
      <w:tr w:rsidR="00497710" w:rsidRPr="00883EE7" w14:paraId="3CAD216E" w14:textId="77777777" w:rsidTr="000A0E0A">
        <w:trPr>
          <w:trHeight w:val="433"/>
        </w:trPr>
        <w:tc>
          <w:tcPr>
            <w:tcW w:w="8222" w:type="dxa"/>
            <w:vAlign w:val="center"/>
            <w:hideMark/>
          </w:tcPr>
          <w:p w14:paraId="4635BF1A" w14:textId="2F0F0577" w:rsidR="00497710" w:rsidRPr="00940337" w:rsidRDefault="00E57E05" w:rsidP="000A0E0A">
            <w:pPr>
              <w:spacing w:line="360" w:lineRule="auto"/>
              <w:jc w:val="center"/>
              <w:rPr>
                <w:rFonts w:ascii="Cambria Math" w:hAnsi="Cambria Math"/>
              </w:rPr>
            </w:pPr>
            <m:oMathPara>
              <m:oMath>
                <m:sSub>
                  <m:sSubPr>
                    <m:ctrlPr>
                      <w:rPr>
                        <w:rFonts w:ascii="Cambria Math" w:hAnsi="Cambria Math"/>
                        <w:i/>
                        <w:szCs w:val="24"/>
                      </w:rPr>
                    </m:ctrlPr>
                  </m:sSubPr>
                  <m:e>
                    <m:r>
                      <w:rPr>
                        <w:rFonts w:ascii="Cambria Math" w:hAnsi="Cambria Math"/>
                      </w:rPr>
                      <m:t>Δb</m:t>
                    </m:r>
                  </m:e>
                  <m:sub>
                    <m:r>
                      <w:rPr>
                        <w:rFonts w:ascii="Cambria Math" w:hAnsi="Cambria Math"/>
                        <w:szCs w:val="24"/>
                      </w:rPr>
                      <m:t>t</m:t>
                    </m:r>
                  </m:sub>
                </m:sSub>
                <m:r>
                  <w:rPr>
                    <w:rFonts w:ascii="Cambria Math" w:hAnsi="Cambria Math"/>
                    <w:szCs w:val="24"/>
                  </w:rPr>
                  <m:t>=</m:t>
                </m:r>
                <m:d>
                  <m:dPr>
                    <m:ctrlPr>
                      <w:rPr>
                        <w:rFonts w:ascii="Cambria Math" w:eastAsia="Times New Roman" w:hAnsi="Cambria Math"/>
                        <w:i/>
                        <w:color w:val="000000" w:themeColor="text1"/>
                        <w:szCs w:val="24"/>
                      </w:rPr>
                    </m:ctrlPr>
                  </m:dPr>
                  <m:e>
                    <m:f>
                      <m:fPr>
                        <m:ctrlPr>
                          <w:rPr>
                            <w:rFonts w:ascii="Cambria Math" w:eastAsia="Times New Roman" w:hAnsi="Cambria Math"/>
                            <w:i/>
                            <w:color w:val="000000" w:themeColor="text1"/>
                            <w:szCs w:val="24"/>
                          </w:rPr>
                        </m:ctrlPr>
                      </m:fPr>
                      <m:num>
                        <m:r>
                          <w:rPr>
                            <w:rFonts w:ascii="Cambria Math" w:eastAsia="Times New Roman" w:hAnsi="Cambria Math"/>
                            <w:color w:val="000000" w:themeColor="text1"/>
                            <w:szCs w:val="24"/>
                          </w:rPr>
                          <m:t>r-g</m:t>
                        </m:r>
                      </m:num>
                      <m:den>
                        <m:r>
                          <w:rPr>
                            <w:rFonts w:ascii="Cambria Math" w:eastAsia="Times New Roman" w:hAnsi="Cambria Math"/>
                            <w:color w:val="000000" w:themeColor="text1"/>
                            <w:szCs w:val="24"/>
                          </w:rPr>
                          <m:t>1+g</m:t>
                        </m:r>
                      </m:den>
                    </m:f>
                  </m:e>
                </m:d>
                <m:sSub>
                  <m:sSubPr>
                    <m:ctrlPr>
                      <w:rPr>
                        <w:rFonts w:ascii="Cambria Math" w:hAnsi="Cambria Math"/>
                        <w:i/>
                        <w:szCs w:val="24"/>
                      </w:rPr>
                    </m:ctrlPr>
                  </m:sSubPr>
                  <m:e>
                    <m:r>
                      <w:rPr>
                        <w:rFonts w:ascii="Cambria Math" w:hAnsi="Cambria Math"/>
                        <w:szCs w:val="24"/>
                      </w:rPr>
                      <m:t>b</m:t>
                    </m:r>
                  </m:e>
                  <m:sub>
                    <m:r>
                      <w:rPr>
                        <w:rFonts w:ascii="Cambria Math" w:hAnsi="Cambria Math"/>
                        <w:szCs w:val="24"/>
                      </w:rPr>
                      <m:t>t-1</m:t>
                    </m:r>
                  </m:sub>
                </m:sSub>
                <m:r>
                  <w:rPr>
                    <w:rFonts w:ascii="Cambria Math"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pb</m:t>
                    </m:r>
                  </m:e>
                  <m:sub>
                    <m:r>
                      <w:rPr>
                        <w:rFonts w:ascii="Cambria Math" w:eastAsia="Times New Roman"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sfa</m:t>
                    </m:r>
                  </m:e>
                  <m:sub>
                    <m:r>
                      <w:rPr>
                        <w:rFonts w:ascii="Cambria Math" w:hAnsi="Cambria Math"/>
                        <w:szCs w:val="24"/>
                      </w:rPr>
                      <m:t>t</m:t>
                    </m:r>
                  </m:sub>
                </m:sSub>
              </m:oMath>
            </m:oMathPara>
          </w:p>
        </w:tc>
        <w:tc>
          <w:tcPr>
            <w:tcW w:w="1417" w:type="dxa"/>
            <w:vAlign w:val="center"/>
            <w:hideMark/>
          </w:tcPr>
          <w:p w14:paraId="16F1288B" w14:textId="77777777" w:rsidR="00497710" w:rsidRPr="00940337" w:rsidRDefault="21C7E381" w:rsidP="469479B5">
            <w:pPr>
              <w:spacing w:line="360" w:lineRule="auto"/>
              <w:jc w:val="center"/>
            </w:pPr>
            <w:r w:rsidRPr="00940337">
              <w:t>(1.)</w:t>
            </w:r>
          </w:p>
        </w:tc>
      </w:tr>
    </w:tbl>
    <w:p w14:paraId="58E856FF" w14:textId="61BCBC55" w:rsidR="00497710" w:rsidRPr="00940337" w:rsidRDefault="21C7E381" w:rsidP="004A3446">
      <w:pPr>
        <w:spacing w:after="0" w:line="240" w:lineRule="auto"/>
        <w:ind w:firstLine="709"/>
        <w:jc w:val="both"/>
        <w:rPr>
          <w:rFonts w:ascii="Times New Roman" w:hAnsi="Times New Roman" w:cs="Times New Roman"/>
          <w:sz w:val="24"/>
          <w:szCs w:val="24"/>
        </w:rPr>
      </w:pPr>
      <w:r w:rsidRPr="00940337">
        <w:rPr>
          <w:rFonts w:ascii="Times New Roman" w:hAnsi="Times New Roman" w:cs="Times New Roman"/>
          <w:sz w:val="24"/>
          <w:szCs w:val="24"/>
        </w:rPr>
        <w:t>Atbilstoši 1.</w:t>
      </w:r>
      <w:r w:rsidR="3CB36B1C" w:rsidRPr="00940337">
        <w:rPr>
          <w:rFonts w:ascii="Times New Roman" w:hAnsi="Times New Roman" w:cs="Times New Roman"/>
          <w:sz w:val="24"/>
          <w:szCs w:val="24"/>
        </w:rPr>
        <w:t xml:space="preserve"> </w:t>
      </w:r>
      <w:r w:rsidRPr="00940337">
        <w:rPr>
          <w:rFonts w:ascii="Times New Roman" w:hAnsi="Times New Roman" w:cs="Times New Roman"/>
          <w:sz w:val="24"/>
          <w:szCs w:val="24"/>
        </w:rPr>
        <w:t xml:space="preserve">vienādojumam izmaiņas vispārējās valdības parādā, % no IKP, </w:t>
      </w:r>
      <w:r w:rsidRPr="0006210D">
        <w:rPr>
          <w:rFonts w:ascii="Times New Roman" w:hAnsi="Times New Roman" w:cs="Times New Roman"/>
          <w:sz w:val="24"/>
          <w:szCs w:val="24"/>
        </w:rPr>
        <w:t>(</w:t>
      </w:r>
      <m:oMath>
        <m:sSub>
          <m:sSubPr>
            <m:ctrlPr>
              <w:rPr>
                <w:rFonts w:ascii="Cambria Math" w:hAnsi="Cambria Math"/>
                <w:i/>
                <w:sz w:val="24"/>
                <w:szCs w:val="24"/>
              </w:rPr>
            </m:ctrlPr>
          </m:sSubPr>
          <m:e>
            <m:r>
              <w:rPr>
                <w:rFonts w:ascii="Cambria Math" w:hAnsi="Cambria Math"/>
              </w:rPr>
              <m:t>Δb</m:t>
            </m:r>
          </m:e>
          <m:sub>
            <m:r>
              <w:rPr>
                <w:rFonts w:ascii="Cambria Math" w:hAnsi="Cambria Math"/>
                <w:sz w:val="24"/>
                <w:szCs w:val="24"/>
              </w:rPr>
              <m:t>t</m:t>
            </m:r>
          </m:sub>
        </m:sSub>
      </m:oMath>
      <w:r w:rsidRPr="0006210D">
        <w:rPr>
          <w:rFonts w:ascii="Times New Roman" w:hAnsi="Times New Roman" w:cs="Times New Roman"/>
          <w:sz w:val="24"/>
          <w:szCs w:val="24"/>
        </w:rPr>
        <w:t>) ir atkarīgas no efektīvas procentu likmes (</w:t>
      </w:r>
      <m:oMath>
        <m:r>
          <w:rPr>
            <w:rFonts w:ascii="Cambria Math" w:eastAsia="Times New Roman" w:hAnsi="Cambria Math"/>
            <w:sz w:val="24"/>
            <w:szCs w:val="24"/>
          </w:rPr>
          <m:t>r</m:t>
        </m:r>
      </m:oMath>
      <w:r w:rsidRPr="0006210D">
        <w:rPr>
          <w:rFonts w:ascii="Times New Roman" w:hAnsi="Times New Roman" w:cs="Times New Roman"/>
          <w:sz w:val="24"/>
          <w:szCs w:val="24"/>
        </w:rPr>
        <w:t>), kas tiek noteikta kā kārtējā gada procentu izdevumi pret iepriekšējā gada vispārējās valdības parādu; IKP pieauguma tempa faktiskajās cenās (</w:t>
      </w:r>
      <m:oMath>
        <m:r>
          <w:rPr>
            <w:rFonts w:ascii="Cambria Math" w:eastAsia="Times New Roman" w:hAnsi="Cambria Math"/>
            <w:sz w:val="24"/>
            <w:szCs w:val="24"/>
          </w:rPr>
          <m:t>g</m:t>
        </m:r>
      </m:oMath>
      <w:r w:rsidRPr="0006210D">
        <w:rPr>
          <w:rFonts w:ascii="Times New Roman" w:hAnsi="Times New Roman" w:cs="Times New Roman"/>
          <w:sz w:val="24"/>
          <w:szCs w:val="24"/>
        </w:rPr>
        <w:t>); vispārējās valdības parāda, % no IKP, iepriekšējā perioda beigās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t-1</m:t>
            </m:r>
          </m:sub>
        </m:sSub>
      </m:oMath>
      <w:r w:rsidRPr="0006210D">
        <w:rPr>
          <w:rFonts w:ascii="Times New Roman" w:hAnsi="Times New Roman" w:cs="Times New Roman"/>
          <w:sz w:val="24"/>
          <w:szCs w:val="24"/>
        </w:rPr>
        <w:t>); primārās budžeta bilances, % no IKP,</w:t>
      </w:r>
      <w:r w:rsidR="25E0BE13" w:rsidRPr="0006210D">
        <w:rPr>
          <w:rFonts w:ascii="Times New Roman" w:hAnsi="Times New Roman" w:cs="Times New Roman"/>
          <w:sz w:val="24"/>
          <w:szCs w:val="24"/>
        </w:rPr>
        <w:t xml:space="preserve"> </w:t>
      </w:r>
      <w:r w:rsidRPr="0006210D">
        <w:rPr>
          <w:rFonts w:ascii="Times New Roman" w:hAnsi="Times New Roman" w:cs="Times New Roman"/>
          <w:sz w:val="24"/>
          <w:szCs w:val="24"/>
        </w:rPr>
        <w:t>(</w:t>
      </w:r>
      <w:r w:rsidRPr="0006210D">
        <w:rPr>
          <w:rFonts w:ascii="Cambria Math" w:eastAsia="Times New Roman" w:hAnsi="Cambria Math"/>
          <w:i/>
          <w:iCs/>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pb</m:t>
            </m:r>
          </m:e>
          <m:sub>
            <m:r>
              <w:rPr>
                <w:rFonts w:ascii="Cambria Math" w:eastAsia="Times New Roman" w:hAnsi="Cambria Math"/>
                <w:sz w:val="24"/>
                <w:szCs w:val="24"/>
              </w:rPr>
              <m:t>t</m:t>
            </m:r>
          </m:sub>
        </m:sSub>
      </m:oMath>
      <w:r w:rsidRPr="0006210D">
        <w:rPr>
          <w:rFonts w:ascii="Times New Roman" w:hAnsi="Times New Roman" w:cs="Times New Roman"/>
          <w:sz w:val="24"/>
          <w:szCs w:val="24"/>
        </w:rPr>
        <w:t>); krājumu</w:t>
      </w:r>
      <w:r w:rsidR="00597FA9" w:rsidRPr="0006210D">
        <w:rPr>
          <w:rFonts w:ascii="Times New Roman" w:hAnsi="Times New Roman" w:cs="Times New Roman"/>
          <w:color w:val="000000" w:themeColor="text1"/>
          <w:sz w:val="24"/>
          <w:szCs w:val="24"/>
        </w:rPr>
        <w:t>–</w:t>
      </w:r>
      <w:r w:rsidRPr="0006210D">
        <w:rPr>
          <w:rFonts w:ascii="Times New Roman" w:hAnsi="Times New Roman" w:cs="Times New Roman"/>
          <w:sz w:val="24"/>
          <w:szCs w:val="24"/>
        </w:rPr>
        <w:t>plūsmas korekcijas, % no IKP, (</w:t>
      </w:r>
      <m:oMath>
        <m:sSub>
          <m:sSubPr>
            <m:ctrlPr>
              <w:rPr>
                <w:rFonts w:ascii="Cambria Math" w:hAnsi="Cambria Math"/>
                <w:i/>
                <w:sz w:val="24"/>
                <w:szCs w:val="24"/>
              </w:rPr>
            </m:ctrlPr>
          </m:sSubPr>
          <m:e>
            <m:r>
              <w:rPr>
                <w:rFonts w:ascii="Cambria Math" w:hAnsi="Cambria Math"/>
                <w:sz w:val="24"/>
                <w:szCs w:val="24"/>
              </w:rPr>
              <m:t>sfa</m:t>
            </m:r>
          </m:e>
          <m:sub>
            <m:r>
              <w:rPr>
                <w:rFonts w:ascii="Cambria Math" w:hAnsi="Cambria Math"/>
                <w:sz w:val="24"/>
                <w:szCs w:val="24"/>
              </w:rPr>
              <m:t>t</m:t>
            </m:r>
          </m:sub>
        </m:sSub>
      </m:oMath>
      <w:r w:rsidRPr="0006210D">
        <w:rPr>
          <w:rFonts w:ascii="Times New Roman" w:hAnsi="Times New Roman" w:cs="Times New Roman"/>
          <w:sz w:val="24"/>
          <w:szCs w:val="24"/>
        </w:rPr>
        <w:t>).</w:t>
      </w:r>
      <w:r w:rsidRPr="00940337">
        <w:rPr>
          <w:rFonts w:ascii="Times New Roman" w:hAnsi="Times New Roman" w:cs="Times New Roman"/>
          <w:sz w:val="24"/>
          <w:szCs w:val="24"/>
        </w:rPr>
        <w:t xml:space="preserve"> Krājumu</w:t>
      </w:r>
      <w:r w:rsidR="00597FA9" w:rsidRPr="469479B5">
        <w:rPr>
          <w:rFonts w:ascii="Times New Roman" w:hAnsi="Times New Roman" w:cs="Times New Roman"/>
          <w:color w:val="000000" w:themeColor="text1"/>
          <w:sz w:val="24"/>
          <w:szCs w:val="24"/>
        </w:rPr>
        <w:t>–</w:t>
      </w:r>
      <w:r w:rsidRPr="00940337">
        <w:rPr>
          <w:rFonts w:ascii="Times New Roman" w:hAnsi="Times New Roman" w:cs="Times New Roman"/>
          <w:sz w:val="24"/>
          <w:szCs w:val="24"/>
        </w:rPr>
        <w:t>plūsmas korekciju veido darījumi, kas neietekmē vispārējās valdības budžeta deficītu, taču ietekmē vispārējās valdības parādu</w:t>
      </w:r>
      <w:r w:rsidR="00497710" w:rsidRPr="00940337">
        <w:rPr>
          <w:rStyle w:val="FootnoteReference"/>
          <w:rFonts w:ascii="Times New Roman" w:hAnsi="Times New Roman" w:cs="Times New Roman"/>
          <w:sz w:val="24"/>
          <w:szCs w:val="24"/>
        </w:rPr>
        <w:footnoteReference w:id="77"/>
      </w:r>
      <w:r w:rsidRPr="00940337">
        <w:rPr>
          <w:rFonts w:ascii="Times New Roman" w:hAnsi="Times New Roman" w:cs="Times New Roman"/>
          <w:sz w:val="24"/>
          <w:szCs w:val="24"/>
        </w:rPr>
        <w:t xml:space="preserve">. </w:t>
      </w:r>
    </w:p>
    <w:p w14:paraId="5A2AB849" w14:textId="5D092C99" w:rsidR="00497710" w:rsidRPr="00940337" w:rsidRDefault="4773AB9D" w:rsidP="0006210D">
      <w:pPr>
        <w:spacing w:after="0" w:line="240" w:lineRule="auto"/>
        <w:ind w:firstLine="709"/>
        <w:jc w:val="both"/>
        <w:rPr>
          <w:rFonts w:ascii="Times New Roman" w:hAnsi="Times New Roman" w:cs="Times New Roman"/>
          <w:sz w:val="24"/>
          <w:szCs w:val="24"/>
        </w:rPr>
      </w:pPr>
      <w:r w:rsidRPr="00940337">
        <w:rPr>
          <w:rFonts w:ascii="Times New Roman" w:eastAsia="Times New Roman" w:hAnsi="Times New Roman" w:cs="Times New Roman"/>
          <w:sz w:val="24"/>
          <w:szCs w:val="24"/>
        </w:rPr>
        <w:t xml:space="preserve">Parāda ilgtspējas analīze ir galvenais analītiskais rīks jaunajā ES fiskālās pārvaldības ietvarā. </w:t>
      </w:r>
      <w:r w:rsidR="00A75A79">
        <w:rPr>
          <w:rFonts w:ascii="Times New Roman" w:eastAsia="Times New Roman" w:hAnsi="Times New Roman" w:cs="Times New Roman"/>
          <w:sz w:val="24"/>
          <w:szCs w:val="24"/>
        </w:rPr>
        <w:t>Nosakot vidējā termiņa vispārējās valdības mērķus</w:t>
      </w:r>
      <w:r w:rsidRPr="00940337">
        <w:rPr>
          <w:rFonts w:ascii="Times New Roman" w:eastAsia="Times New Roman" w:hAnsi="Times New Roman" w:cs="Times New Roman"/>
          <w:sz w:val="24"/>
          <w:szCs w:val="24"/>
        </w:rPr>
        <w:t xml:space="preserve"> turpmākajiem četriem gadiem, ir jānodrošina, ka vispārējās valdības budžeta deficīta atsauces vērtība ir zem 3% no IKP un parāda vērtība nepārsniedz 60% no IKP ne tikai 4 gadu plānošanas periodā, bet arī nākamos 10 gadus. Papildus ir jānodrošina, ka parāds saglabājas zem 60% arī</w:t>
      </w:r>
      <w:r w:rsidR="5544902C" w:rsidRPr="00940337">
        <w:rPr>
          <w:rFonts w:ascii="Times New Roman" w:eastAsia="Times New Roman" w:hAnsi="Times New Roman" w:cs="Times New Roman"/>
          <w:sz w:val="24"/>
          <w:szCs w:val="24"/>
        </w:rPr>
        <w:t xml:space="preserve"> </w:t>
      </w:r>
      <w:r w:rsidRPr="00940337">
        <w:rPr>
          <w:rFonts w:ascii="Times New Roman" w:eastAsia="Times New Roman" w:hAnsi="Times New Roman" w:cs="Times New Roman"/>
          <w:sz w:val="24"/>
          <w:szCs w:val="24"/>
        </w:rPr>
        <w:t>šoka scenārijos</w:t>
      </w:r>
      <w:r w:rsidR="00AE3668">
        <w:rPr>
          <w:rFonts w:ascii="Times New Roman" w:eastAsia="Times New Roman" w:hAnsi="Times New Roman" w:cs="Times New Roman"/>
          <w:sz w:val="24"/>
          <w:szCs w:val="24"/>
        </w:rPr>
        <w:t>, savukārt</w:t>
      </w:r>
      <w:r w:rsidRPr="00940337">
        <w:rPr>
          <w:rFonts w:ascii="Times New Roman" w:eastAsia="Times New Roman" w:hAnsi="Times New Roman" w:cs="Times New Roman"/>
          <w:sz w:val="24"/>
          <w:szCs w:val="24"/>
        </w:rPr>
        <w:t xml:space="preserve"> stohastiskā parāda analīze nodrošina, ka parāds ar pietiekošu varbūtību</w:t>
      </w:r>
      <w:r w:rsidR="00AE3668">
        <w:rPr>
          <w:rFonts w:ascii="Times New Roman" w:eastAsia="Times New Roman" w:hAnsi="Times New Roman" w:cs="Times New Roman"/>
          <w:sz w:val="24"/>
          <w:szCs w:val="24"/>
        </w:rPr>
        <w:t xml:space="preserve"> saglabājas zem 60% no IKP ticami samazinās</w:t>
      </w:r>
      <w:r w:rsidRPr="00940337">
        <w:rPr>
          <w:rFonts w:ascii="Times New Roman" w:eastAsia="Times New Roman" w:hAnsi="Times New Roman" w:cs="Times New Roman"/>
          <w:sz w:val="24"/>
          <w:szCs w:val="24"/>
        </w:rPr>
        <w:t xml:space="preserve">. </w:t>
      </w:r>
      <w:r w:rsidRPr="003A5E5A">
        <w:rPr>
          <w:rFonts w:ascii="Times New Roman" w:eastAsia="Times New Roman" w:hAnsi="Times New Roman" w:cs="Times New Roman"/>
          <w:sz w:val="24"/>
          <w:szCs w:val="24"/>
        </w:rPr>
        <w:t xml:space="preserve">Šeit gan jāatzīmē, ka nosacījums par parāda šoka scenārijiem </w:t>
      </w:r>
      <w:r w:rsidR="0006210D" w:rsidRPr="003A5E5A">
        <w:rPr>
          <w:rFonts w:ascii="Times New Roman" w:eastAsia="Times New Roman" w:hAnsi="Times New Roman" w:cs="Times New Roman"/>
          <w:sz w:val="24"/>
          <w:szCs w:val="24"/>
        </w:rPr>
        <w:t xml:space="preserve">un stohastisko parāda analīzi </w:t>
      </w:r>
      <w:r w:rsidRPr="003A5E5A">
        <w:rPr>
          <w:rFonts w:ascii="Times New Roman" w:eastAsia="Times New Roman" w:hAnsi="Times New Roman" w:cs="Times New Roman"/>
          <w:sz w:val="24"/>
          <w:szCs w:val="24"/>
        </w:rPr>
        <w:t xml:space="preserve">jāievēro tām valstīm, kurām tiek prognozēts, ka vispārējās valdības deficīts ir </w:t>
      </w:r>
      <w:r w:rsidR="009D3113">
        <w:rPr>
          <w:rFonts w:ascii="Times New Roman" w:eastAsia="Times New Roman" w:hAnsi="Times New Roman" w:cs="Times New Roman"/>
          <w:sz w:val="24"/>
          <w:szCs w:val="24"/>
        </w:rPr>
        <w:t>virs</w:t>
      </w:r>
      <w:r w:rsidRPr="003A5E5A">
        <w:rPr>
          <w:rFonts w:ascii="Times New Roman" w:eastAsia="Times New Roman" w:hAnsi="Times New Roman" w:cs="Times New Roman"/>
          <w:sz w:val="24"/>
          <w:szCs w:val="24"/>
        </w:rPr>
        <w:t xml:space="preserve"> 3% no IKP un/vai parāds ir virs 60% no IKP. Latvija</w:t>
      </w:r>
      <w:r w:rsidR="00AE3668">
        <w:rPr>
          <w:rFonts w:ascii="Times New Roman" w:eastAsia="Times New Roman" w:hAnsi="Times New Roman" w:cs="Times New Roman"/>
          <w:sz w:val="24"/>
          <w:szCs w:val="24"/>
        </w:rPr>
        <w:t xml:space="preserve">i iesniedzot </w:t>
      </w:r>
      <w:r w:rsidR="00AE3668" w:rsidRPr="00AE3668">
        <w:rPr>
          <w:rFonts w:ascii="Times New Roman" w:eastAsia="Times New Roman" w:hAnsi="Times New Roman" w:cs="Times New Roman"/>
          <w:sz w:val="24"/>
          <w:szCs w:val="24"/>
        </w:rPr>
        <w:t>Fiskāli strukturāl</w:t>
      </w:r>
      <w:r w:rsidR="00AE3668">
        <w:rPr>
          <w:rFonts w:ascii="Times New Roman" w:eastAsia="Times New Roman" w:hAnsi="Times New Roman" w:cs="Times New Roman"/>
          <w:sz w:val="24"/>
          <w:szCs w:val="24"/>
        </w:rPr>
        <w:t>o</w:t>
      </w:r>
      <w:r w:rsidR="00AE3668" w:rsidRPr="00AE3668">
        <w:rPr>
          <w:rFonts w:ascii="Times New Roman" w:eastAsia="Times New Roman" w:hAnsi="Times New Roman" w:cs="Times New Roman"/>
          <w:sz w:val="24"/>
          <w:szCs w:val="24"/>
        </w:rPr>
        <w:t xml:space="preserve"> plān</w:t>
      </w:r>
      <w:r w:rsidR="00AE3668">
        <w:rPr>
          <w:rFonts w:ascii="Times New Roman" w:eastAsia="Times New Roman" w:hAnsi="Times New Roman" w:cs="Times New Roman"/>
          <w:sz w:val="24"/>
          <w:szCs w:val="24"/>
        </w:rPr>
        <w:t>u</w:t>
      </w:r>
      <w:r w:rsidR="00AE3668" w:rsidRPr="00AE3668">
        <w:rPr>
          <w:rFonts w:ascii="Times New Roman" w:eastAsia="Times New Roman" w:hAnsi="Times New Roman" w:cs="Times New Roman"/>
          <w:sz w:val="24"/>
          <w:szCs w:val="24"/>
        </w:rPr>
        <w:t xml:space="preserve"> 2025.</w:t>
      </w:r>
      <w:r w:rsidR="000B1D4E">
        <w:rPr>
          <w:rFonts w:ascii="Times New Roman" w:eastAsia="Times New Roman" w:hAnsi="Times New Roman" w:cs="Times New Roman"/>
          <w:sz w:val="24"/>
          <w:szCs w:val="24"/>
        </w:rPr>
        <w:t xml:space="preserve"> – 2028.</w:t>
      </w:r>
      <w:r w:rsidR="00AE3668" w:rsidRPr="00AE3668">
        <w:rPr>
          <w:rFonts w:ascii="Times New Roman" w:eastAsia="Times New Roman" w:hAnsi="Times New Roman" w:cs="Times New Roman"/>
          <w:sz w:val="24"/>
          <w:szCs w:val="24"/>
        </w:rPr>
        <w:t xml:space="preserve"> gadam</w:t>
      </w:r>
      <w:r w:rsidR="00AE3668">
        <w:rPr>
          <w:rFonts w:ascii="Times New Roman" w:eastAsia="Times New Roman" w:hAnsi="Times New Roman" w:cs="Times New Roman"/>
          <w:sz w:val="24"/>
          <w:szCs w:val="24"/>
        </w:rPr>
        <w:t xml:space="preserve">, vispārējās valdības deficīts un parāds bija zem noteiktajām atsauces vērtībām – 3% no IKP deficītam un 60% no IKP parādam, taču jau </w:t>
      </w:r>
      <w:r w:rsidR="00AE3668" w:rsidRPr="00AE3668">
        <w:rPr>
          <w:rFonts w:ascii="Times New Roman" w:eastAsia="Times New Roman" w:hAnsi="Times New Roman" w:cs="Times New Roman"/>
          <w:sz w:val="24"/>
          <w:szCs w:val="24"/>
        </w:rPr>
        <w:t>Fiskāli strukturāl</w:t>
      </w:r>
      <w:r w:rsidR="00AE3668">
        <w:rPr>
          <w:rFonts w:ascii="Times New Roman" w:eastAsia="Times New Roman" w:hAnsi="Times New Roman" w:cs="Times New Roman"/>
          <w:sz w:val="24"/>
          <w:szCs w:val="24"/>
        </w:rPr>
        <w:t>ā</w:t>
      </w:r>
      <w:r w:rsidR="00AE3668" w:rsidRPr="00AE3668">
        <w:rPr>
          <w:rFonts w:ascii="Times New Roman" w:eastAsia="Times New Roman" w:hAnsi="Times New Roman" w:cs="Times New Roman"/>
          <w:sz w:val="24"/>
          <w:szCs w:val="24"/>
        </w:rPr>
        <w:t xml:space="preserve"> plān</w:t>
      </w:r>
      <w:r w:rsidR="00AE3668">
        <w:rPr>
          <w:rFonts w:ascii="Times New Roman" w:eastAsia="Times New Roman" w:hAnsi="Times New Roman" w:cs="Times New Roman"/>
          <w:sz w:val="24"/>
          <w:szCs w:val="24"/>
        </w:rPr>
        <w:t>ā</w:t>
      </w:r>
      <w:r w:rsidR="00AE3668" w:rsidRPr="00AE3668">
        <w:rPr>
          <w:rFonts w:ascii="Times New Roman" w:eastAsia="Times New Roman" w:hAnsi="Times New Roman" w:cs="Times New Roman"/>
          <w:sz w:val="24"/>
          <w:szCs w:val="24"/>
        </w:rPr>
        <w:t xml:space="preserve"> 2025.</w:t>
      </w:r>
      <w:r w:rsidR="000B1D4E">
        <w:rPr>
          <w:rFonts w:ascii="Times New Roman" w:eastAsia="Times New Roman" w:hAnsi="Times New Roman" w:cs="Times New Roman"/>
          <w:sz w:val="24"/>
          <w:szCs w:val="24"/>
        </w:rPr>
        <w:t xml:space="preserve"> – 2028.</w:t>
      </w:r>
      <w:r w:rsidR="00AE3668" w:rsidRPr="00AE3668">
        <w:rPr>
          <w:rFonts w:ascii="Times New Roman" w:eastAsia="Times New Roman" w:hAnsi="Times New Roman" w:cs="Times New Roman"/>
          <w:sz w:val="24"/>
          <w:szCs w:val="24"/>
        </w:rPr>
        <w:t xml:space="preserve"> gadam</w:t>
      </w:r>
      <w:r w:rsidR="00AE3668">
        <w:rPr>
          <w:rFonts w:ascii="Times New Roman" w:eastAsia="Times New Roman" w:hAnsi="Times New Roman" w:cs="Times New Roman"/>
          <w:sz w:val="24"/>
          <w:szCs w:val="24"/>
        </w:rPr>
        <w:t xml:space="preserve"> Progresa ziņojuma 2025. gadam prognozes norādīja, ka tuvākajā laikā vispārējās valdības budžeta deficīts vidējā termiņā būs tuvu 3% no IKP, savukārt vispārējās valdības parāds būtiski pieaugs, kā arī jāņem vērā </w:t>
      </w:r>
      <w:r w:rsidR="0094479B">
        <w:rPr>
          <w:rFonts w:ascii="Times New Roman" w:eastAsia="Times New Roman" w:hAnsi="Times New Roman" w:cs="Times New Roman"/>
          <w:sz w:val="24"/>
          <w:szCs w:val="24"/>
        </w:rPr>
        <w:t>2025. gada 8. jūlija Padomes lēmums apstiprināt Latvijai valsts izņēmuma klauzulu, kas ļaus palielināt vispārējās valdības izdevumus aizsardzībai attiecīgi vēl vairāk palielinot vispārējās valdības parādu.</w:t>
      </w:r>
      <w:r w:rsidR="00AE3668">
        <w:rPr>
          <w:rFonts w:ascii="Times New Roman" w:eastAsia="Times New Roman" w:hAnsi="Times New Roman" w:cs="Times New Roman"/>
          <w:sz w:val="24"/>
          <w:szCs w:val="24"/>
        </w:rPr>
        <w:t xml:space="preserve"> </w:t>
      </w:r>
      <w:r w:rsidR="0094479B">
        <w:rPr>
          <w:rFonts w:ascii="Times New Roman" w:eastAsia="Times New Roman" w:hAnsi="Times New Roman" w:cs="Times New Roman"/>
          <w:sz w:val="24"/>
          <w:szCs w:val="24"/>
        </w:rPr>
        <w:t xml:space="preserve">Tādēļ </w:t>
      </w:r>
      <w:r w:rsidRPr="00940337">
        <w:rPr>
          <w:rFonts w:ascii="Times New Roman" w:eastAsia="Times New Roman" w:hAnsi="Times New Roman" w:cs="Times New Roman"/>
          <w:sz w:val="24"/>
          <w:szCs w:val="24"/>
        </w:rPr>
        <w:t>šīs deklarācijas ietvaros Latvijas vispārējās valdības budžeta parādam tiek veikti šoka scenāriji kā arī izstrādā</w:t>
      </w:r>
      <w:r w:rsidR="0050E772" w:rsidRPr="00940337">
        <w:rPr>
          <w:rFonts w:ascii="Times New Roman" w:eastAsia="Times New Roman" w:hAnsi="Times New Roman" w:cs="Times New Roman"/>
          <w:sz w:val="24"/>
          <w:szCs w:val="24"/>
        </w:rPr>
        <w:t>ta</w:t>
      </w:r>
      <w:r w:rsidRPr="00940337">
        <w:rPr>
          <w:rFonts w:ascii="Times New Roman" w:eastAsia="Times New Roman" w:hAnsi="Times New Roman" w:cs="Times New Roman"/>
          <w:sz w:val="24"/>
          <w:szCs w:val="24"/>
        </w:rPr>
        <w:t>s stohastiskās parāda prognozes.</w:t>
      </w:r>
    </w:p>
    <w:p w14:paraId="645E4CE6" w14:textId="508B77B8" w:rsidR="00497710" w:rsidRPr="00940337" w:rsidRDefault="45C4C19B" w:rsidP="469479B5">
      <w:pPr>
        <w:spacing w:after="0" w:line="240" w:lineRule="auto"/>
        <w:ind w:firstLine="709"/>
        <w:jc w:val="both"/>
        <w:rPr>
          <w:rFonts w:ascii="Times New Roman" w:hAnsi="Times New Roman" w:cs="Times New Roman"/>
          <w:i/>
          <w:iCs/>
          <w:sz w:val="24"/>
          <w:szCs w:val="24"/>
        </w:rPr>
      </w:pPr>
      <w:r w:rsidRPr="00940337">
        <w:rPr>
          <w:rFonts w:ascii="Times New Roman" w:hAnsi="Times New Roman" w:cs="Times New Roman"/>
          <w:sz w:val="24"/>
          <w:szCs w:val="24"/>
        </w:rPr>
        <w:t xml:space="preserve">Parāda ilgtspējas analīzē </w:t>
      </w:r>
      <w:r w:rsidR="21C7E381" w:rsidRPr="00940337">
        <w:rPr>
          <w:rFonts w:ascii="Times New Roman" w:hAnsi="Times New Roman" w:cs="Times New Roman"/>
          <w:sz w:val="24"/>
          <w:szCs w:val="24"/>
        </w:rPr>
        <w:t>tiek izmantotas gan stohastiskās parāda prognozes, gan deterministiskās parāda prognozes. Tieši deterministiskās prognozes tiek izmantotas šoku scenāriju analīz</w:t>
      </w:r>
      <w:r w:rsidR="141C53A8" w:rsidRPr="00940337">
        <w:rPr>
          <w:rFonts w:ascii="Times New Roman" w:hAnsi="Times New Roman" w:cs="Times New Roman"/>
          <w:sz w:val="24"/>
          <w:szCs w:val="24"/>
        </w:rPr>
        <w:t>ē</w:t>
      </w:r>
      <w:r w:rsidR="21C7E381" w:rsidRPr="00940337">
        <w:rPr>
          <w:rFonts w:ascii="Times New Roman" w:hAnsi="Times New Roman" w:cs="Times New Roman"/>
          <w:sz w:val="24"/>
          <w:szCs w:val="24"/>
        </w:rPr>
        <w:t xml:space="preserve">, jo tās ļauj </w:t>
      </w:r>
      <w:r w:rsidR="0037142C">
        <w:rPr>
          <w:rFonts w:ascii="Times New Roman" w:hAnsi="Times New Roman" w:cs="Times New Roman"/>
          <w:sz w:val="24"/>
          <w:szCs w:val="24"/>
        </w:rPr>
        <w:t xml:space="preserve">novērtēt </w:t>
      </w:r>
      <w:r w:rsidR="0006210D">
        <w:rPr>
          <w:rFonts w:ascii="Times New Roman" w:hAnsi="Times New Roman" w:cs="Times New Roman"/>
          <w:sz w:val="24"/>
          <w:szCs w:val="24"/>
        </w:rPr>
        <w:t>dažādu scenāriju ietekmi uz parāda līmeņa dinamiku</w:t>
      </w:r>
      <w:r w:rsidR="21C7E381" w:rsidRPr="00940337">
        <w:rPr>
          <w:rFonts w:ascii="Times New Roman" w:hAnsi="Times New Roman" w:cs="Times New Roman"/>
          <w:sz w:val="24"/>
          <w:szCs w:val="24"/>
        </w:rPr>
        <w:t>, izslēdzot kopējo nenoteiktību. Stohastiskās parāda prognozes, atšķirībā no deterministiskām parāda prognozēm, nesniedz informāciju par vienu iespējamo parāda dinamikas attīstības trajektoriju, bet gan par neierobežotu skaitu parāda dinamikas attīstības trajektorijām, kuras veidojas uz mainīgajiem iedarbojoties lielam skaitam šoku. Tiek pieņemts, ka šoki atbilst normālajam sadalījumam.</w:t>
      </w:r>
      <w:r w:rsidR="0D762CE3" w:rsidRPr="00940337">
        <w:rPr>
          <w:rFonts w:ascii="Times New Roman" w:hAnsi="Times New Roman" w:cs="Times New Roman"/>
          <w:sz w:val="24"/>
          <w:szCs w:val="24"/>
        </w:rPr>
        <w:t xml:space="preserve"> Parāda ilgtspējas analīze</w:t>
      </w:r>
      <w:r w:rsidR="001C2276">
        <w:rPr>
          <w:rFonts w:ascii="Times New Roman" w:hAnsi="Times New Roman" w:cs="Times New Roman"/>
          <w:sz w:val="24"/>
          <w:szCs w:val="24"/>
        </w:rPr>
        <w:t>s metodoloģija</w:t>
      </w:r>
      <w:r w:rsidR="0D762CE3" w:rsidRPr="00940337">
        <w:rPr>
          <w:rFonts w:ascii="Times New Roman" w:hAnsi="Times New Roman" w:cs="Times New Roman"/>
          <w:sz w:val="24"/>
          <w:szCs w:val="24"/>
        </w:rPr>
        <w:t xml:space="preserve"> ir aprakstīta EK </w:t>
      </w:r>
      <w:r w:rsidR="084D9E5E" w:rsidRPr="00940337">
        <w:rPr>
          <w:rFonts w:ascii="Times New Roman" w:hAnsi="Times New Roman" w:cs="Times New Roman"/>
          <w:sz w:val="24"/>
          <w:szCs w:val="24"/>
        </w:rPr>
        <w:t>Parāda ilgtspējas ziņojumā</w:t>
      </w:r>
      <w:r w:rsidR="0006210D">
        <w:rPr>
          <w:rStyle w:val="FootnoteReference"/>
          <w:rFonts w:ascii="Times New Roman" w:hAnsi="Times New Roman" w:cs="Times New Roman"/>
          <w:sz w:val="24"/>
          <w:szCs w:val="24"/>
        </w:rPr>
        <w:footnoteReference w:id="78"/>
      </w:r>
      <w:r w:rsidR="084D9E5E" w:rsidRPr="00940337">
        <w:rPr>
          <w:rFonts w:ascii="Times New Roman" w:hAnsi="Times New Roman" w:cs="Times New Roman"/>
          <w:sz w:val="24"/>
          <w:szCs w:val="24"/>
        </w:rPr>
        <w:t>.</w:t>
      </w:r>
      <w:r w:rsidR="21C7E381" w:rsidRPr="00940337">
        <w:rPr>
          <w:rFonts w:ascii="Times New Roman" w:hAnsi="Times New Roman" w:cs="Times New Roman"/>
          <w:sz w:val="24"/>
          <w:szCs w:val="24"/>
        </w:rPr>
        <w:t xml:space="preserve"> </w:t>
      </w:r>
    </w:p>
    <w:p w14:paraId="10B912B6" w14:textId="624E52C8" w:rsidR="00497710" w:rsidRPr="00940337" w:rsidRDefault="21C7E381" w:rsidP="469479B5">
      <w:pPr>
        <w:spacing w:after="0" w:line="240" w:lineRule="auto"/>
        <w:ind w:firstLine="720"/>
        <w:jc w:val="both"/>
        <w:rPr>
          <w:rFonts w:ascii="Times New Roman" w:hAnsi="Times New Roman" w:cs="Times New Roman"/>
          <w:i/>
          <w:iCs/>
          <w:sz w:val="24"/>
          <w:szCs w:val="24"/>
        </w:rPr>
      </w:pPr>
      <w:r w:rsidRPr="00940337">
        <w:rPr>
          <w:rFonts w:ascii="Times New Roman" w:hAnsi="Times New Roman" w:cs="Times New Roman"/>
          <w:sz w:val="24"/>
          <w:szCs w:val="24"/>
        </w:rPr>
        <w:t>Deklarācijas ietvaros vispārējās valdības parāda stohastiskās</w:t>
      </w:r>
      <w:r w:rsidR="66307C72" w:rsidRPr="00940337">
        <w:rPr>
          <w:rFonts w:ascii="Times New Roman" w:hAnsi="Times New Roman" w:cs="Times New Roman"/>
          <w:sz w:val="24"/>
          <w:szCs w:val="24"/>
        </w:rPr>
        <w:t xml:space="preserve"> un deterministiskās</w:t>
      </w:r>
      <w:r w:rsidRPr="00940337">
        <w:rPr>
          <w:rFonts w:ascii="Times New Roman" w:hAnsi="Times New Roman" w:cs="Times New Roman"/>
          <w:sz w:val="24"/>
          <w:szCs w:val="24"/>
        </w:rPr>
        <w:t xml:space="preserve"> prognozes tiek izstrādātas līdz </w:t>
      </w:r>
      <w:r w:rsidR="0094479B" w:rsidRPr="00940337">
        <w:rPr>
          <w:rFonts w:ascii="Times New Roman" w:hAnsi="Times New Roman" w:cs="Times New Roman"/>
          <w:sz w:val="24"/>
          <w:szCs w:val="24"/>
        </w:rPr>
        <w:t>203</w:t>
      </w:r>
      <w:r w:rsidR="0094479B">
        <w:rPr>
          <w:rFonts w:ascii="Times New Roman" w:hAnsi="Times New Roman" w:cs="Times New Roman"/>
          <w:sz w:val="24"/>
          <w:szCs w:val="24"/>
        </w:rPr>
        <w:t>8</w:t>
      </w:r>
      <w:r w:rsidRPr="00940337">
        <w:rPr>
          <w:rFonts w:ascii="Times New Roman" w:hAnsi="Times New Roman" w:cs="Times New Roman"/>
          <w:sz w:val="24"/>
          <w:szCs w:val="24"/>
        </w:rPr>
        <w:t>.</w:t>
      </w:r>
      <w:r w:rsidR="64AD76A0" w:rsidRPr="00940337">
        <w:rPr>
          <w:rFonts w:ascii="Times New Roman" w:hAnsi="Times New Roman" w:cs="Times New Roman"/>
          <w:sz w:val="24"/>
          <w:szCs w:val="24"/>
        </w:rPr>
        <w:t xml:space="preserve"> </w:t>
      </w:r>
      <w:r w:rsidRPr="00940337">
        <w:rPr>
          <w:rFonts w:ascii="Times New Roman" w:hAnsi="Times New Roman" w:cs="Times New Roman"/>
          <w:sz w:val="24"/>
          <w:szCs w:val="24"/>
        </w:rPr>
        <w:t>gadam</w:t>
      </w:r>
      <w:r w:rsidR="0094479B">
        <w:rPr>
          <w:rFonts w:ascii="Times New Roman" w:hAnsi="Times New Roman" w:cs="Times New Roman"/>
          <w:sz w:val="24"/>
          <w:szCs w:val="24"/>
        </w:rPr>
        <w:t>, atbilstoši Fiskāli strukturālā plāna 2025.</w:t>
      </w:r>
      <w:r w:rsidR="000B1D4E">
        <w:rPr>
          <w:rFonts w:ascii="Times New Roman" w:hAnsi="Times New Roman" w:cs="Times New Roman"/>
          <w:sz w:val="24"/>
          <w:szCs w:val="24"/>
        </w:rPr>
        <w:t xml:space="preserve"> – 2028.</w:t>
      </w:r>
      <w:r w:rsidR="0094479B">
        <w:rPr>
          <w:rFonts w:ascii="Times New Roman" w:hAnsi="Times New Roman" w:cs="Times New Roman"/>
          <w:sz w:val="24"/>
          <w:szCs w:val="24"/>
        </w:rPr>
        <w:t xml:space="preserve"> gada tvērumam</w:t>
      </w:r>
      <w:r w:rsidR="000B1D4E">
        <w:rPr>
          <w:rFonts w:ascii="Times New Roman" w:hAnsi="Times New Roman" w:cs="Times New Roman"/>
          <w:sz w:val="24"/>
          <w:szCs w:val="24"/>
        </w:rPr>
        <w:t>.</w:t>
      </w:r>
      <w:r w:rsidRPr="00940337">
        <w:rPr>
          <w:rFonts w:ascii="Times New Roman" w:hAnsi="Times New Roman" w:cs="Times New Roman"/>
          <w:sz w:val="24"/>
          <w:szCs w:val="24"/>
        </w:rPr>
        <w:t xml:space="preserve"> Vispārējās valdības parāda prognozes </w:t>
      </w:r>
      <w:r w:rsidR="0094479B" w:rsidRPr="00940337">
        <w:rPr>
          <w:rFonts w:ascii="Times New Roman" w:hAnsi="Times New Roman" w:cs="Times New Roman"/>
          <w:sz w:val="24"/>
          <w:szCs w:val="24"/>
        </w:rPr>
        <w:t>202</w:t>
      </w:r>
      <w:r w:rsidR="0094479B">
        <w:rPr>
          <w:rFonts w:ascii="Times New Roman" w:hAnsi="Times New Roman" w:cs="Times New Roman"/>
          <w:sz w:val="24"/>
          <w:szCs w:val="24"/>
        </w:rPr>
        <w:t>5</w:t>
      </w:r>
      <w:r w:rsidR="64CF5F8F" w:rsidRPr="00940337">
        <w:rPr>
          <w:rFonts w:ascii="Times New Roman" w:hAnsi="Times New Roman" w:cs="Times New Roman"/>
          <w:sz w:val="24"/>
          <w:szCs w:val="24"/>
        </w:rPr>
        <w:t>.</w:t>
      </w:r>
      <w:r w:rsidR="000B1D4E">
        <w:rPr>
          <w:rFonts w:ascii="Times New Roman" w:hAnsi="Times New Roman" w:cs="Times New Roman"/>
          <w:sz w:val="24"/>
          <w:szCs w:val="24"/>
        </w:rPr>
        <w:t xml:space="preserve"> – 2029.</w:t>
      </w:r>
      <w:r w:rsidR="64CF5F8F" w:rsidRPr="00940337">
        <w:rPr>
          <w:rFonts w:ascii="Times New Roman" w:hAnsi="Times New Roman" w:cs="Times New Roman"/>
          <w:sz w:val="24"/>
          <w:szCs w:val="24"/>
        </w:rPr>
        <w:t xml:space="preserve"> gadam</w:t>
      </w:r>
      <w:r w:rsidRPr="00940337">
        <w:rPr>
          <w:rFonts w:ascii="Times New Roman" w:hAnsi="Times New Roman" w:cs="Times New Roman"/>
          <w:sz w:val="24"/>
          <w:szCs w:val="24"/>
        </w:rPr>
        <w:t xml:space="preserve"> tika noteiktas atbilstoši informatīvajam ziņojumam “Par makroekonomisko rādītāju, ieņēmumu un vispārējās valdības budžeta bilances prognozēm </w:t>
      </w:r>
      <w:r w:rsidR="0094479B" w:rsidRPr="001B3A5E">
        <w:rPr>
          <w:rFonts w:ascii="Times New Roman" w:hAnsi="Times New Roman" w:cs="Times New Roman"/>
          <w:sz w:val="24"/>
          <w:szCs w:val="24"/>
        </w:rPr>
        <w:t>202</w:t>
      </w:r>
      <w:r w:rsidR="0094479B">
        <w:rPr>
          <w:rFonts w:ascii="Times New Roman" w:hAnsi="Times New Roman" w:cs="Times New Roman"/>
          <w:sz w:val="24"/>
          <w:szCs w:val="24"/>
        </w:rPr>
        <w:t>6</w:t>
      </w:r>
      <w:r w:rsidRPr="001B3A5E">
        <w:rPr>
          <w:rFonts w:ascii="Times New Roman" w:hAnsi="Times New Roman" w:cs="Times New Roman"/>
          <w:sz w:val="24"/>
          <w:szCs w:val="24"/>
        </w:rPr>
        <w:t xml:space="preserve">., </w:t>
      </w:r>
      <w:r w:rsidR="0094479B" w:rsidRPr="001B3A5E">
        <w:rPr>
          <w:rFonts w:ascii="Times New Roman" w:hAnsi="Times New Roman" w:cs="Times New Roman"/>
          <w:sz w:val="24"/>
          <w:szCs w:val="24"/>
        </w:rPr>
        <w:t>202</w:t>
      </w:r>
      <w:r w:rsidR="0094479B">
        <w:rPr>
          <w:rFonts w:ascii="Times New Roman" w:hAnsi="Times New Roman" w:cs="Times New Roman"/>
          <w:sz w:val="24"/>
          <w:szCs w:val="24"/>
        </w:rPr>
        <w:t>7</w:t>
      </w:r>
      <w:r w:rsidRPr="001B3A5E">
        <w:rPr>
          <w:rFonts w:ascii="Times New Roman" w:hAnsi="Times New Roman" w:cs="Times New Roman"/>
          <w:sz w:val="24"/>
          <w:szCs w:val="24"/>
        </w:rPr>
        <w:t>.</w:t>
      </w:r>
      <w:r w:rsidR="5B289547" w:rsidRPr="001B3A5E">
        <w:rPr>
          <w:rFonts w:ascii="Times New Roman" w:hAnsi="Times New Roman" w:cs="Times New Roman"/>
          <w:sz w:val="24"/>
          <w:szCs w:val="24"/>
        </w:rPr>
        <w:t xml:space="preserve">, </w:t>
      </w:r>
      <w:r w:rsidR="0094479B" w:rsidRPr="001B3A5E">
        <w:rPr>
          <w:rFonts w:ascii="Times New Roman" w:hAnsi="Times New Roman" w:cs="Times New Roman"/>
          <w:sz w:val="24"/>
          <w:szCs w:val="24"/>
        </w:rPr>
        <w:t>202</w:t>
      </w:r>
      <w:r w:rsidR="0094479B">
        <w:rPr>
          <w:rFonts w:ascii="Times New Roman" w:hAnsi="Times New Roman" w:cs="Times New Roman"/>
          <w:sz w:val="24"/>
          <w:szCs w:val="24"/>
        </w:rPr>
        <w:t>8</w:t>
      </w:r>
      <w:r w:rsidR="5B289547" w:rsidRPr="001B3A5E">
        <w:rPr>
          <w:rFonts w:ascii="Times New Roman" w:hAnsi="Times New Roman" w:cs="Times New Roman"/>
          <w:sz w:val="24"/>
          <w:szCs w:val="24"/>
        </w:rPr>
        <w:t>.</w:t>
      </w:r>
      <w:r w:rsidRPr="001B3A5E">
        <w:rPr>
          <w:rFonts w:ascii="Times New Roman" w:hAnsi="Times New Roman" w:cs="Times New Roman"/>
          <w:sz w:val="24"/>
          <w:szCs w:val="24"/>
        </w:rPr>
        <w:t xml:space="preserve"> un</w:t>
      </w:r>
      <w:r w:rsidR="295D0402" w:rsidRPr="001B3A5E">
        <w:rPr>
          <w:rFonts w:ascii="Times New Roman" w:hAnsi="Times New Roman" w:cs="Times New Roman"/>
          <w:sz w:val="24"/>
          <w:szCs w:val="24"/>
        </w:rPr>
        <w:t xml:space="preserve"> </w:t>
      </w:r>
      <w:r w:rsidR="0094479B" w:rsidRPr="001B3A5E">
        <w:rPr>
          <w:rFonts w:ascii="Times New Roman" w:hAnsi="Times New Roman" w:cs="Times New Roman"/>
          <w:sz w:val="24"/>
          <w:szCs w:val="24"/>
        </w:rPr>
        <w:t>202</w:t>
      </w:r>
      <w:r w:rsidR="0094479B">
        <w:rPr>
          <w:rFonts w:ascii="Times New Roman" w:hAnsi="Times New Roman" w:cs="Times New Roman"/>
          <w:sz w:val="24"/>
          <w:szCs w:val="24"/>
        </w:rPr>
        <w:t>9</w:t>
      </w:r>
      <w:r w:rsidRPr="001B3A5E">
        <w:rPr>
          <w:rFonts w:ascii="Times New Roman" w:hAnsi="Times New Roman" w:cs="Times New Roman"/>
          <w:sz w:val="24"/>
          <w:szCs w:val="24"/>
        </w:rPr>
        <w:t>. gadā”</w:t>
      </w:r>
      <w:r w:rsidRPr="00940337">
        <w:rPr>
          <w:rFonts w:ascii="Times New Roman" w:hAnsi="Times New Roman" w:cs="Times New Roman"/>
          <w:sz w:val="24"/>
          <w:szCs w:val="24"/>
        </w:rPr>
        <w:t xml:space="preserve">. Savukārt atlikušajiem </w:t>
      </w:r>
      <w:r w:rsidR="0094479B">
        <w:rPr>
          <w:rFonts w:ascii="Times New Roman" w:hAnsi="Times New Roman" w:cs="Times New Roman"/>
          <w:sz w:val="24"/>
          <w:szCs w:val="24"/>
        </w:rPr>
        <w:t>9</w:t>
      </w:r>
      <w:r w:rsidR="0094479B" w:rsidRPr="00940337">
        <w:rPr>
          <w:rFonts w:ascii="Times New Roman" w:hAnsi="Times New Roman" w:cs="Times New Roman"/>
          <w:sz w:val="24"/>
          <w:szCs w:val="24"/>
        </w:rPr>
        <w:t xml:space="preserve"> </w:t>
      </w:r>
      <w:r w:rsidRPr="00940337">
        <w:rPr>
          <w:rFonts w:ascii="Times New Roman" w:hAnsi="Times New Roman" w:cs="Times New Roman"/>
          <w:sz w:val="24"/>
          <w:szCs w:val="24"/>
        </w:rPr>
        <w:t>gadiem, vispārējās valdības parāda prognozes tika noteiktas atbilstoši 1.</w:t>
      </w:r>
      <w:r w:rsidR="2C6F7DFC" w:rsidRPr="00940337">
        <w:rPr>
          <w:rFonts w:ascii="Times New Roman" w:hAnsi="Times New Roman" w:cs="Times New Roman"/>
          <w:sz w:val="24"/>
          <w:szCs w:val="24"/>
        </w:rPr>
        <w:t xml:space="preserve"> </w:t>
      </w:r>
      <w:r w:rsidRPr="00940337">
        <w:rPr>
          <w:rFonts w:ascii="Times New Roman" w:hAnsi="Times New Roman" w:cs="Times New Roman"/>
          <w:sz w:val="24"/>
          <w:szCs w:val="24"/>
        </w:rPr>
        <w:t xml:space="preserve">vienādojumam, izmantojot </w:t>
      </w:r>
      <w:r w:rsidR="0A5E8B80" w:rsidRPr="00940337">
        <w:rPr>
          <w:rFonts w:ascii="Times New Roman" w:hAnsi="Times New Roman" w:cs="Times New Roman"/>
          <w:sz w:val="24"/>
          <w:szCs w:val="24"/>
        </w:rPr>
        <w:t xml:space="preserve">Parāda ilgtspējas ziņojumā </w:t>
      </w:r>
      <w:r w:rsidR="094DE5F7" w:rsidRPr="00940337">
        <w:rPr>
          <w:rFonts w:ascii="Times New Roman" w:hAnsi="Times New Roman" w:cs="Times New Roman"/>
          <w:sz w:val="24"/>
          <w:szCs w:val="24"/>
        </w:rPr>
        <w:t>aprakstīto metodoloģiju</w:t>
      </w:r>
      <w:r w:rsidR="3FFE1C2A" w:rsidRPr="00940337">
        <w:rPr>
          <w:rFonts w:ascii="Times New Roman" w:hAnsi="Times New Roman" w:cs="Times New Roman"/>
          <w:sz w:val="24"/>
          <w:szCs w:val="24"/>
        </w:rPr>
        <w:t>, pielāgojot to FM prognozētajām mainīgo vērtībām.</w:t>
      </w:r>
      <w:r w:rsidRPr="00940337">
        <w:rPr>
          <w:rFonts w:ascii="Times New Roman" w:hAnsi="Times New Roman" w:cs="Times New Roman"/>
          <w:sz w:val="24"/>
          <w:szCs w:val="24"/>
        </w:rPr>
        <w:t xml:space="preserve"> </w:t>
      </w:r>
    </w:p>
    <w:p w14:paraId="270F8CF6" w14:textId="1143A8D8" w:rsidR="00497710" w:rsidRPr="00962A15" w:rsidRDefault="68A72A7B" w:rsidP="469479B5">
      <w:pPr>
        <w:spacing w:after="0" w:line="240" w:lineRule="auto"/>
        <w:ind w:firstLine="720"/>
        <w:jc w:val="both"/>
        <w:rPr>
          <w:rFonts w:ascii="Times New Roman" w:hAnsi="Times New Roman" w:cs="Times New Roman"/>
          <w:sz w:val="24"/>
          <w:szCs w:val="24"/>
        </w:rPr>
      </w:pPr>
      <w:r w:rsidRPr="00962A15">
        <w:rPr>
          <w:rFonts w:ascii="Times New Roman" w:hAnsi="Times New Roman" w:cs="Times New Roman"/>
          <w:sz w:val="24"/>
          <w:szCs w:val="24"/>
        </w:rPr>
        <w:t xml:space="preserve"> Vispārējās valdības stohastiskās parāda prognozes ir atspoguļotas 4.4.1.</w:t>
      </w:r>
      <w:r w:rsidR="17FD3183" w:rsidRPr="00962A15">
        <w:rPr>
          <w:rFonts w:ascii="Times New Roman" w:hAnsi="Times New Roman" w:cs="Times New Roman"/>
          <w:sz w:val="24"/>
          <w:szCs w:val="24"/>
        </w:rPr>
        <w:t xml:space="preserve"> </w:t>
      </w:r>
      <w:r w:rsidRPr="00962A15">
        <w:rPr>
          <w:rFonts w:ascii="Times New Roman" w:hAnsi="Times New Roman" w:cs="Times New Roman"/>
          <w:sz w:val="24"/>
          <w:szCs w:val="24"/>
        </w:rPr>
        <w:t xml:space="preserve">attēlā. Vispārējās valdības parāda augstākā prognozētā vērtība tiks sasniegta </w:t>
      </w:r>
      <w:r w:rsidR="00F12909" w:rsidRPr="00962A15">
        <w:rPr>
          <w:rFonts w:ascii="Times New Roman" w:hAnsi="Times New Roman" w:cs="Times New Roman"/>
          <w:sz w:val="24"/>
          <w:szCs w:val="24"/>
        </w:rPr>
        <w:t>202</w:t>
      </w:r>
      <w:r w:rsidR="00F12909">
        <w:rPr>
          <w:rFonts w:ascii="Times New Roman" w:hAnsi="Times New Roman" w:cs="Times New Roman"/>
          <w:sz w:val="24"/>
          <w:szCs w:val="24"/>
        </w:rPr>
        <w:t>9</w:t>
      </w:r>
      <w:r w:rsidRPr="00962A15">
        <w:rPr>
          <w:rFonts w:ascii="Times New Roman" w:hAnsi="Times New Roman" w:cs="Times New Roman"/>
          <w:sz w:val="24"/>
          <w:szCs w:val="24"/>
        </w:rPr>
        <w:t>.</w:t>
      </w:r>
      <w:r w:rsidR="0757DDC3" w:rsidRPr="003B75CE">
        <w:rPr>
          <w:rFonts w:ascii="Times New Roman" w:hAnsi="Times New Roman" w:cs="Times New Roman"/>
          <w:b/>
          <w:bCs/>
          <w:sz w:val="24"/>
          <w:szCs w:val="24"/>
        </w:rPr>
        <w:t xml:space="preserve"> </w:t>
      </w:r>
      <w:r w:rsidRPr="00962A15">
        <w:rPr>
          <w:rFonts w:ascii="Times New Roman" w:hAnsi="Times New Roman" w:cs="Times New Roman"/>
          <w:sz w:val="24"/>
          <w:szCs w:val="24"/>
        </w:rPr>
        <w:t>gadā,</w:t>
      </w:r>
      <w:r w:rsidR="0006210D" w:rsidRPr="00962A15">
        <w:rPr>
          <w:rFonts w:ascii="Times New Roman" w:hAnsi="Times New Roman" w:cs="Times New Roman"/>
          <w:sz w:val="24"/>
          <w:szCs w:val="24"/>
        </w:rPr>
        <w:t xml:space="preserve"> kad tā sasniegs </w:t>
      </w:r>
      <w:r w:rsidR="00F12909">
        <w:rPr>
          <w:rFonts w:ascii="Times New Roman" w:hAnsi="Times New Roman" w:cs="Times New Roman"/>
          <w:color w:val="000000" w:themeColor="text1"/>
          <w:sz w:val="24"/>
          <w:szCs w:val="24"/>
        </w:rPr>
        <w:t>56,4</w:t>
      </w:r>
      <w:r w:rsidR="0006210D" w:rsidRPr="00962A15">
        <w:rPr>
          <w:rFonts w:ascii="Times New Roman" w:hAnsi="Times New Roman" w:cs="Times New Roman"/>
          <w:sz w:val="24"/>
          <w:szCs w:val="24"/>
        </w:rPr>
        <w:t>% no IKP</w:t>
      </w:r>
      <w:r w:rsidR="00F12909">
        <w:rPr>
          <w:rFonts w:ascii="Times New Roman" w:hAnsi="Times New Roman" w:cs="Times New Roman"/>
          <w:sz w:val="24"/>
          <w:szCs w:val="24"/>
        </w:rPr>
        <w:t xml:space="preserve">. Tik liels parāda pieaugums veidojas, jo vispārējās valdības budžeta bilances un parāda prognozēs, kuras iekļautas </w:t>
      </w:r>
      <w:r w:rsidR="00F12909" w:rsidRPr="00940337">
        <w:rPr>
          <w:rFonts w:ascii="Times New Roman" w:hAnsi="Times New Roman" w:cs="Times New Roman"/>
          <w:sz w:val="24"/>
          <w:szCs w:val="24"/>
        </w:rPr>
        <w:t>informatīvaj</w:t>
      </w:r>
      <w:r w:rsidR="00F12909">
        <w:rPr>
          <w:rFonts w:ascii="Times New Roman" w:hAnsi="Times New Roman" w:cs="Times New Roman"/>
          <w:sz w:val="24"/>
          <w:szCs w:val="24"/>
        </w:rPr>
        <w:t>ā</w:t>
      </w:r>
      <w:r w:rsidR="00F12909" w:rsidRPr="00940337">
        <w:rPr>
          <w:rFonts w:ascii="Times New Roman" w:hAnsi="Times New Roman" w:cs="Times New Roman"/>
          <w:sz w:val="24"/>
          <w:szCs w:val="24"/>
        </w:rPr>
        <w:t xml:space="preserve"> ziņojum</w:t>
      </w:r>
      <w:r w:rsidR="00F12909">
        <w:rPr>
          <w:rFonts w:ascii="Times New Roman" w:hAnsi="Times New Roman" w:cs="Times New Roman"/>
          <w:sz w:val="24"/>
          <w:szCs w:val="24"/>
        </w:rPr>
        <w:t>ā</w:t>
      </w:r>
      <w:r w:rsidR="00F12909" w:rsidRPr="00940337">
        <w:rPr>
          <w:rFonts w:ascii="Times New Roman" w:hAnsi="Times New Roman" w:cs="Times New Roman"/>
          <w:sz w:val="24"/>
          <w:szCs w:val="24"/>
        </w:rPr>
        <w:t xml:space="preserve"> “Par makroekonomisko rādītāju, ieņēmumu un vispārējās valdības budžeta bilances prognozēm </w:t>
      </w:r>
      <w:r w:rsidR="00F12909" w:rsidRPr="001B3A5E">
        <w:rPr>
          <w:rFonts w:ascii="Times New Roman" w:hAnsi="Times New Roman" w:cs="Times New Roman"/>
          <w:sz w:val="24"/>
          <w:szCs w:val="24"/>
        </w:rPr>
        <w:t>202</w:t>
      </w:r>
      <w:r w:rsidR="00F12909">
        <w:rPr>
          <w:rFonts w:ascii="Times New Roman" w:hAnsi="Times New Roman" w:cs="Times New Roman"/>
          <w:sz w:val="24"/>
          <w:szCs w:val="24"/>
        </w:rPr>
        <w:t>6</w:t>
      </w:r>
      <w:r w:rsidR="00F12909" w:rsidRPr="001B3A5E">
        <w:rPr>
          <w:rFonts w:ascii="Times New Roman" w:hAnsi="Times New Roman" w:cs="Times New Roman"/>
          <w:sz w:val="24"/>
          <w:szCs w:val="24"/>
        </w:rPr>
        <w:t>., 202</w:t>
      </w:r>
      <w:r w:rsidR="00F12909">
        <w:rPr>
          <w:rFonts w:ascii="Times New Roman" w:hAnsi="Times New Roman" w:cs="Times New Roman"/>
          <w:sz w:val="24"/>
          <w:szCs w:val="24"/>
        </w:rPr>
        <w:t>7</w:t>
      </w:r>
      <w:r w:rsidR="00F12909" w:rsidRPr="001B3A5E">
        <w:rPr>
          <w:rFonts w:ascii="Times New Roman" w:hAnsi="Times New Roman" w:cs="Times New Roman"/>
          <w:sz w:val="24"/>
          <w:szCs w:val="24"/>
        </w:rPr>
        <w:t>., 202</w:t>
      </w:r>
      <w:r w:rsidR="00F12909">
        <w:rPr>
          <w:rFonts w:ascii="Times New Roman" w:hAnsi="Times New Roman" w:cs="Times New Roman"/>
          <w:sz w:val="24"/>
          <w:szCs w:val="24"/>
        </w:rPr>
        <w:t>8</w:t>
      </w:r>
      <w:r w:rsidR="00F12909" w:rsidRPr="001B3A5E">
        <w:rPr>
          <w:rFonts w:ascii="Times New Roman" w:hAnsi="Times New Roman" w:cs="Times New Roman"/>
          <w:sz w:val="24"/>
          <w:szCs w:val="24"/>
        </w:rPr>
        <w:t>. un 202</w:t>
      </w:r>
      <w:r w:rsidR="00F12909">
        <w:rPr>
          <w:rFonts w:ascii="Times New Roman" w:hAnsi="Times New Roman" w:cs="Times New Roman"/>
          <w:sz w:val="24"/>
          <w:szCs w:val="24"/>
        </w:rPr>
        <w:t>9</w:t>
      </w:r>
      <w:r w:rsidR="00F12909" w:rsidRPr="001B3A5E">
        <w:rPr>
          <w:rFonts w:ascii="Times New Roman" w:hAnsi="Times New Roman" w:cs="Times New Roman"/>
          <w:sz w:val="24"/>
          <w:szCs w:val="24"/>
        </w:rPr>
        <w:t>. gadā”</w:t>
      </w:r>
      <w:r w:rsidR="00F12909">
        <w:rPr>
          <w:rFonts w:ascii="Times New Roman" w:hAnsi="Times New Roman" w:cs="Times New Roman"/>
          <w:sz w:val="24"/>
          <w:szCs w:val="24"/>
        </w:rPr>
        <w:t xml:space="preserve"> jau ir </w:t>
      </w:r>
      <w:r w:rsidR="004643E3">
        <w:rPr>
          <w:rFonts w:ascii="Times New Roman" w:hAnsi="Times New Roman" w:cs="Times New Roman"/>
          <w:sz w:val="24"/>
          <w:szCs w:val="24"/>
        </w:rPr>
        <w:t xml:space="preserve">daļēji </w:t>
      </w:r>
      <w:r w:rsidR="00F12909">
        <w:rPr>
          <w:rFonts w:ascii="Times New Roman" w:hAnsi="Times New Roman" w:cs="Times New Roman"/>
          <w:sz w:val="24"/>
          <w:szCs w:val="24"/>
        </w:rPr>
        <w:t>iekļauti papildus izdevumi aizsardzības spēju stiprināšanai atbilstoši valsts izņēmuma klauzulai. Ņemot vērā, ka valsts izņēmuma klauzula ir terminēta, t.i. darbojas tikai laika periodā no 2025. gadam līdz 2028. gadam, pēc 2029. gada vispārējās valdības parāda apjoms samazinās, jo būtiski samazināsies vispārējās valdības budžeta deficīta līmenis.</w:t>
      </w:r>
      <w:r w:rsidRPr="00962A15">
        <w:rPr>
          <w:rFonts w:ascii="Times New Roman" w:hAnsi="Times New Roman" w:cs="Times New Roman"/>
          <w:sz w:val="24"/>
          <w:szCs w:val="24"/>
        </w:rPr>
        <w:t xml:space="preserve"> Ilgtermiņā</w:t>
      </w:r>
      <w:r w:rsidR="0029281F">
        <w:rPr>
          <w:rFonts w:ascii="Times New Roman" w:hAnsi="Times New Roman" w:cs="Times New Roman"/>
          <w:sz w:val="24"/>
          <w:szCs w:val="24"/>
        </w:rPr>
        <w:t>,</w:t>
      </w:r>
      <w:r w:rsidRPr="00962A15">
        <w:rPr>
          <w:rFonts w:ascii="Times New Roman" w:hAnsi="Times New Roman" w:cs="Times New Roman"/>
          <w:sz w:val="24"/>
          <w:szCs w:val="24"/>
        </w:rPr>
        <w:t xml:space="preserve"> parāda apjoms pakāpeniski samazināsies</w:t>
      </w:r>
      <w:r w:rsidR="0029281F">
        <w:rPr>
          <w:rFonts w:ascii="Times New Roman" w:hAnsi="Times New Roman" w:cs="Times New Roman"/>
          <w:sz w:val="24"/>
          <w:szCs w:val="24"/>
        </w:rPr>
        <w:t xml:space="preserve"> 2038. gadā </w:t>
      </w:r>
      <w:r w:rsidR="00F12909">
        <w:rPr>
          <w:rFonts w:ascii="Times New Roman" w:hAnsi="Times New Roman" w:cs="Times New Roman"/>
          <w:sz w:val="24"/>
          <w:szCs w:val="24"/>
        </w:rPr>
        <w:t xml:space="preserve">sasniedzot 51,4% no IKP </w:t>
      </w:r>
      <w:r w:rsidR="009D3113">
        <w:rPr>
          <w:rFonts w:ascii="Times New Roman" w:hAnsi="Times New Roman" w:cs="Times New Roman"/>
          <w:sz w:val="24"/>
          <w:szCs w:val="24"/>
        </w:rPr>
        <w:t>ar 50% varbūtību</w:t>
      </w:r>
      <w:r w:rsidR="0029281F">
        <w:rPr>
          <w:rFonts w:ascii="Times New Roman" w:hAnsi="Times New Roman" w:cs="Times New Roman"/>
          <w:sz w:val="24"/>
          <w:szCs w:val="24"/>
        </w:rPr>
        <w:t>.</w:t>
      </w:r>
      <w:r w:rsidRPr="00962A15">
        <w:rPr>
          <w:rFonts w:ascii="Times New Roman" w:hAnsi="Times New Roman" w:cs="Times New Roman"/>
          <w:sz w:val="24"/>
          <w:szCs w:val="24"/>
        </w:rPr>
        <w:t xml:space="preserve"> </w:t>
      </w:r>
      <w:r w:rsidR="0029281F">
        <w:rPr>
          <w:rFonts w:ascii="Times New Roman" w:hAnsi="Times New Roman" w:cs="Times New Roman"/>
          <w:sz w:val="24"/>
          <w:szCs w:val="24"/>
        </w:rPr>
        <w:t>A</w:t>
      </w:r>
      <w:r w:rsidRPr="00962A15">
        <w:rPr>
          <w:rFonts w:ascii="Times New Roman" w:hAnsi="Times New Roman" w:cs="Times New Roman"/>
          <w:sz w:val="24"/>
          <w:szCs w:val="24"/>
        </w:rPr>
        <w:t>tbilstoši stohastiskās parāda analīzes rezultātiem parāda apjoms</w:t>
      </w:r>
      <w:r w:rsidR="0006210D" w:rsidRPr="00962A15">
        <w:rPr>
          <w:rFonts w:ascii="Times New Roman" w:hAnsi="Times New Roman" w:cs="Times New Roman"/>
          <w:sz w:val="24"/>
          <w:szCs w:val="24"/>
        </w:rPr>
        <w:t xml:space="preserve"> 2038. gadā</w:t>
      </w:r>
      <w:r w:rsidRPr="00962A15">
        <w:rPr>
          <w:rFonts w:ascii="Times New Roman" w:hAnsi="Times New Roman" w:cs="Times New Roman"/>
          <w:sz w:val="24"/>
          <w:szCs w:val="24"/>
        </w:rPr>
        <w:t xml:space="preserve"> </w:t>
      </w:r>
      <w:r w:rsidR="00A05ED5">
        <w:rPr>
          <w:rFonts w:ascii="Times New Roman" w:hAnsi="Times New Roman" w:cs="Times New Roman"/>
          <w:sz w:val="24"/>
          <w:szCs w:val="24"/>
        </w:rPr>
        <w:t>būs</w:t>
      </w:r>
      <w:r w:rsidR="0029281F">
        <w:rPr>
          <w:rFonts w:ascii="Times New Roman" w:hAnsi="Times New Roman" w:cs="Times New Roman"/>
          <w:sz w:val="24"/>
          <w:szCs w:val="24"/>
        </w:rPr>
        <w:t xml:space="preserve"> </w:t>
      </w:r>
      <w:r w:rsidR="004643E3">
        <w:rPr>
          <w:rFonts w:ascii="Times New Roman" w:hAnsi="Times New Roman" w:cs="Times New Roman"/>
          <w:sz w:val="24"/>
          <w:szCs w:val="24"/>
        </w:rPr>
        <w:t>nedaudz</w:t>
      </w:r>
      <w:r w:rsidR="00F12909">
        <w:rPr>
          <w:rFonts w:ascii="Times New Roman" w:hAnsi="Times New Roman" w:cs="Times New Roman"/>
          <w:sz w:val="24"/>
          <w:szCs w:val="24"/>
        </w:rPr>
        <w:t xml:space="preserve"> virs 60</w:t>
      </w:r>
      <w:r w:rsidR="0029281F" w:rsidRPr="003A5E5A">
        <w:rPr>
          <w:rFonts w:ascii="Times New Roman" w:hAnsi="Times New Roman" w:cs="Times New Roman"/>
          <w:sz w:val="24"/>
          <w:szCs w:val="24"/>
        </w:rPr>
        <w:t>%</w:t>
      </w:r>
      <w:r w:rsidRPr="00962A15">
        <w:rPr>
          <w:rFonts w:ascii="Times New Roman" w:hAnsi="Times New Roman" w:cs="Times New Roman"/>
          <w:sz w:val="24"/>
          <w:szCs w:val="24"/>
        </w:rPr>
        <w:t xml:space="preserve"> no IKP </w:t>
      </w:r>
      <w:r w:rsidR="0006210D" w:rsidRPr="00962A15">
        <w:rPr>
          <w:rFonts w:ascii="Times New Roman" w:hAnsi="Times New Roman" w:cs="Times New Roman"/>
          <w:sz w:val="24"/>
          <w:szCs w:val="24"/>
        </w:rPr>
        <w:t>ar 70% varbūtību</w:t>
      </w:r>
      <w:r w:rsidRPr="00962A15">
        <w:rPr>
          <w:rFonts w:ascii="Times New Roman" w:hAnsi="Times New Roman" w:cs="Times New Roman"/>
          <w:sz w:val="24"/>
          <w:szCs w:val="24"/>
        </w:rPr>
        <w:t>. Labvēlīgu parāda dinamiku nosaka augstāks izaugsmes temps, salīdzinājumā ar efektīvo procentu likmi. Veidoj</w:t>
      </w:r>
      <w:r w:rsidR="7F2157D0" w:rsidRPr="00962A15">
        <w:rPr>
          <w:rFonts w:ascii="Times New Roman" w:hAnsi="Times New Roman" w:cs="Times New Roman"/>
          <w:sz w:val="24"/>
          <w:szCs w:val="24"/>
        </w:rPr>
        <w:t>a</w:t>
      </w:r>
      <w:r w:rsidRPr="00962A15">
        <w:rPr>
          <w:rFonts w:ascii="Times New Roman" w:hAnsi="Times New Roman" w:cs="Times New Roman"/>
          <w:sz w:val="24"/>
          <w:szCs w:val="24"/>
        </w:rPr>
        <w:t>s tā saucamais sniega bumbas efekts</w:t>
      </w:r>
      <w:r w:rsidR="00E674C0" w:rsidRPr="00962A15">
        <w:rPr>
          <w:rStyle w:val="FootnoteReference"/>
          <w:rFonts w:ascii="Times New Roman" w:hAnsi="Times New Roman" w:cs="Times New Roman"/>
          <w:sz w:val="24"/>
          <w:szCs w:val="24"/>
        </w:rPr>
        <w:footnoteReference w:id="79"/>
      </w:r>
      <w:r w:rsidRPr="00962A15">
        <w:rPr>
          <w:rFonts w:ascii="Times New Roman" w:hAnsi="Times New Roman" w:cs="Times New Roman"/>
          <w:sz w:val="24"/>
          <w:szCs w:val="24"/>
        </w:rPr>
        <w:t xml:space="preserve">. </w:t>
      </w:r>
      <w:r w:rsidR="0094479B" w:rsidRPr="0094479B">
        <w:rPr>
          <w:rFonts w:ascii="Times New Roman" w:hAnsi="Times New Roman" w:cs="Times New Roman"/>
          <w:sz w:val="24"/>
          <w:szCs w:val="24"/>
        </w:rPr>
        <w:t xml:space="preserve">EK savā Parāda ilgtspējas ziņojumā </w:t>
      </w:r>
      <w:r w:rsidR="0094479B">
        <w:rPr>
          <w:rFonts w:ascii="Times New Roman" w:hAnsi="Times New Roman" w:cs="Times New Roman"/>
          <w:sz w:val="24"/>
          <w:szCs w:val="24"/>
        </w:rPr>
        <w:t xml:space="preserve">2024 </w:t>
      </w:r>
      <w:r w:rsidR="0094479B" w:rsidRPr="0094479B">
        <w:rPr>
          <w:rFonts w:ascii="Times New Roman" w:hAnsi="Times New Roman" w:cs="Times New Roman"/>
          <w:sz w:val="24"/>
          <w:szCs w:val="24"/>
        </w:rPr>
        <w:t>norāda, ka Latvijai ir zems ilgtermiņa parāda ilgtspējas risks, taču norāda, ka īstermiņā un vidējā termiņā risks ir pieaudzis līdz vidējam līmenim. Īstermiņa risks</w:t>
      </w:r>
      <w:r w:rsidR="00F12909">
        <w:rPr>
          <w:rFonts w:ascii="Times New Roman" w:hAnsi="Times New Roman" w:cs="Times New Roman"/>
          <w:sz w:val="24"/>
          <w:szCs w:val="24"/>
        </w:rPr>
        <w:t>, atbilstoši EK norādītajam,</w:t>
      </w:r>
      <w:r w:rsidR="0094479B" w:rsidRPr="0094479B">
        <w:rPr>
          <w:rFonts w:ascii="Times New Roman" w:hAnsi="Times New Roman" w:cs="Times New Roman"/>
          <w:sz w:val="24"/>
          <w:szCs w:val="24"/>
        </w:rPr>
        <w:t xml:space="preserve"> Latvijai, kas ir uz robežas starp zemu un vidēju, ir saistīts ar norisēm ekonomikā – sarežģītākiem finansēšanas apstākļiem 2024. gadā – joprojām augstākas aizņemšanās likmes, augsts kārtēja konta deficīts un zems mājsaimniecību uzkrājumu pieaugums 2023. gadā. Savukārt vidējā termiņā, atbilstoši EK aprēķiniem, Latvijas parāds 2035. gadā sasniegs 65% no IKP. Te gan jāvērš uzmanība, ka EK sagatavojot savas parāda prognozes nosaka strukturālo primāro bilanci nemainīgā līmenī līdz pat 2035. gadam, nofiksējot to 2025. gada līmenī -1,6% no IKP apmērā. Savukārt FM aprēķini liecina, ka strukturālā primārā bilance 2025. gadā būs -1,2% no IKP</w:t>
      </w:r>
      <w:r w:rsidR="00E255DE">
        <w:rPr>
          <w:rFonts w:ascii="Times New Roman" w:hAnsi="Times New Roman" w:cs="Times New Roman"/>
          <w:sz w:val="24"/>
          <w:szCs w:val="24"/>
        </w:rPr>
        <w:t xml:space="preserve"> (neņemot vērā vienreizējos pasākumus)</w:t>
      </w:r>
      <w:r w:rsidR="0094479B" w:rsidRPr="0094479B">
        <w:rPr>
          <w:rFonts w:ascii="Times New Roman" w:hAnsi="Times New Roman" w:cs="Times New Roman"/>
          <w:sz w:val="24"/>
          <w:szCs w:val="24"/>
        </w:rPr>
        <w:t xml:space="preserve">, kas ir par 0,4 procentpunktiem zemāka. Kā arī būtiska atšķirība FM un EK aprēķinos ir FDL nosacījumu ievērošana – FM aprēķinos strukturālā bilance sākot ar </w:t>
      </w:r>
      <w:r w:rsidR="00442952" w:rsidRPr="0094479B">
        <w:rPr>
          <w:rFonts w:ascii="Times New Roman" w:hAnsi="Times New Roman" w:cs="Times New Roman"/>
          <w:sz w:val="24"/>
          <w:szCs w:val="24"/>
        </w:rPr>
        <w:t>20</w:t>
      </w:r>
      <w:r w:rsidR="00442952">
        <w:rPr>
          <w:rFonts w:ascii="Times New Roman" w:hAnsi="Times New Roman" w:cs="Times New Roman"/>
          <w:sz w:val="24"/>
          <w:szCs w:val="24"/>
        </w:rPr>
        <w:t>29</w:t>
      </w:r>
      <w:r w:rsidR="0094479B" w:rsidRPr="0094479B">
        <w:rPr>
          <w:rFonts w:ascii="Times New Roman" w:hAnsi="Times New Roman" w:cs="Times New Roman"/>
          <w:sz w:val="24"/>
          <w:szCs w:val="24"/>
        </w:rPr>
        <w:t>. gadu tiek noteikta atbilstoši FDL pieļaujamajam līmenim, t.i. strukturālais deficīts nedrīkst pārsniegt 1</w:t>
      </w:r>
      <w:r w:rsidR="000C3108">
        <w:rPr>
          <w:rFonts w:ascii="Times New Roman" w:hAnsi="Times New Roman" w:cs="Times New Roman"/>
          <w:sz w:val="24"/>
          <w:szCs w:val="24"/>
        </w:rPr>
        <w:t>,5</w:t>
      </w:r>
      <w:r w:rsidR="0094479B" w:rsidRPr="0094479B">
        <w:rPr>
          <w:rFonts w:ascii="Times New Roman" w:hAnsi="Times New Roman" w:cs="Times New Roman"/>
          <w:sz w:val="24"/>
          <w:szCs w:val="24"/>
        </w:rPr>
        <w:t>% no IKP</w:t>
      </w:r>
      <w:r w:rsidR="004E162A">
        <w:rPr>
          <w:rFonts w:ascii="Times New Roman" w:hAnsi="Times New Roman" w:cs="Times New Roman"/>
          <w:sz w:val="24"/>
          <w:szCs w:val="24"/>
        </w:rPr>
        <w:t>, ņemot vērā MK sēdē apstiprināto</w:t>
      </w:r>
      <w:r w:rsidR="004E162A">
        <w:rPr>
          <w:rStyle w:val="FootnoteReference"/>
          <w:rFonts w:ascii="Times New Roman" w:hAnsi="Times New Roman" w:cs="Times New Roman"/>
          <w:sz w:val="24"/>
          <w:szCs w:val="24"/>
        </w:rPr>
        <w:footnoteReference w:id="80"/>
      </w:r>
      <w:r w:rsidR="009852DC">
        <w:rPr>
          <w:rFonts w:ascii="Times New Roman" w:hAnsi="Times New Roman" w:cs="Times New Roman"/>
          <w:sz w:val="24"/>
          <w:szCs w:val="24"/>
        </w:rPr>
        <w:t>.</w:t>
      </w:r>
    </w:p>
    <w:p w14:paraId="1A9F7FBA" w14:textId="7786ED9C" w:rsidR="00497710" w:rsidRDefault="00497710" w:rsidP="0029281F">
      <w:pPr>
        <w:spacing w:after="0"/>
        <w:ind w:firstLine="720"/>
        <w:rPr>
          <w:rFonts w:ascii="Times New Roman" w:hAnsi="Times New Roman" w:cs="Times New Roman"/>
          <w:sz w:val="24"/>
          <w:szCs w:val="24"/>
        </w:rPr>
      </w:pPr>
    </w:p>
    <w:p w14:paraId="6C829655" w14:textId="2A27AE7B" w:rsidR="00E255DE" w:rsidRPr="00962A15" w:rsidRDefault="00E255DE" w:rsidP="00E255DE">
      <w:pPr>
        <w:spacing w:after="0"/>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78298E" wp14:editId="607CA73E">
            <wp:extent cx="5562116" cy="2773680"/>
            <wp:effectExtent l="0" t="0" r="0" b="0"/>
            <wp:docPr id="3148579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71383" cy="2778301"/>
                    </a:xfrm>
                    <a:prstGeom prst="rect">
                      <a:avLst/>
                    </a:prstGeom>
                    <a:noFill/>
                  </pic:spPr>
                </pic:pic>
              </a:graphicData>
            </a:graphic>
          </wp:inline>
        </w:drawing>
      </w:r>
    </w:p>
    <w:p w14:paraId="73F3CB8C" w14:textId="6B09AA66" w:rsidR="00497710" w:rsidRPr="00962A15" w:rsidRDefault="21C7E381" w:rsidP="00497710">
      <w:pPr>
        <w:spacing w:after="0"/>
        <w:jc w:val="center"/>
        <w:rPr>
          <w:rFonts w:ascii="Times New Roman" w:hAnsi="Times New Roman" w:cs="Times New Roman"/>
          <w:color w:val="000000"/>
          <w:sz w:val="24"/>
          <w:szCs w:val="24"/>
        </w:rPr>
      </w:pPr>
      <w:r w:rsidRPr="00962A15">
        <w:rPr>
          <w:rFonts w:ascii="Times New Roman" w:hAnsi="Times New Roman" w:cs="Times New Roman"/>
          <w:b/>
          <w:bCs/>
          <w:color w:val="000000" w:themeColor="text1"/>
          <w:sz w:val="24"/>
          <w:szCs w:val="24"/>
        </w:rPr>
        <w:t>4.4.</w:t>
      </w:r>
      <w:r w:rsidR="46CDD1E4" w:rsidRPr="00962A15">
        <w:rPr>
          <w:rFonts w:ascii="Times New Roman" w:hAnsi="Times New Roman" w:cs="Times New Roman"/>
          <w:b/>
          <w:bCs/>
          <w:color w:val="000000" w:themeColor="text1"/>
          <w:sz w:val="24"/>
          <w:szCs w:val="24"/>
        </w:rPr>
        <w:t>1.</w:t>
      </w:r>
      <w:r w:rsidR="008674A0">
        <w:rPr>
          <w:rFonts w:ascii="Times New Roman" w:hAnsi="Times New Roman" w:cs="Times New Roman"/>
          <w:b/>
          <w:bCs/>
          <w:color w:val="000000" w:themeColor="text1"/>
          <w:sz w:val="24"/>
          <w:szCs w:val="24"/>
        </w:rPr>
        <w:t xml:space="preserve"> </w:t>
      </w:r>
      <w:r w:rsidRPr="00962A15">
        <w:rPr>
          <w:rFonts w:ascii="Times New Roman" w:hAnsi="Times New Roman" w:cs="Times New Roman"/>
          <w:b/>
          <w:bCs/>
          <w:color w:val="000000" w:themeColor="text1"/>
          <w:sz w:val="24"/>
          <w:szCs w:val="24"/>
        </w:rPr>
        <w:t>attēls.</w:t>
      </w:r>
      <w:r w:rsidRPr="00962A15">
        <w:rPr>
          <w:rFonts w:ascii="Times New Roman" w:hAnsi="Times New Roman" w:cs="Times New Roman"/>
          <w:color w:val="000000" w:themeColor="text1"/>
          <w:sz w:val="24"/>
          <w:szCs w:val="24"/>
        </w:rPr>
        <w:t xml:space="preserve"> Vispārējās valdības parāda stohastiskās prognozes līdz 203</w:t>
      </w:r>
      <w:r w:rsidR="5E1DDFF5" w:rsidRPr="00962A15">
        <w:rPr>
          <w:rFonts w:ascii="Times New Roman" w:hAnsi="Times New Roman" w:cs="Times New Roman"/>
          <w:color w:val="000000" w:themeColor="text1"/>
          <w:sz w:val="24"/>
          <w:szCs w:val="24"/>
        </w:rPr>
        <w:t>8</w:t>
      </w:r>
      <w:r w:rsidRPr="00962A15">
        <w:rPr>
          <w:rFonts w:ascii="Times New Roman" w:hAnsi="Times New Roman" w:cs="Times New Roman"/>
          <w:color w:val="000000" w:themeColor="text1"/>
          <w:sz w:val="24"/>
          <w:szCs w:val="24"/>
        </w:rPr>
        <w:t>.</w:t>
      </w:r>
      <w:r w:rsidR="5E1DDFF5" w:rsidRPr="00962A15">
        <w:rPr>
          <w:rFonts w:ascii="Times New Roman" w:hAnsi="Times New Roman" w:cs="Times New Roman"/>
          <w:color w:val="000000" w:themeColor="text1"/>
          <w:sz w:val="24"/>
          <w:szCs w:val="24"/>
        </w:rPr>
        <w:t xml:space="preserve"> </w:t>
      </w:r>
      <w:r w:rsidRPr="00962A15">
        <w:rPr>
          <w:rFonts w:ascii="Times New Roman" w:hAnsi="Times New Roman" w:cs="Times New Roman"/>
          <w:color w:val="000000" w:themeColor="text1"/>
          <w:sz w:val="24"/>
          <w:szCs w:val="24"/>
        </w:rPr>
        <w:t>gadam, % no IKP</w:t>
      </w:r>
    </w:p>
    <w:p w14:paraId="6AD4B6EA" w14:textId="77777777" w:rsidR="00497710" w:rsidRPr="00962A15" w:rsidRDefault="00497710" w:rsidP="00497710">
      <w:pPr>
        <w:spacing w:after="0"/>
        <w:jc w:val="center"/>
        <w:rPr>
          <w:rFonts w:ascii="Times New Roman" w:hAnsi="Times New Roman" w:cs="Times New Roman"/>
          <w:i/>
          <w:iCs/>
          <w:sz w:val="24"/>
          <w:szCs w:val="24"/>
        </w:rPr>
      </w:pPr>
    </w:p>
    <w:p w14:paraId="7D7A0EFD" w14:textId="48C39B26" w:rsidR="00497710" w:rsidRPr="00962A15" w:rsidRDefault="003B75CE" w:rsidP="002601DB">
      <w:pPr>
        <w:spacing w:after="0" w:line="240" w:lineRule="auto"/>
        <w:ind w:firstLine="720"/>
        <w:jc w:val="both"/>
        <w:rPr>
          <w:rFonts w:ascii="Times New Roman" w:hAnsi="Times New Roman" w:cs="Times New Roman"/>
          <w:sz w:val="24"/>
          <w:szCs w:val="24"/>
        </w:rPr>
      </w:pPr>
      <w:r w:rsidRPr="00962A15">
        <w:rPr>
          <w:rFonts w:ascii="Times New Roman" w:hAnsi="Times New Roman" w:cs="Times New Roman"/>
          <w:sz w:val="24"/>
          <w:szCs w:val="24"/>
        </w:rPr>
        <w:t>Papildus tiek veikta arī šoku scenāriju analīz</w:t>
      </w:r>
      <w:r w:rsidR="00F84A28">
        <w:rPr>
          <w:rFonts w:ascii="Times New Roman" w:hAnsi="Times New Roman" w:cs="Times New Roman"/>
          <w:sz w:val="24"/>
          <w:szCs w:val="24"/>
        </w:rPr>
        <w:t>e</w:t>
      </w:r>
      <w:r w:rsidRPr="00962A15">
        <w:rPr>
          <w:rFonts w:ascii="Times New Roman" w:hAnsi="Times New Roman" w:cs="Times New Roman"/>
          <w:sz w:val="24"/>
          <w:szCs w:val="24"/>
        </w:rPr>
        <w:t xml:space="preserve">, kurā, līdzīgi kā EK Parāda ilgtspējas ziņojumā tiek skatīti trīs šoka scenāriji, kas iestājās pēc </w:t>
      </w:r>
      <w:r w:rsidR="00E255DE" w:rsidRPr="00962A15">
        <w:rPr>
          <w:rFonts w:ascii="Times New Roman" w:hAnsi="Times New Roman" w:cs="Times New Roman"/>
          <w:sz w:val="24"/>
          <w:szCs w:val="24"/>
        </w:rPr>
        <w:t>202</w:t>
      </w:r>
      <w:r w:rsidR="00E255DE">
        <w:rPr>
          <w:rFonts w:ascii="Times New Roman" w:hAnsi="Times New Roman" w:cs="Times New Roman"/>
          <w:sz w:val="24"/>
          <w:szCs w:val="24"/>
        </w:rPr>
        <w:t>9</w:t>
      </w:r>
      <w:r w:rsidRPr="00962A15">
        <w:rPr>
          <w:rFonts w:ascii="Times New Roman" w:hAnsi="Times New Roman" w:cs="Times New Roman"/>
          <w:sz w:val="24"/>
          <w:szCs w:val="24"/>
        </w:rPr>
        <w:t xml:space="preserve">. gada. Finanšu stresa scenārijā </w:t>
      </w:r>
      <w:r w:rsidR="00E255DE" w:rsidRPr="00962A15">
        <w:rPr>
          <w:rFonts w:ascii="Times New Roman" w:hAnsi="Times New Roman" w:cs="Times New Roman"/>
          <w:sz w:val="24"/>
          <w:szCs w:val="24"/>
        </w:rPr>
        <w:t>20</w:t>
      </w:r>
      <w:r w:rsidR="00E255DE">
        <w:rPr>
          <w:rFonts w:ascii="Times New Roman" w:hAnsi="Times New Roman" w:cs="Times New Roman"/>
          <w:sz w:val="24"/>
          <w:szCs w:val="24"/>
        </w:rPr>
        <w:t>30</w:t>
      </w:r>
      <w:r w:rsidRPr="00962A15">
        <w:rPr>
          <w:rFonts w:ascii="Times New Roman" w:hAnsi="Times New Roman" w:cs="Times New Roman"/>
          <w:sz w:val="24"/>
          <w:szCs w:val="24"/>
        </w:rPr>
        <w:t xml:space="preserve">. gadā par </w:t>
      </w:r>
      <w:r w:rsidR="0029281F" w:rsidRPr="00962A15">
        <w:rPr>
          <w:rFonts w:ascii="Times New Roman" w:hAnsi="Times New Roman" w:cs="Times New Roman"/>
          <w:sz w:val="24"/>
          <w:szCs w:val="24"/>
        </w:rPr>
        <w:t>1</w:t>
      </w:r>
      <w:r w:rsidRPr="00962A15">
        <w:rPr>
          <w:rFonts w:ascii="Times New Roman" w:hAnsi="Times New Roman" w:cs="Times New Roman"/>
          <w:sz w:val="24"/>
          <w:szCs w:val="24"/>
        </w:rPr>
        <w:t xml:space="preserve"> procentpunkt</w:t>
      </w:r>
      <w:r w:rsidR="0029281F" w:rsidRPr="00962A15">
        <w:rPr>
          <w:rFonts w:ascii="Times New Roman" w:hAnsi="Times New Roman" w:cs="Times New Roman"/>
          <w:sz w:val="24"/>
          <w:szCs w:val="24"/>
        </w:rPr>
        <w:t>u</w:t>
      </w:r>
      <w:r w:rsidRPr="00962A15">
        <w:rPr>
          <w:rFonts w:ascii="Times New Roman" w:hAnsi="Times New Roman" w:cs="Times New Roman"/>
          <w:sz w:val="24"/>
          <w:szCs w:val="24"/>
        </w:rPr>
        <w:t xml:space="preserve"> pieaug ilgtermiņa aizņemšanās</w:t>
      </w:r>
      <w:r w:rsidR="003A5E5A">
        <w:rPr>
          <w:rFonts w:ascii="Times New Roman" w:hAnsi="Times New Roman" w:cs="Times New Roman"/>
          <w:sz w:val="24"/>
          <w:szCs w:val="24"/>
        </w:rPr>
        <w:t xml:space="preserve"> </w:t>
      </w:r>
      <w:r w:rsidR="00F84A28">
        <w:rPr>
          <w:rFonts w:ascii="Times New Roman" w:hAnsi="Times New Roman" w:cs="Times New Roman"/>
          <w:sz w:val="24"/>
          <w:szCs w:val="24"/>
        </w:rPr>
        <w:t>izmaksas</w:t>
      </w:r>
      <w:r w:rsidRPr="00962A15">
        <w:rPr>
          <w:rFonts w:ascii="Times New Roman" w:hAnsi="Times New Roman" w:cs="Times New Roman"/>
          <w:sz w:val="24"/>
          <w:szCs w:val="24"/>
        </w:rPr>
        <w:t>. Zemākas strukturālās primārās bilances scenārijā</w:t>
      </w:r>
      <w:r w:rsidR="0029281F" w:rsidRPr="00962A15">
        <w:rPr>
          <w:rFonts w:ascii="Times New Roman" w:hAnsi="Times New Roman" w:cs="Times New Roman"/>
          <w:sz w:val="24"/>
          <w:szCs w:val="24"/>
        </w:rPr>
        <w:t>, sākot</w:t>
      </w:r>
      <w:r w:rsidRPr="00962A15">
        <w:rPr>
          <w:rFonts w:ascii="Times New Roman" w:hAnsi="Times New Roman" w:cs="Times New Roman"/>
          <w:sz w:val="24"/>
          <w:szCs w:val="24"/>
        </w:rPr>
        <w:t xml:space="preserve"> </w:t>
      </w:r>
      <w:r w:rsidR="0029281F" w:rsidRPr="00962A15">
        <w:rPr>
          <w:rFonts w:ascii="Times New Roman" w:hAnsi="Times New Roman" w:cs="Times New Roman"/>
          <w:sz w:val="24"/>
          <w:szCs w:val="24"/>
        </w:rPr>
        <w:t>no 20</w:t>
      </w:r>
      <w:r w:rsidR="00E255DE">
        <w:rPr>
          <w:rFonts w:ascii="Times New Roman" w:hAnsi="Times New Roman" w:cs="Times New Roman"/>
          <w:sz w:val="24"/>
          <w:szCs w:val="24"/>
        </w:rPr>
        <w:t>30</w:t>
      </w:r>
      <w:r w:rsidR="0029281F" w:rsidRPr="00962A15">
        <w:rPr>
          <w:rFonts w:ascii="Times New Roman" w:hAnsi="Times New Roman" w:cs="Times New Roman"/>
          <w:sz w:val="24"/>
          <w:szCs w:val="24"/>
        </w:rPr>
        <w:t xml:space="preserve">. gada līdz </w:t>
      </w:r>
      <w:r w:rsidR="00E255DE" w:rsidRPr="00962A15">
        <w:rPr>
          <w:rFonts w:ascii="Times New Roman" w:hAnsi="Times New Roman" w:cs="Times New Roman"/>
          <w:sz w:val="24"/>
          <w:szCs w:val="24"/>
        </w:rPr>
        <w:t>20</w:t>
      </w:r>
      <w:r w:rsidR="00E255DE">
        <w:rPr>
          <w:rFonts w:ascii="Times New Roman" w:hAnsi="Times New Roman" w:cs="Times New Roman"/>
          <w:sz w:val="24"/>
          <w:szCs w:val="24"/>
        </w:rPr>
        <w:t>31</w:t>
      </w:r>
      <w:r w:rsidR="0029281F" w:rsidRPr="00962A15">
        <w:rPr>
          <w:rFonts w:ascii="Times New Roman" w:hAnsi="Times New Roman" w:cs="Times New Roman"/>
          <w:sz w:val="24"/>
          <w:szCs w:val="24"/>
        </w:rPr>
        <w:t xml:space="preserve">. gadam, strukturālās primārās bilances deficīts pieaug par 0,5 procentpunktiem un tādā apmērā saglabājās līdz 2038. gadam, savukārt nelabvēlīga (r-g) scenārijā, sākot ar </w:t>
      </w:r>
      <w:r w:rsidR="00E255DE" w:rsidRPr="00962A15">
        <w:rPr>
          <w:rFonts w:ascii="Times New Roman" w:hAnsi="Times New Roman" w:cs="Times New Roman"/>
          <w:sz w:val="24"/>
          <w:szCs w:val="24"/>
        </w:rPr>
        <w:t>20</w:t>
      </w:r>
      <w:r w:rsidR="00E255DE">
        <w:rPr>
          <w:rFonts w:ascii="Times New Roman" w:hAnsi="Times New Roman" w:cs="Times New Roman"/>
          <w:sz w:val="24"/>
          <w:szCs w:val="24"/>
        </w:rPr>
        <w:t>30</w:t>
      </w:r>
      <w:r w:rsidR="0029281F" w:rsidRPr="00962A15">
        <w:rPr>
          <w:rFonts w:ascii="Times New Roman" w:hAnsi="Times New Roman" w:cs="Times New Roman"/>
          <w:sz w:val="24"/>
          <w:szCs w:val="24"/>
        </w:rPr>
        <w:t>. gadu, par 0,5 procentpunktiem pieaug aizņemšanās izmaksas un par 0,5 procentpunktiem samazinās izaugsme.</w:t>
      </w:r>
      <w:r w:rsidR="00A05ED5" w:rsidRPr="00962A15">
        <w:rPr>
          <w:rFonts w:ascii="Times New Roman" w:hAnsi="Times New Roman" w:cs="Times New Roman"/>
          <w:sz w:val="24"/>
          <w:szCs w:val="24"/>
        </w:rPr>
        <w:t xml:space="preserve"> </w:t>
      </w:r>
      <w:r w:rsidR="001C2276">
        <w:rPr>
          <w:rFonts w:ascii="Times New Roman" w:hAnsi="Times New Roman" w:cs="Times New Roman"/>
          <w:sz w:val="24"/>
          <w:szCs w:val="24"/>
        </w:rPr>
        <w:t xml:space="preserve">Bāzes scenārijā tiek pieņemts, ka sākot no </w:t>
      </w:r>
      <w:r w:rsidR="00442952">
        <w:rPr>
          <w:rFonts w:ascii="Times New Roman" w:hAnsi="Times New Roman" w:cs="Times New Roman"/>
          <w:sz w:val="24"/>
          <w:szCs w:val="24"/>
        </w:rPr>
        <w:t>2029</w:t>
      </w:r>
      <w:r w:rsidR="001C2276">
        <w:rPr>
          <w:rFonts w:ascii="Times New Roman" w:hAnsi="Times New Roman" w:cs="Times New Roman"/>
          <w:sz w:val="24"/>
          <w:szCs w:val="24"/>
        </w:rPr>
        <w:t>. gada strukturālās bilances deficīts būs 1</w:t>
      </w:r>
      <w:r w:rsidR="00E255DE">
        <w:rPr>
          <w:rFonts w:ascii="Times New Roman" w:hAnsi="Times New Roman" w:cs="Times New Roman"/>
          <w:sz w:val="24"/>
          <w:szCs w:val="24"/>
        </w:rPr>
        <w:t>,5</w:t>
      </w:r>
      <w:r w:rsidR="001C2276">
        <w:rPr>
          <w:rFonts w:ascii="Times New Roman" w:hAnsi="Times New Roman" w:cs="Times New Roman"/>
          <w:sz w:val="24"/>
          <w:szCs w:val="24"/>
        </w:rPr>
        <w:t xml:space="preserve">% no IKP. </w:t>
      </w:r>
      <w:r w:rsidR="00A05ED5" w:rsidRPr="00962A15">
        <w:rPr>
          <w:rFonts w:ascii="Times New Roman" w:hAnsi="Times New Roman" w:cs="Times New Roman"/>
          <w:sz w:val="24"/>
          <w:szCs w:val="24"/>
        </w:rPr>
        <w:t>Šoku scenāriju rezultāti apkopoti 4.4.2. attēlā.</w:t>
      </w:r>
      <w:r w:rsidR="0029281F" w:rsidRPr="00962A15">
        <w:rPr>
          <w:rFonts w:ascii="Times New Roman" w:hAnsi="Times New Roman" w:cs="Times New Roman"/>
          <w:sz w:val="24"/>
          <w:szCs w:val="24"/>
        </w:rPr>
        <w:t xml:space="preserve"> </w:t>
      </w:r>
    </w:p>
    <w:p w14:paraId="4E9DF3F9" w14:textId="35CED015" w:rsidR="00497710" w:rsidRPr="00962A15" w:rsidRDefault="00497710" w:rsidP="00497710">
      <w:pPr>
        <w:spacing w:after="0"/>
        <w:jc w:val="center"/>
        <w:rPr>
          <w:rFonts w:ascii="Times New Roman" w:hAnsi="Times New Roman" w:cs="Times New Roman"/>
          <w:sz w:val="24"/>
          <w:szCs w:val="24"/>
        </w:rPr>
      </w:pPr>
    </w:p>
    <w:p w14:paraId="1CA57F3C" w14:textId="1EDA5DB9" w:rsidR="00497710" w:rsidRPr="00962A15" w:rsidRDefault="00E255DE" w:rsidP="00E255DE">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58BC8B" wp14:editId="3A2CB731">
            <wp:extent cx="5769198" cy="2762250"/>
            <wp:effectExtent l="0" t="0" r="3175" b="0"/>
            <wp:docPr id="1919518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85859" cy="2770227"/>
                    </a:xfrm>
                    <a:prstGeom prst="rect">
                      <a:avLst/>
                    </a:prstGeom>
                    <a:noFill/>
                  </pic:spPr>
                </pic:pic>
              </a:graphicData>
            </a:graphic>
          </wp:inline>
        </w:drawing>
      </w:r>
    </w:p>
    <w:p w14:paraId="1B3C8D36" w14:textId="1F05B6E0" w:rsidR="00497710" w:rsidRPr="00962A15" w:rsidRDefault="21C7E381" w:rsidP="00E674C0">
      <w:pPr>
        <w:spacing w:after="0" w:line="240" w:lineRule="auto"/>
        <w:jc w:val="center"/>
        <w:rPr>
          <w:rFonts w:ascii="Times New Roman" w:hAnsi="Times New Roman" w:cs="Times New Roman"/>
          <w:color w:val="000000"/>
          <w:sz w:val="24"/>
          <w:szCs w:val="24"/>
        </w:rPr>
      </w:pPr>
      <w:r w:rsidRPr="00962A15">
        <w:rPr>
          <w:rFonts w:ascii="Times New Roman" w:hAnsi="Times New Roman" w:cs="Times New Roman"/>
          <w:b/>
          <w:bCs/>
          <w:color w:val="000000" w:themeColor="text1"/>
          <w:sz w:val="24"/>
          <w:szCs w:val="24"/>
        </w:rPr>
        <w:t>4.</w:t>
      </w:r>
      <w:r w:rsidR="46CDD1E4" w:rsidRPr="00962A15">
        <w:rPr>
          <w:rFonts w:ascii="Times New Roman" w:hAnsi="Times New Roman" w:cs="Times New Roman"/>
          <w:b/>
          <w:bCs/>
          <w:color w:val="000000" w:themeColor="text1"/>
          <w:sz w:val="24"/>
          <w:szCs w:val="24"/>
        </w:rPr>
        <w:t>4.2</w:t>
      </w:r>
      <w:r w:rsidRPr="00962A15">
        <w:rPr>
          <w:rFonts w:ascii="Times New Roman" w:hAnsi="Times New Roman" w:cs="Times New Roman"/>
          <w:b/>
          <w:bCs/>
          <w:color w:val="000000" w:themeColor="text1"/>
          <w:sz w:val="24"/>
          <w:szCs w:val="24"/>
        </w:rPr>
        <w:t>.</w:t>
      </w:r>
      <w:r w:rsidR="00A05ED5" w:rsidRPr="00962A15">
        <w:rPr>
          <w:rFonts w:ascii="Times New Roman" w:hAnsi="Times New Roman" w:cs="Times New Roman"/>
          <w:b/>
          <w:bCs/>
          <w:color w:val="000000" w:themeColor="text1"/>
          <w:sz w:val="24"/>
          <w:szCs w:val="24"/>
        </w:rPr>
        <w:t xml:space="preserve"> </w:t>
      </w:r>
      <w:r w:rsidRPr="00962A15">
        <w:rPr>
          <w:rFonts w:ascii="Times New Roman" w:hAnsi="Times New Roman" w:cs="Times New Roman"/>
          <w:b/>
          <w:bCs/>
          <w:color w:val="000000" w:themeColor="text1"/>
          <w:sz w:val="24"/>
          <w:szCs w:val="24"/>
        </w:rPr>
        <w:t>attēls.</w:t>
      </w:r>
      <w:r w:rsidRPr="00962A15">
        <w:rPr>
          <w:rFonts w:ascii="Times New Roman" w:hAnsi="Times New Roman" w:cs="Times New Roman"/>
          <w:color w:val="000000" w:themeColor="text1"/>
          <w:sz w:val="24"/>
          <w:szCs w:val="24"/>
        </w:rPr>
        <w:t xml:space="preserve"> Vispārējās valdības parāda </w:t>
      </w:r>
      <w:r w:rsidR="0029281F" w:rsidRPr="00962A15">
        <w:rPr>
          <w:rFonts w:ascii="Times New Roman" w:hAnsi="Times New Roman" w:cs="Times New Roman"/>
          <w:color w:val="000000" w:themeColor="text1"/>
          <w:sz w:val="24"/>
          <w:szCs w:val="24"/>
        </w:rPr>
        <w:t xml:space="preserve">šoku </w:t>
      </w:r>
      <w:r w:rsidRPr="00962A15">
        <w:rPr>
          <w:rFonts w:ascii="Times New Roman" w:hAnsi="Times New Roman" w:cs="Times New Roman"/>
          <w:color w:val="000000" w:themeColor="text1"/>
          <w:sz w:val="24"/>
          <w:szCs w:val="24"/>
        </w:rPr>
        <w:t>scenāriju analīze</w:t>
      </w:r>
      <w:r w:rsidR="00497710" w:rsidRPr="00A05ED5">
        <w:br/>
      </w:r>
      <w:r w:rsidRPr="00962A15">
        <w:rPr>
          <w:rFonts w:ascii="Times New Roman" w:hAnsi="Times New Roman" w:cs="Times New Roman"/>
          <w:color w:val="000000" w:themeColor="text1"/>
          <w:sz w:val="24"/>
          <w:szCs w:val="24"/>
        </w:rPr>
        <w:t xml:space="preserve"> </w:t>
      </w:r>
    </w:p>
    <w:p w14:paraId="7601766C" w14:textId="12A5453F" w:rsidR="00015144" w:rsidRPr="00B1185A" w:rsidRDefault="00A05ED5" w:rsidP="00962A15">
      <w:pPr>
        <w:jc w:val="both"/>
        <w:rPr>
          <w:rFonts w:ascii="Times New Roman" w:hAnsi="Times New Roman" w:cs="Times New Roman"/>
          <w:sz w:val="24"/>
          <w:szCs w:val="24"/>
        </w:rPr>
      </w:pPr>
      <w:r w:rsidRPr="00962A15">
        <w:rPr>
          <w:rFonts w:ascii="Times New Roman" w:hAnsi="Times New Roman" w:cs="Times New Roman"/>
          <w:sz w:val="24"/>
          <w:szCs w:val="24"/>
        </w:rPr>
        <w:tab/>
      </w:r>
      <w:r w:rsidRPr="00A05ED5">
        <w:rPr>
          <w:rFonts w:ascii="Times New Roman" w:hAnsi="Times New Roman" w:cs="Times New Roman"/>
          <w:sz w:val="24"/>
          <w:szCs w:val="24"/>
        </w:rPr>
        <w:t xml:space="preserve">Atbilstoši šoku scenārijiem, augstākās parāda vērtības tiek sasniegtas zemākās strukturālās primārās bilances un nelabvēlīga (r-g) scenārijā, kad parāda vērtība 2038. gadā ir ap </w:t>
      </w:r>
      <w:r w:rsidR="00E255DE">
        <w:rPr>
          <w:rFonts w:ascii="Times New Roman" w:hAnsi="Times New Roman" w:cs="Times New Roman"/>
          <w:sz w:val="24"/>
          <w:szCs w:val="24"/>
        </w:rPr>
        <w:t>55</w:t>
      </w:r>
      <w:r w:rsidRPr="00A05ED5">
        <w:rPr>
          <w:rFonts w:ascii="Times New Roman" w:hAnsi="Times New Roman" w:cs="Times New Roman"/>
          <w:sz w:val="24"/>
          <w:szCs w:val="24"/>
        </w:rPr>
        <w:t xml:space="preserve">% no IKP, savukārt bāzes scenārijā parāda vērtība pakāpeniski samazinās un 2038. gadā sasniedz aptuveni </w:t>
      </w:r>
      <w:r w:rsidR="00E255DE">
        <w:rPr>
          <w:rFonts w:ascii="Times New Roman" w:hAnsi="Times New Roman" w:cs="Times New Roman"/>
          <w:sz w:val="24"/>
          <w:szCs w:val="24"/>
        </w:rPr>
        <w:t>51,4</w:t>
      </w:r>
      <w:r w:rsidRPr="00A05ED5">
        <w:rPr>
          <w:rFonts w:ascii="Times New Roman" w:hAnsi="Times New Roman" w:cs="Times New Roman"/>
          <w:sz w:val="24"/>
          <w:szCs w:val="24"/>
        </w:rPr>
        <w:t>% no IKP</w:t>
      </w:r>
      <w:r>
        <w:rPr>
          <w:rFonts w:ascii="Times New Roman" w:hAnsi="Times New Roman" w:cs="Times New Roman"/>
          <w:sz w:val="24"/>
          <w:szCs w:val="24"/>
        </w:rPr>
        <w:t>. Finanšu stresa scenārijā, kurā tiek piedzīvots īslaicīgs procentu likmju pieaugums, parāda dinamika būtiski neatšķiras no bāzes scenārija</w:t>
      </w:r>
      <w:r w:rsidR="00E255DE">
        <w:rPr>
          <w:rFonts w:ascii="Times New Roman" w:hAnsi="Times New Roman" w:cs="Times New Roman"/>
          <w:sz w:val="24"/>
          <w:szCs w:val="24"/>
        </w:rPr>
        <w:t>, ņemot vērā Latvijas esošo parāda struktūru.</w:t>
      </w:r>
    </w:p>
    <w:p w14:paraId="6F3AC71F" w14:textId="25D6E5BB" w:rsidR="00F7547F" w:rsidRPr="00F7547F" w:rsidRDefault="00F7547F" w:rsidP="00F7547F">
      <w:pPr>
        <w:pStyle w:val="Heading1"/>
        <w:numPr>
          <w:ilvl w:val="0"/>
          <w:numId w:val="4"/>
        </w:numPr>
        <w:pBdr>
          <w:bottom w:val="single" w:sz="4" w:space="3" w:color="595959" w:themeColor="text1" w:themeTint="A6"/>
        </w:pBdr>
        <w:jc w:val="center"/>
        <w:rPr>
          <w:rFonts w:ascii="Times New Roman" w:hAnsi="Times New Roman" w:cs="Times New Roman"/>
          <w:sz w:val="32"/>
          <w:szCs w:val="32"/>
          <w:shd w:val="clear" w:color="auto" w:fill="FFFFFF"/>
        </w:rPr>
      </w:pPr>
      <w:bookmarkStart w:id="350" w:name="_Toc125316712"/>
      <w:bookmarkStart w:id="351" w:name="_Toc125362774"/>
      <w:bookmarkStart w:id="352" w:name="_Toc125382165"/>
      <w:bookmarkStart w:id="353" w:name="_Toc125399757"/>
      <w:bookmarkStart w:id="354" w:name="_Toc205554435"/>
      <w:bookmarkStart w:id="355" w:name="_Hlk205199454"/>
      <w:bookmarkStart w:id="356" w:name="_Hlk205046391"/>
      <w:bookmarkStart w:id="357" w:name="_Hlk141174047"/>
      <w:bookmarkEnd w:id="350"/>
      <w:bookmarkEnd w:id="351"/>
      <w:bookmarkEnd w:id="352"/>
      <w:bookmarkEnd w:id="353"/>
      <w:r w:rsidRPr="00F7547F">
        <w:rPr>
          <w:rFonts w:ascii="Times New Roman" w:hAnsi="Times New Roman" w:cs="Times New Roman"/>
          <w:sz w:val="32"/>
          <w:szCs w:val="32"/>
          <w:shd w:val="clear" w:color="auto" w:fill="FFFFFF"/>
        </w:rPr>
        <w:t>Klimata pārmaiņu ietekme</w:t>
      </w:r>
      <w:bookmarkEnd w:id="354"/>
    </w:p>
    <w:p w14:paraId="0BC136EA" w14:textId="2A9D4A5E" w:rsidR="00171273" w:rsidRPr="00651B1C" w:rsidRDefault="34E40ADE" w:rsidP="002601DB">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Klimata pārmaiņas ir viens no mūsdienu lielākajiem globālajiem izaicinājumiem, kas rada arvien nozīmīgāku</w:t>
      </w:r>
      <w:r w:rsidR="2BC7F98C" w:rsidRPr="00651B1C">
        <w:rPr>
          <w:rFonts w:ascii="Times New Roman" w:hAnsi="Times New Roman" w:cs="Times New Roman"/>
          <w:color w:val="212529"/>
          <w:sz w:val="24"/>
          <w:szCs w:val="24"/>
          <w:shd w:val="clear" w:color="auto" w:fill="FFFFFF"/>
        </w:rPr>
        <w:t xml:space="preserve"> negatīvu ietekmi uz </w:t>
      </w:r>
      <w:r w:rsidRPr="00651B1C">
        <w:rPr>
          <w:rFonts w:ascii="Times New Roman" w:hAnsi="Times New Roman" w:cs="Times New Roman"/>
          <w:color w:val="212529"/>
          <w:sz w:val="24"/>
          <w:szCs w:val="24"/>
          <w:shd w:val="clear" w:color="auto" w:fill="FFFFFF"/>
        </w:rPr>
        <w:t>cilvēku veselīb</w:t>
      </w:r>
      <w:r w:rsidR="2BC7F98C"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drošīb</w:t>
      </w:r>
      <w:r w:rsidR="2BC7F98C"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labklājī</w:t>
      </w:r>
      <w:r w:rsidR="2BC7F98C" w:rsidRPr="00651B1C">
        <w:rPr>
          <w:rFonts w:ascii="Times New Roman" w:hAnsi="Times New Roman" w:cs="Times New Roman"/>
          <w:color w:val="212529"/>
          <w:sz w:val="24"/>
          <w:szCs w:val="24"/>
          <w:shd w:val="clear" w:color="auto" w:fill="FFFFFF"/>
        </w:rPr>
        <w:t>bu</w:t>
      </w:r>
      <w:r w:rsidRPr="00651B1C">
        <w:rPr>
          <w:rFonts w:ascii="Times New Roman" w:hAnsi="Times New Roman" w:cs="Times New Roman"/>
          <w:color w:val="212529"/>
          <w:sz w:val="24"/>
          <w:szCs w:val="24"/>
          <w:shd w:val="clear" w:color="auto" w:fill="FFFFFF"/>
        </w:rPr>
        <w:t>, kā arī tautsaimniecīb</w:t>
      </w:r>
      <w:r w:rsidR="2BC7F98C"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xml:space="preserve"> un dab</w:t>
      </w:r>
      <w:r w:rsidR="2BC7F98C"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xml:space="preserve"> kopumā. </w:t>
      </w:r>
      <w:r w:rsidR="7257CB0E" w:rsidRPr="00651B1C">
        <w:rPr>
          <w:rFonts w:ascii="Times New Roman" w:hAnsi="Times New Roman" w:cs="Times New Roman"/>
          <w:color w:val="212529"/>
          <w:sz w:val="24"/>
          <w:szCs w:val="24"/>
          <w:shd w:val="clear" w:color="auto" w:fill="FFFFFF"/>
        </w:rPr>
        <w:t>ANO</w:t>
      </w:r>
      <w:r w:rsidRPr="00651B1C">
        <w:rPr>
          <w:rFonts w:ascii="Times New Roman" w:hAnsi="Times New Roman" w:cs="Times New Roman"/>
          <w:color w:val="212529"/>
          <w:sz w:val="24"/>
          <w:szCs w:val="24"/>
          <w:shd w:val="clear" w:color="auto" w:fill="FFFFFF"/>
        </w:rPr>
        <w:t xml:space="preserve"> klimata pārmaiņas ir raksturojusi kā</w:t>
      </w:r>
      <w:r w:rsidR="4CC245FF" w:rsidRPr="00651B1C">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mūsu laika noteicoš</w:t>
      </w:r>
      <w:r w:rsidR="2ECD26A8" w:rsidRPr="00651B1C">
        <w:rPr>
          <w:rFonts w:ascii="Times New Roman" w:hAnsi="Times New Roman" w:cs="Times New Roman"/>
          <w:color w:val="212529"/>
          <w:sz w:val="24"/>
          <w:szCs w:val="24"/>
          <w:shd w:val="clear" w:color="auto" w:fill="FFFFFF"/>
        </w:rPr>
        <w:t>o</w:t>
      </w:r>
      <w:r w:rsidRPr="00651B1C">
        <w:rPr>
          <w:rFonts w:ascii="Times New Roman" w:hAnsi="Times New Roman" w:cs="Times New Roman"/>
          <w:color w:val="212529"/>
          <w:sz w:val="24"/>
          <w:szCs w:val="24"/>
          <w:shd w:val="clear" w:color="auto" w:fill="FFFFFF"/>
        </w:rPr>
        <w:t xml:space="preserve"> krīz</w:t>
      </w:r>
      <w:r w:rsidR="2ECD26A8" w:rsidRPr="00651B1C">
        <w:rPr>
          <w:rFonts w:ascii="Times New Roman" w:hAnsi="Times New Roman" w:cs="Times New Roman"/>
          <w:color w:val="212529"/>
          <w:sz w:val="24"/>
          <w:szCs w:val="24"/>
          <w:shd w:val="clear" w:color="auto" w:fill="FFFFFF"/>
        </w:rPr>
        <w:t>i</w:t>
      </w:r>
      <w:r w:rsidR="4CC245FF" w:rsidRPr="00651B1C">
        <w:rPr>
          <w:rFonts w:ascii="Times New Roman" w:hAnsi="Times New Roman" w:cs="Times New Roman"/>
          <w:color w:val="212529"/>
          <w:sz w:val="24"/>
          <w:szCs w:val="24"/>
          <w:shd w:val="clear" w:color="auto" w:fill="FFFFFF"/>
        </w:rPr>
        <w:t>”</w:t>
      </w:r>
      <w:r w:rsidR="009879EB" w:rsidRPr="00651B1C">
        <w:rPr>
          <w:rStyle w:val="FootnoteReference"/>
          <w:rFonts w:ascii="Times New Roman" w:hAnsi="Times New Roman" w:cs="Times New Roman"/>
          <w:color w:val="212529"/>
          <w:sz w:val="24"/>
          <w:szCs w:val="24"/>
          <w:shd w:val="clear" w:color="auto" w:fill="FFFFFF"/>
        </w:rPr>
        <w:footnoteReference w:id="81"/>
      </w:r>
      <w:r w:rsidR="2ECD26A8" w:rsidRPr="00651B1C">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 xml:space="preserve">Globālās temperatūras pieauguma ierobežošanai ir nepieciešama visaptveroša visu pasaules valstu rīcība </w:t>
      </w:r>
      <w:r w:rsidR="00F5301D">
        <w:rPr>
          <w:rFonts w:ascii="Times New Roman" w:hAnsi="Times New Roman" w:cs="Times New Roman"/>
          <w:color w:val="212529"/>
          <w:sz w:val="24"/>
          <w:szCs w:val="24"/>
          <w:shd w:val="clear" w:color="auto" w:fill="FFFFFF"/>
        </w:rPr>
        <w:t xml:space="preserve">siltumnīcefekta gāzu (turpmāk – </w:t>
      </w:r>
      <w:r w:rsidRPr="00651B1C">
        <w:rPr>
          <w:rFonts w:ascii="Times New Roman" w:hAnsi="Times New Roman" w:cs="Times New Roman"/>
          <w:color w:val="212529"/>
          <w:sz w:val="24"/>
          <w:szCs w:val="24"/>
          <w:shd w:val="clear" w:color="auto" w:fill="FFFFFF"/>
        </w:rPr>
        <w:t>SEG</w:t>
      </w:r>
      <w:r w:rsidR="00F5301D">
        <w:rPr>
          <w:rFonts w:ascii="Times New Roman" w:hAnsi="Times New Roman" w:cs="Times New Roman"/>
          <w:color w:val="212529"/>
          <w:sz w:val="24"/>
          <w:szCs w:val="24"/>
          <w:shd w:val="clear" w:color="auto" w:fill="FFFFFF"/>
        </w:rPr>
        <w:t>)</w:t>
      </w:r>
      <w:r w:rsidR="4CA2FB08" w:rsidRPr="00651B1C">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emisiju samazināšanā</w:t>
      </w:r>
      <w:r w:rsidR="2ECD26A8" w:rsidRPr="00651B1C">
        <w:rPr>
          <w:rFonts w:ascii="Times New Roman" w:hAnsi="Times New Roman" w:cs="Times New Roman"/>
          <w:color w:val="212529"/>
          <w:sz w:val="24"/>
          <w:szCs w:val="24"/>
          <w:shd w:val="clear" w:color="auto" w:fill="FFFFFF"/>
        </w:rPr>
        <w:t xml:space="preserve"> un Latvija aktīvi piedalās šī mērķa sasniegšanā. </w:t>
      </w:r>
    </w:p>
    <w:p w14:paraId="680226E0" w14:textId="561C029C" w:rsidR="00311967" w:rsidRPr="00651B1C" w:rsidRDefault="00311967" w:rsidP="002601DB">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Vienlaicīgi Krievijas uzsāktās agresijas pret Ukrainu negatīvie efekti uz pasauli un Latvij</w:t>
      </w:r>
      <w:r w:rsidR="003E37C4"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xml:space="preserve"> caur energoresursu pieejamību un attiecīgi </w:t>
      </w:r>
      <w:r w:rsidR="001A05DC" w:rsidRPr="00651B1C">
        <w:rPr>
          <w:rFonts w:ascii="Times New Roman" w:hAnsi="Times New Roman" w:cs="Times New Roman"/>
          <w:color w:val="212529"/>
          <w:sz w:val="24"/>
          <w:szCs w:val="24"/>
          <w:shd w:val="clear" w:color="auto" w:fill="FFFFFF"/>
        </w:rPr>
        <w:t>izmaiņām to cenās</w:t>
      </w:r>
      <w:r w:rsidRPr="00651B1C">
        <w:rPr>
          <w:rFonts w:ascii="Times New Roman" w:hAnsi="Times New Roman" w:cs="Times New Roman"/>
          <w:color w:val="212529"/>
          <w:sz w:val="24"/>
          <w:szCs w:val="24"/>
          <w:shd w:val="clear" w:color="auto" w:fill="FFFFFF"/>
        </w:rPr>
        <w:t xml:space="preserve"> lika skaidri apzināties būtiskās ievainojamības mūsdienu Ziemeļatlantijas alianses un Eiropas drošības sistēmā. Šajā kontekstā </w:t>
      </w:r>
      <w:r w:rsidR="003E37C4" w:rsidRPr="00651B1C">
        <w:rPr>
          <w:rFonts w:ascii="Times New Roman" w:hAnsi="Times New Roman" w:cs="Times New Roman"/>
          <w:color w:val="212529"/>
          <w:sz w:val="24"/>
          <w:szCs w:val="24"/>
          <w:shd w:val="clear" w:color="auto" w:fill="FFFFFF"/>
        </w:rPr>
        <w:t xml:space="preserve">klimata pārmaiņu mazināšana un </w:t>
      </w:r>
      <w:r w:rsidRPr="00651B1C">
        <w:rPr>
          <w:rFonts w:ascii="Times New Roman" w:hAnsi="Times New Roman" w:cs="Times New Roman"/>
          <w:color w:val="212529"/>
          <w:sz w:val="24"/>
          <w:szCs w:val="24"/>
          <w:shd w:val="clear" w:color="auto" w:fill="FFFFFF"/>
        </w:rPr>
        <w:t>pielāgošanās klimata pārmaiņām sniedz iespēju pārveidot līdzšinējo sistēmu, lai nodrošinātu ne tikai l</w:t>
      </w:r>
      <w:r w:rsidR="001A05DC" w:rsidRPr="00651B1C">
        <w:rPr>
          <w:rFonts w:ascii="Times New Roman" w:hAnsi="Times New Roman" w:cs="Times New Roman"/>
          <w:color w:val="212529"/>
          <w:sz w:val="24"/>
          <w:szCs w:val="24"/>
          <w:shd w:val="clear" w:color="auto" w:fill="FFFFFF"/>
        </w:rPr>
        <w:t>abklājības potenciālā līmeņa sasniegšanu, bet arī stiprinātu labklājības pamatu – drošību un suverenitāti</w:t>
      </w:r>
      <w:r w:rsidR="0025199B">
        <w:rPr>
          <w:rFonts w:ascii="Times New Roman" w:hAnsi="Times New Roman" w:cs="Times New Roman"/>
          <w:color w:val="212529"/>
          <w:sz w:val="24"/>
          <w:szCs w:val="24"/>
          <w:shd w:val="clear" w:color="auto" w:fill="FFFFFF"/>
        </w:rPr>
        <w:t>, mazinot importa atkarību no fosilajiem energoresursiem. Latvijas gadījumā klimata politikas jautājumi ne tikai sniedz ieguldījumu globālo klimata izaicinājumu risināšanā un vides kvalitātes uzlabošanā, bet tas ir arī būtisks drošības un ekonomikas attīstības veicināšanas instruments</w:t>
      </w:r>
      <w:r w:rsidR="001A05DC" w:rsidRPr="00651B1C">
        <w:rPr>
          <w:rFonts w:ascii="Times New Roman" w:hAnsi="Times New Roman" w:cs="Times New Roman"/>
          <w:color w:val="212529"/>
          <w:sz w:val="24"/>
          <w:szCs w:val="24"/>
          <w:shd w:val="clear" w:color="auto" w:fill="FFFFFF"/>
        </w:rPr>
        <w:t>.</w:t>
      </w:r>
    </w:p>
    <w:p w14:paraId="7D276E7C" w14:textId="1D5E03C8" w:rsidR="00815B9F" w:rsidRDefault="00815B9F" w:rsidP="00184EAD">
      <w:pPr>
        <w:spacing w:after="0" w:line="240" w:lineRule="auto"/>
        <w:ind w:firstLine="720"/>
        <w:jc w:val="both"/>
        <w:rPr>
          <w:rFonts w:ascii="Times New Roman" w:hAnsi="Times New Roman" w:cs="Times New Roman"/>
          <w:color w:val="212529"/>
          <w:sz w:val="24"/>
          <w:szCs w:val="24"/>
          <w:shd w:val="clear" w:color="auto" w:fill="FFFFFF"/>
        </w:rPr>
      </w:pPr>
      <w:r w:rsidRPr="00B73438">
        <w:rPr>
          <w:rFonts w:ascii="Times New Roman" w:hAnsi="Times New Roman" w:cs="Times New Roman"/>
          <w:color w:val="212529"/>
          <w:sz w:val="24"/>
          <w:szCs w:val="24"/>
          <w:shd w:val="clear" w:color="auto" w:fill="FFFFFF"/>
        </w:rPr>
        <w:t xml:space="preserve">Klimata pārmaiņas un saistības, ko Latvija ir uzņēmusies saistībā ar klimata pārmaiņu samazināšanu tieši un netieši </w:t>
      </w:r>
      <w:r w:rsidR="00B74405" w:rsidRPr="009E1160">
        <w:rPr>
          <w:rFonts w:ascii="Times New Roman" w:hAnsi="Times New Roman" w:cs="Times New Roman"/>
          <w:color w:val="212529"/>
          <w:sz w:val="24"/>
          <w:szCs w:val="24"/>
          <w:shd w:val="clear" w:color="auto" w:fill="FFFFFF"/>
        </w:rPr>
        <w:t>ietekmē Latvijas publiskās finanses</w:t>
      </w:r>
      <w:r>
        <w:rPr>
          <w:rFonts w:ascii="Times New Roman" w:hAnsi="Times New Roman" w:cs="Times New Roman"/>
          <w:color w:val="212529"/>
          <w:sz w:val="24"/>
          <w:szCs w:val="24"/>
          <w:shd w:val="clear" w:color="auto" w:fill="FFFFFF"/>
        </w:rPr>
        <w:t xml:space="preserve">. </w:t>
      </w:r>
      <w:r w:rsidR="00212563" w:rsidRPr="00651B1C">
        <w:rPr>
          <w:rFonts w:ascii="Times New Roman" w:hAnsi="Times New Roman" w:cs="Times New Roman"/>
          <w:color w:val="212529"/>
          <w:sz w:val="24"/>
          <w:szCs w:val="24"/>
          <w:shd w:val="clear" w:color="auto" w:fill="FFFFFF"/>
        </w:rPr>
        <w:t>Klimata pārmaiņu ietekm</w:t>
      </w:r>
      <w:r w:rsidR="0025199B">
        <w:rPr>
          <w:rFonts w:ascii="Times New Roman" w:hAnsi="Times New Roman" w:cs="Times New Roman"/>
          <w:color w:val="212529"/>
          <w:sz w:val="24"/>
          <w:szCs w:val="24"/>
          <w:shd w:val="clear" w:color="auto" w:fill="FFFFFF"/>
        </w:rPr>
        <w:t>i</w:t>
      </w:r>
      <w:r w:rsidR="00212563" w:rsidRPr="00651B1C">
        <w:rPr>
          <w:rFonts w:ascii="Times New Roman" w:hAnsi="Times New Roman" w:cs="Times New Roman"/>
          <w:color w:val="212529"/>
          <w:sz w:val="24"/>
          <w:szCs w:val="24"/>
          <w:shd w:val="clear" w:color="auto" w:fill="FFFFFF"/>
        </w:rPr>
        <w:t xml:space="preserve"> nepieciešams risināt ar apņēmīgu rīcību un ievērojamiem ieguldījumiem, lai transformētu cilvēku paradumus un tautsaimniecības struktūru klimatneitrālai nākotnei</w:t>
      </w:r>
      <w:r w:rsidR="0025199B">
        <w:rPr>
          <w:rFonts w:ascii="Times New Roman" w:hAnsi="Times New Roman" w:cs="Times New Roman"/>
          <w:color w:val="212529"/>
          <w:sz w:val="24"/>
          <w:szCs w:val="24"/>
          <w:shd w:val="clear" w:color="auto" w:fill="FFFFFF"/>
        </w:rPr>
        <w:t xml:space="preserve"> </w:t>
      </w:r>
      <w:r w:rsidR="0025199B" w:rsidRPr="790C4DEE">
        <w:rPr>
          <w:rFonts w:ascii="Times New Roman" w:hAnsi="Times New Roman" w:cs="Times New Roman"/>
          <w:color w:val="212529"/>
          <w:sz w:val="24"/>
          <w:szCs w:val="24"/>
        </w:rPr>
        <w:t>un lielāk</w:t>
      </w:r>
      <w:r w:rsidR="00F5301D">
        <w:rPr>
          <w:rFonts w:ascii="Times New Roman" w:hAnsi="Times New Roman" w:cs="Times New Roman"/>
          <w:color w:val="212529"/>
          <w:sz w:val="24"/>
          <w:szCs w:val="24"/>
        </w:rPr>
        <w:t>a</w:t>
      </w:r>
      <w:r w:rsidR="0025199B" w:rsidRPr="790C4DEE">
        <w:rPr>
          <w:rFonts w:ascii="Times New Roman" w:hAnsi="Times New Roman" w:cs="Times New Roman"/>
          <w:color w:val="212529"/>
          <w:sz w:val="24"/>
          <w:szCs w:val="24"/>
        </w:rPr>
        <w:t>s ekonomiskās pievienotās vērtības radīšanai, veicinot jaunu darba vietu izveidi</w:t>
      </w:r>
      <w:r w:rsidR="00212563" w:rsidRPr="00651B1C">
        <w:rPr>
          <w:rFonts w:ascii="Times New Roman" w:hAnsi="Times New Roman" w:cs="Times New Roman"/>
          <w:color w:val="212529"/>
          <w:sz w:val="24"/>
          <w:szCs w:val="24"/>
          <w:shd w:val="clear" w:color="auto" w:fill="FFFFFF"/>
        </w:rPr>
        <w:t>. Līdz ar to tā nav uzskatāma par fiskālo risku FDL ietvaros, bet vienlaicīgi atbildīgas un uz nākotni vērstas valsts pienākums ir neatstāt novārtā šo izaicinājumu</w:t>
      </w:r>
      <w:r w:rsidR="00EA2840">
        <w:rPr>
          <w:rFonts w:ascii="Times New Roman" w:hAnsi="Times New Roman" w:cs="Times New Roman"/>
          <w:color w:val="212529"/>
          <w:sz w:val="24"/>
          <w:szCs w:val="24"/>
          <w:shd w:val="clear" w:color="auto" w:fill="FFFFFF"/>
        </w:rPr>
        <w:t xml:space="preserve"> </w:t>
      </w:r>
      <w:r w:rsidR="00FD11E8" w:rsidRPr="790C4DEE">
        <w:rPr>
          <w:rFonts w:ascii="Times New Roman" w:hAnsi="Times New Roman" w:cs="Times New Roman"/>
          <w:color w:val="212529"/>
          <w:sz w:val="24"/>
          <w:szCs w:val="24"/>
        </w:rPr>
        <w:t>un ietekmi, ko tā rada uz valsts publiskajām finansēm</w:t>
      </w:r>
      <w:r w:rsidR="00EA2840">
        <w:rPr>
          <w:rFonts w:ascii="Times New Roman" w:hAnsi="Times New Roman" w:cs="Times New Roman"/>
          <w:color w:val="212529"/>
          <w:sz w:val="24"/>
          <w:szCs w:val="24"/>
        </w:rPr>
        <w:t>.</w:t>
      </w:r>
      <w:r w:rsidR="00FD11E8">
        <w:rPr>
          <w:rFonts w:ascii="Times New Roman" w:hAnsi="Times New Roman" w:cs="Times New Roman"/>
          <w:color w:val="212529"/>
          <w:sz w:val="24"/>
          <w:szCs w:val="24"/>
          <w:shd w:val="clear" w:color="auto" w:fill="FFFFFF"/>
        </w:rPr>
        <w:t xml:space="preserve"> </w:t>
      </w:r>
      <w:r w:rsidR="00212563" w:rsidRPr="00651B1C">
        <w:rPr>
          <w:rFonts w:ascii="Times New Roman" w:hAnsi="Times New Roman" w:cs="Times New Roman"/>
          <w:color w:val="212529"/>
          <w:sz w:val="24"/>
          <w:szCs w:val="24"/>
          <w:shd w:val="clear" w:color="auto" w:fill="FFFFFF"/>
        </w:rPr>
        <w:t>Tādējādi</w:t>
      </w:r>
      <w:r w:rsidR="00586E18">
        <w:rPr>
          <w:rFonts w:ascii="Times New Roman" w:hAnsi="Times New Roman" w:cs="Times New Roman"/>
          <w:color w:val="212529"/>
          <w:sz w:val="24"/>
          <w:szCs w:val="24"/>
          <w:shd w:val="clear" w:color="auto" w:fill="FFFFFF"/>
        </w:rPr>
        <w:t xml:space="preserve"> kopš 2023. gada</w:t>
      </w:r>
      <w:r w:rsidR="00212563" w:rsidRPr="00651B1C">
        <w:rPr>
          <w:rFonts w:ascii="Times New Roman" w:hAnsi="Times New Roman" w:cs="Times New Roman"/>
          <w:color w:val="212529"/>
          <w:sz w:val="24"/>
          <w:szCs w:val="24"/>
          <w:shd w:val="clear" w:color="auto" w:fill="FFFFFF"/>
        </w:rPr>
        <w:t xml:space="preserve"> deklarācijas ietvaros izveidota jauna sadaļa,</w:t>
      </w:r>
      <w:r w:rsidR="00AE48DE">
        <w:rPr>
          <w:rFonts w:ascii="Times New Roman" w:hAnsi="Times New Roman" w:cs="Times New Roman"/>
          <w:color w:val="212529"/>
          <w:sz w:val="24"/>
          <w:szCs w:val="24"/>
          <w:shd w:val="clear" w:color="auto" w:fill="FFFFFF"/>
        </w:rPr>
        <w:t xml:space="preserve"> kas šogad tiek paplašināta,</w:t>
      </w:r>
      <w:r w:rsidR="00212563" w:rsidRPr="00651B1C">
        <w:rPr>
          <w:rFonts w:ascii="Times New Roman" w:hAnsi="Times New Roman" w:cs="Times New Roman"/>
          <w:color w:val="212529"/>
          <w:sz w:val="24"/>
          <w:szCs w:val="24"/>
          <w:shd w:val="clear" w:color="auto" w:fill="FFFFFF"/>
        </w:rPr>
        <w:t xml:space="preserve"> kas aplūko klimata pārmaiņu ietekmi uz Latvijas fiskālo perspektīvu</w:t>
      </w:r>
      <w:r w:rsidR="00145E8F">
        <w:rPr>
          <w:rFonts w:ascii="Times New Roman" w:hAnsi="Times New Roman" w:cs="Times New Roman"/>
          <w:color w:val="212529"/>
          <w:sz w:val="24"/>
          <w:szCs w:val="24"/>
          <w:shd w:val="clear" w:color="auto" w:fill="FFFFFF"/>
        </w:rPr>
        <w:t>.</w:t>
      </w:r>
    </w:p>
    <w:p w14:paraId="72626595" w14:textId="14792B31" w:rsidR="00B74405" w:rsidRDefault="00586E18" w:rsidP="00985A0E">
      <w:pPr>
        <w:spacing w:after="0" w:line="240" w:lineRule="auto"/>
        <w:ind w:firstLine="720"/>
        <w:jc w:val="both"/>
        <w:rPr>
          <w:rFonts w:ascii="Times New Roman" w:hAnsi="Times New Roman" w:cs="Times New Roman"/>
          <w:color w:val="212529"/>
          <w:sz w:val="24"/>
          <w:szCs w:val="24"/>
        </w:rPr>
      </w:pPr>
      <w:r w:rsidRPr="790C4DEE">
        <w:rPr>
          <w:rFonts w:ascii="Times New Roman" w:hAnsi="Times New Roman" w:cs="Times New Roman"/>
          <w:color w:val="212529"/>
          <w:sz w:val="24"/>
          <w:szCs w:val="24"/>
        </w:rPr>
        <w:t>Ilgtermiņā virzībai uz klimatneitralitāti ir izteikti pozitīva ietekme uz Latvijas tautsaimniecību, pozitīvo efektu nodrošinot trīs virzienos: (1) mazinot zaudējumus no ekstrēmiem laika apstākļiem, uzlabojot infrastruktūras izturētspēju (2) uzlabojot produktivitāti, ieviešot efektivitātes pasākumus (3) attīstot jaun</w:t>
      </w:r>
      <w:r w:rsidRPr="24B85161">
        <w:rPr>
          <w:rFonts w:ascii="Times New Roman" w:hAnsi="Times New Roman" w:cs="Times New Roman"/>
          <w:color w:val="212529"/>
          <w:sz w:val="24"/>
          <w:szCs w:val="24"/>
        </w:rPr>
        <w:t>a</w:t>
      </w:r>
      <w:r w:rsidRPr="790C4DEE">
        <w:rPr>
          <w:rFonts w:ascii="Times New Roman" w:hAnsi="Times New Roman" w:cs="Times New Roman"/>
          <w:color w:val="212529"/>
          <w:sz w:val="24"/>
          <w:szCs w:val="24"/>
        </w:rPr>
        <w:t>s biznesa nišas klimatneitrāliem risinājumiem, piemēram, bioekonomikas u.c. jomās, jēgpilni izmantojot iestrādes tehnoloģiskos klimatneitralitātes ris</w:t>
      </w:r>
      <w:r w:rsidR="00887BCA">
        <w:rPr>
          <w:rFonts w:ascii="Times New Roman" w:hAnsi="Times New Roman" w:cs="Times New Roman"/>
          <w:color w:val="212529"/>
          <w:sz w:val="24"/>
          <w:szCs w:val="24"/>
        </w:rPr>
        <w:t>i</w:t>
      </w:r>
      <w:r w:rsidRPr="790C4DEE">
        <w:rPr>
          <w:rFonts w:ascii="Times New Roman" w:hAnsi="Times New Roman" w:cs="Times New Roman"/>
          <w:color w:val="212529"/>
          <w:sz w:val="24"/>
          <w:szCs w:val="24"/>
        </w:rPr>
        <w:t>nājumos, t.sk. vietējos ilgtspējīg</w:t>
      </w:r>
      <w:r w:rsidRPr="24B85161">
        <w:rPr>
          <w:rFonts w:ascii="Times New Roman" w:hAnsi="Times New Roman" w:cs="Times New Roman"/>
          <w:color w:val="212529"/>
          <w:sz w:val="24"/>
          <w:szCs w:val="24"/>
        </w:rPr>
        <w:t>o</w:t>
      </w:r>
      <w:r w:rsidRPr="790C4DEE">
        <w:rPr>
          <w:rFonts w:ascii="Times New Roman" w:hAnsi="Times New Roman" w:cs="Times New Roman"/>
          <w:color w:val="212529"/>
          <w:sz w:val="24"/>
          <w:szCs w:val="24"/>
        </w:rPr>
        <w:t>s resursus, ar kuriem Latvija ir bagāta.</w:t>
      </w:r>
      <w:r w:rsidR="00184EAD">
        <w:rPr>
          <w:rFonts w:ascii="Times New Roman" w:hAnsi="Times New Roman" w:cs="Times New Roman"/>
          <w:color w:val="212529"/>
          <w:sz w:val="24"/>
          <w:szCs w:val="24"/>
        </w:rPr>
        <w:t xml:space="preserve"> </w:t>
      </w:r>
    </w:p>
    <w:p w14:paraId="74B64101" w14:textId="7A8171A6" w:rsidR="00AE48DE" w:rsidRPr="00765470" w:rsidRDefault="005A3FF5" w:rsidP="005A3FF5">
      <w:pPr>
        <w:pStyle w:val="Heading2"/>
        <w:numPr>
          <w:ilvl w:val="1"/>
          <w:numId w:val="4"/>
        </w:numPr>
        <w:jc w:val="left"/>
      </w:pPr>
      <w:r>
        <w:t xml:space="preserve"> </w:t>
      </w:r>
      <w:bookmarkStart w:id="358" w:name="_Toc205554436"/>
      <w:r w:rsidR="00AE48DE" w:rsidRPr="00765470">
        <w:t>Klimata pārmaiņu ilgtermiņa ietekme</w:t>
      </w:r>
      <w:bookmarkEnd w:id="358"/>
    </w:p>
    <w:p w14:paraId="0EE8AE70" w14:textId="77777777" w:rsidR="00AE48DE" w:rsidRPr="00765470" w:rsidRDefault="00AE48DE" w:rsidP="00AE48DE">
      <w:pPr>
        <w:spacing w:after="0" w:line="240" w:lineRule="auto"/>
        <w:ind w:firstLine="720"/>
        <w:jc w:val="both"/>
        <w:rPr>
          <w:rFonts w:ascii="Times New Roman" w:hAnsi="Times New Roman" w:cs="Times New Roman"/>
          <w:sz w:val="24"/>
          <w:szCs w:val="24"/>
          <w:highlight w:val="cyan"/>
        </w:rPr>
      </w:pPr>
    </w:p>
    <w:p w14:paraId="7F805537" w14:textId="139C3A02" w:rsidR="00B74405" w:rsidRPr="009E1160" w:rsidRDefault="00B74405" w:rsidP="00B74405">
      <w:pPr>
        <w:spacing w:after="0" w:line="240" w:lineRule="auto"/>
        <w:ind w:firstLine="720"/>
        <w:jc w:val="both"/>
        <w:rPr>
          <w:rFonts w:ascii="Times New Roman" w:hAnsi="Times New Roman" w:cs="Times New Roman"/>
          <w:sz w:val="24"/>
          <w:szCs w:val="24"/>
        </w:rPr>
      </w:pPr>
      <w:r w:rsidRPr="009E1160">
        <w:rPr>
          <w:rFonts w:ascii="Times New Roman" w:hAnsi="Times New Roman" w:cs="Times New Roman"/>
          <w:sz w:val="24"/>
          <w:szCs w:val="24"/>
        </w:rPr>
        <w:t>Klimata pārmaiņu fiskālās ietekmes novērtējums (pat indikatīvs) ir komplicēts un atkarīgs no daudziem faktoriem (piemēram, pašmāju un ārvalstu polit</w:t>
      </w:r>
      <w:r w:rsidR="004F5114">
        <w:rPr>
          <w:rFonts w:ascii="Times New Roman" w:hAnsi="Times New Roman" w:cs="Times New Roman"/>
          <w:sz w:val="24"/>
          <w:szCs w:val="24"/>
        </w:rPr>
        <w:t>ikas</w:t>
      </w:r>
      <w:r w:rsidRPr="009E1160">
        <w:rPr>
          <w:rFonts w:ascii="Times New Roman" w:hAnsi="Times New Roman" w:cs="Times New Roman"/>
          <w:sz w:val="24"/>
          <w:szCs w:val="24"/>
        </w:rPr>
        <w:t xml:space="preserve"> reakcijas; investīciju sadalījuma starp publisko, mājsaimniecību un uzņēmējdarbības sektoru; ražošanas faktoru izmaksām; inovācijām un tehnoloģiskā progresa). Ekonomiski spēcīgākās un attīstītākās valstis, kā arī kopējās globālās tendences, kas lielā mērā ir ārpus Latvijas valdības kontroles, izšķirs globālās sasilšanas apjomu, kas savukārt noteiks izmaksas, kas saistītas ar klimata pārmaiņu mazināšanu un pielāgošanos klimata pārmaiņām. Neskatoties uz ievērojamām izmaksām, kas būs nepieciešamas klimata pārmaiņu vadībai, neierobežotām klimata pārmaiņām galu galā būs ievērojamas negatīvas ekonomiskās un fiskālās sekas pasaules mērogā.</w:t>
      </w:r>
    </w:p>
    <w:p w14:paraId="79522A0B" w14:textId="5169F708" w:rsidR="00B74405" w:rsidRPr="009E1160" w:rsidRDefault="00B74405" w:rsidP="00B74405">
      <w:pPr>
        <w:spacing w:after="0" w:line="240" w:lineRule="auto"/>
        <w:ind w:firstLine="720"/>
        <w:jc w:val="both"/>
        <w:rPr>
          <w:rFonts w:ascii="Times New Roman" w:hAnsi="Times New Roman" w:cs="Times New Roman"/>
          <w:sz w:val="24"/>
          <w:szCs w:val="24"/>
        </w:rPr>
      </w:pPr>
      <w:r w:rsidRPr="009E1160">
        <w:rPr>
          <w:rFonts w:ascii="Times New Roman" w:hAnsi="Times New Roman" w:cs="Times New Roman"/>
          <w:sz w:val="24"/>
          <w:szCs w:val="24"/>
        </w:rPr>
        <w:t>Klimata pārmaiņu</w:t>
      </w:r>
      <w:r>
        <w:rPr>
          <w:rFonts w:ascii="Times New Roman" w:hAnsi="Times New Roman" w:cs="Times New Roman"/>
          <w:sz w:val="24"/>
          <w:szCs w:val="24"/>
        </w:rPr>
        <w:t xml:space="preserve"> ilgtermiņa</w:t>
      </w:r>
      <w:r w:rsidRPr="009E1160">
        <w:rPr>
          <w:rFonts w:ascii="Times New Roman" w:hAnsi="Times New Roman" w:cs="Times New Roman"/>
          <w:sz w:val="24"/>
          <w:szCs w:val="24"/>
        </w:rPr>
        <w:t xml:space="preserve"> ietekmi uz vispārējās valdības budžeta primāro bilanci (% no IKP) un uz vispārējas valdības parādu (% no IKP) līdz 2099. gadam pie sešiem dažādiem klimatiskajiem scenārijiem (neskaitot bāzes scenāriju) ir iespējams analizēt ar kvantitatīvā klimata risku novērtējuma fiskālā rīka (</w:t>
      </w:r>
      <w:r w:rsidRPr="009E1160">
        <w:rPr>
          <w:rFonts w:ascii="Times New Roman" w:hAnsi="Times New Roman" w:cs="Times New Roman"/>
          <w:i/>
          <w:iCs/>
          <w:sz w:val="24"/>
          <w:szCs w:val="24"/>
        </w:rPr>
        <w:t xml:space="preserve">Quantitative Climate Risk Assessment Fiscal Tool, </w:t>
      </w:r>
      <w:r w:rsidRPr="009E1160">
        <w:rPr>
          <w:rFonts w:ascii="Times New Roman" w:hAnsi="Times New Roman" w:cs="Times New Roman"/>
          <w:sz w:val="24"/>
          <w:szCs w:val="24"/>
        </w:rPr>
        <w:t xml:space="preserve">turpmāk </w:t>
      </w:r>
      <w:r w:rsidR="005E2F23">
        <w:rPr>
          <w:rFonts w:ascii="Times New Roman" w:hAnsi="Times New Roman" w:cs="Times New Roman"/>
          <w:color w:val="212529"/>
          <w:sz w:val="24"/>
          <w:szCs w:val="24"/>
          <w:shd w:val="clear" w:color="auto" w:fill="FFFFFF"/>
        </w:rPr>
        <w:t>–</w:t>
      </w:r>
      <w:r w:rsidRPr="009E1160">
        <w:rPr>
          <w:rFonts w:ascii="Times New Roman" w:hAnsi="Times New Roman" w:cs="Times New Roman"/>
          <w:sz w:val="24"/>
          <w:szCs w:val="24"/>
        </w:rPr>
        <w:t xml:space="preserve"> Q-CRAFT)</w:t>
      </w:r>
      <w:r w:rsidRPr="009E1160">
        <w:rPr>
          <w:rStyle w:val="FootnoteReference"/>
          <w:rFonts w:ascii="Times New Roman" w:hAnsi="Times New Roman" w:cs="Times New Roman"/>
          <w:sz w:val="24"/>
          <w:szCs w:val="24"/>
        </w:rPr>
        <w:footnoteReference w:id="82"/>
      </w:r>
      <w:r w:rsidRPr="009E1160">
        <w:rPr>
          <w:rFonts w:ascii="Times New Roman" w:hAnsi="Times New Roman" w:cs="Times New Roman"/>
          <w:sz w:val="24"/>
          <w:szCs w:val="24"/>
        </w:rPr>
        <w:t xml:space="preserve"> palīdzību. Q-CRAFT ir publiski pieejams Starptautiskā Valūtas fonda (SVF) izstrādāts rīks, kas </w:t>
      </w:r>
      <w:r w:rsidR="00915D57">
        <w:rPr>
          <w:rFonts w:ascii="Times New Roman" w:hAnsi="Times New Roman" w:cs="Times New Roman"/>
          <w:sz w:val="24"/>
          <w:szCs w:val="24"/>
        </w:rPr>
        <w:t>ļauj</w:t>
      </w:r>
      <w:r w:rsidRPr="009E1160">
        <w:rPr>
          <w:rFonts w:ascii="Times New Roman" w:hAnsi="Times New Roman" w:cs="Times New Roman"/>
          <w:sz w:val="24"/>
          <w:szCs w:val="24"/>
        </w:rPr>
        <w:t xml:space="preserve"> kvantitatīvi novērtēt klimata pārmaiņu radītos fiskālos riskus ilgtermiņā</w:t>
      </w:r>
      <w:r w:rsidRPr="009E1160">
        <w:rPr>
          <w:rStyle w:val="FootnoteReference"/>
          <w:rFonts w:ascii="Times New Roman" w:hAnsi="Times New Roman" w:cs="Times New Roman"/>
          <w:sz w:val="24"/>
          <w:szCs w:val="24"/>
        </w:rPr>
        <w:footnoteReference w:id="83"/>
      </w:r>
      <w:r w:rsidRPr="009E1160">
        <w:rPr>
          <w:rFonts w:ascii="Times New Roman" w:hAnsi="Times New Roman" w:cs="Times New Roman"/>
          <w:sz w:val="24"/>
          <w:szCs w:val="24"/>
        </w:rPr>
        <w:t xml:space="preserve">. </w:t>
      </w:r>
      <w:r w:rsidR="005E2F23">
        <w:rPr>
          <w:rFonts w:ascii="Times New Roman" w:hAnsi="Times New Roman" w:cs="Times New Roman"/>
          <w:sz w:val="24"/>
          <w:szCs w:val="24"/>
        </w:rPr>
        <w:t xml:space="preserve">Turpmākā modeļa attīstībā un pielietošanā FM saņēma </w:t>
      </w:r>
      <w:r w:rsidRPr="00E920C5">
        <w:rPr>
          <w:rFonts w:ascii="Times New Roman" w:hAnsi="Times New Roman" w:cs="Times New Roman"/>
          <w:sz w:val="24"/>
          <w:szCs w:val="24"/>
        </w:rPr>
        <w:t xml:space="preserve">KEM </w:t>
      </w:r>
      <w:r w:rsidR="005E2F23">
        <w:rPr>
          <w:rFonts w:ascii="Times New Roman" w:hAnsi="Times New Roman" w:cs="Times New Roman"/>
          <w:sz w:val="24"/>
          <w:szCs w:val="24"/>
        </w:rPr>
        <w:t>ieteikumu</w:t>
      </w:r>
      <w:r w:rsidR="005E2F23" w:rsidRPr="00E920C5">
        <w:rPr>
          <w:rFonts w:ascii="Times New Roman" w:hAnsi="Times New Roman" w:cs="Times New Roman"/>
          <w:sz w:val="24"/>
          <w:szCs w:val="24"/>
        </w:rPr>
        <w:t xml:space="preserve"> </w:t>
      </w:r>
      <w:r w:rsidRPr="00E920C5">
        <w:rPr>
          <w:rFonts w:ascii="Times New Roman" w:hAnsi="Times New Roman" w:cs="Times New Roman"/>
          <w:sz w:val="24"/>
          <w:szCs w:val="24"/>
        </w:rPr>
        <w:t>nākotnē izvērtē</w:t>
      </w:r>
      <w:r w:rsidR="00E920C5">
        <w:rPr>
          <w:rFonts w:ascii="Times New Roman" w:hAnsi="Times New Roman" w:cs="Times New Roman"/>
          <w:sz w:val="24"/>
          <w:szCs w:val="24"/>
        </w:rPr>
        <w:t>t</w:t>
      </w:r>
      <w:r w:rsidRPr="00E920C5">
        <w:rPr>
          <w:rFonts w:ascii="Times New Roman" w:hAnsi="Times New Roman" w:cs="Times New Roman"/>
          <w:sz w:val="24"/>
          <w:szCs w:val="24"/>
        </w:rPr>
        <w:t xml:space="preserve"> iespēj</w:t>
      </w:r>
      <w:r w:rsidR="00E920C5">
        <w:rPr>
          <w:rFonts w:ascii="Times New Roman" w:hAnsi="Times New Roman" w:cs="Times New Roman"/>
          <w:sz w:val="24"/>
          <w:szCs w:val="24"/>
        </w:rPr>
        <w:t>u</w:t>
      </w:r>
      <w:r w:rsidRPr="00E920C5">
        <w:rPr>
          <w:rFonts w:ascii="Times New Roman" w:hAnsi="Times New Roman" w:cs="Times New Roman"/>
          <w:sz w:val="24"/>
          <w:szCs w:val="24"/>
        </w:rPr>
        <w:t xml:space="preserve"> izmantot LVĢMC modelētos klimata scenārijus specifiski Latvijai, kas varētu uzlabot prognožu precizitāti.</w:t>
      </w:r>
    </w:p>
    <w:p w14:paraId="6023ECFE" w14:textId="20ADF8C2" w:rsidR="00B74405" w:rsidRDefault="00B74405" w:rsidP="00B74405">
      <w:pPr>
        <w:spacing w:after="0" w:line="240" w:lineRule="auto"/>
        <w:ind w:firstLine="720"/>
        <w:jc w:val="both"/>
        <w:rPr>
          <w:rFonts w:ascii="Times New Roman" w:hAnsi="Times New Roman" w:cs="Times New Roman"/>
          <w:sz w:val="24"/>
          <w:szCs w:val="24"/>
        </w:rPr>
      </w:pPr>
      <w:r w:rsidRPr="009E1160">
        <w:rPr>
          <w:rFonts w:ascii="Times New Roman" w:hAnsi="Times New Roman" w:cs="Times New Roman"/>
          <w:sz w:val="24"/>
          <w:szCs w:val="24"/>
        </w:rPr>
        <w:t>Klimata scenāriji galvenokārt prognozē vidējās temperatūras izmaiņas</w:t>
      </w:r>
      <w:r>
        <w:rPr>
          <w:rFonts w:ascii="Times New Roman" w:hAnsi="Times New Roman" w:cs="Times New Roman"/>
          <w:sz w:val="24"/>
          <w:szCs w:val="24"/>
        </w:rPr>
        <w:t xml:space="preserve"> pasaulē,</w:t>
      </w:r>
      <w:r w:rsidRPr="009E1160">
        <w:rPr>
          <w:rFonts w:ascii="Times New Roman" w:hAnsi="Times New Roman" w:cs="Times New Roman"/>
          <w:sz w:val="24"/>
          <w:szCs w:val="24"/>
        </w:rPr>
        <w:t xml:space="preserve"> no kurām tiek aprēķināta ietekme uz darbaspēka produktivitāti, balstoties uz vēsturiskām sakarībām starp temperatūras svārstībām un ekonomiskajiem rādītājiem. </w:t>
      </w:r>
    </w:p>
    <w:p w14:paraId="41C420C4" w14:textId="77777777" w:rsidR="00915D57" w:rsidRPr="009E1160" w:rsidRDefault="00915D57" w:rsidP="00915D57">
      <w:pPr>
        <w:spacing w:after="0" w:line="240" w:lineRule="auto"/>
        <w:ind w:firstLine="708"/>
        <w:rPr>
          <w:rFonts w:ascii="Times New Roman" w:hAnsi="Times New Roman" w:cs="Times New Roman"/>
          <w:sz w:val="24"/>
          <w:szCs w:val="24"/>
        </w:rPr>
      </w:pPr>
      <w:r w:rsidRPr="009E1160">
        <w:rPr>
          <w:rFonts w:ascii="Times New Roman" w:hAnsi="Times New Roman" w:cs="Times New Roman"/>
          <w:sz w:val="24"/>
          <w:szCs w:val="24"/>
        </w:rPr>
        <w:t>Modelī iekļautie klimatiskie scenāriji</w:t>
      </w:r>
      <w:r>
        <w:rPr>
          <w:rStyle w:val="FootnoteReference"/>
          <w:rFonts w:ascii="Times New Roman" w:hAnsi="Times New Roman" w:cs="Times New Roman"/>
          <w:sz w:val="24"/>
          <w:szCs w:val="24"/>
        </w:rPr>
        <w:footnoteReference w:id="84"/>
      </w:r>
      <w:r w:rsidRPr="009E1160">
        <w:rPr>
          <w:rFonts w:ascii="Times New Roman" w:hAnsi="Times New Roman" w:cs="Times New Roman"/>
          <w:sz w:val="24"/>
          <w:szCs w:val="24"/>
        </w:rPr>
        <w:t>:</w:t>
      </w:r>
    </w:p>
    <w:p w14:paraId="1C29DA65" w14:textId="495E5DE0" w:rsidR="00915D57" w:rsidRPr="009E1160" w:rsidRDefault="00915D57" w:rsidP="00915D57">
      <w:pPr>
        <w:pStyle w:val="ListParagraph"/>
        <w:numPr>
          <w:ilvl w:val="0"/>
          <w:numId w:val="63"/>
        </w:numPr>
        <w:ind w:left="1068"/>
        <w:rPr>
          <w:rFonts w:ascii="Times New Roman" w:hAnsi="Times New Roman"/>
          <w:sz w:val="24"/>
          <w:szCs w:val="24"/>
        </w:rPr>
      </w:pPr>
      <w:r w:rsidRPr="009E1160">
        <w:rPr>
          <w:rFonts w:ascii="Times New Roman" w:hAnsi="Times New Roman"/>
          <w:sz w:val="24"/>
          <w:szCs w:val="24"/>
        </w:rPr>
        <w:t>“Par</w:t>
      </w:r>
      <w:r>
        <w:rPr>
          <w:rFonts w:ascii="Times New Roman" w:hAnsi="Times New Roman"/>
          <w:sz w:val="24"/>
          <w:szCs w:val="24"/>
        </w:rPr>
        <w:t>īzes</w:t>
      </w:r>
      <w:r w:rsidRPr="009E1160">
        <w:rPr>
          <w:rFonts w:ascii="Times New Roman" w:hAnsi="Times New Roman"/>
          <w:sz w:val="24"/>
          <w:szCs w:val="24"/>
        </w:rPr>
        <w:t>” – paredz vidējās temperatūras pieaugumu mazāku par 2</w:t>
      </w:r>
      <w:r w:rsidRPr="009E1160">
        <w:rPr>
          <w:rFonts w:ascii="Times New Roman" w:hAnsi="Times New Roman"/>
          <w:b/>
          <w:bCs/>
          <w:sz w:val="24"/>
          <w:szCs w:val="24"/>
          <w:shd w:val="clear" w:color="auto" w:fill="FAFAFA"/>
        </w:rPr>
        <w:t xml:space="preserve"> </w:t>
      </w:r>
      <w:r w:rsidRPr="009E1160">
        <w:rPr>
          <w:rFonts w:ascii="Times New Roman" w:hAnsi="Times New Roman"/>
          <w:sz w:val="24"/>
          <w:szCs w:val="24"/>
        </w:rPr>
        <w:t>°C, virs pirmsindustriālā līmeņa līdz 2100. gadam</w:t>
      </w:r>
      <w:r>
        <w:rPr>
          <w:rFonts w:ascii="Times New Roman" w:hAnsi="Times New Roman"/>
          <w:sz w:val="24"/>
          <w:szCs w:val="24"/>
        </w:rPr>
        <w:t xml:space="preserve"> </w:t>
      </w:r>
      <w:r w:rsidRPr="00AB293C">
        <w:rPr>
          <w:rFonts w:ascii="Times New Roman" w:hAnsi="Times New Roman"/>
          <w:sz w:val="24"/>
          <w:szCs w:val="24"/>
        </w:rPr>
        <w:t>(~1,8)</w:t>
      </w:r>
      <w:r w:rsidRPr="009E1160">
        <w:rPr>
          <w:rFonts w:ascii="Times New Roman" w:hAnsi="Times New Roman"/>
          <w:sz w:val="24"/>
          <w:szCs w:val="24"/>
        </w:rPr>
        <w:t>, sasniedzot Parīzes nolīguma mērķus</w:t>
      </w:r>
      <w:r>
        <w:rPr>
          <w:rFonts w:ascii="Times New Roman" w:hAnsi="Times New Roman"/>
          <w:sz w:val="24"/>
          <w:szCs w:val="24"/>
        </w:rPr>
        <w:t xml:space="preserve"> (</w:t>
      </w:r>
      <w:r w:rsidRPr="00AB293C">
        <w:rPr>
          <w:rFonts w:ascii="Times New Roman" w:hAnsi="Times New Roman"/>
          <w:sz w:val="24"/>
          <w:szCs w:val="24"/>
        </w:rPr>
        <w:t>veidots uz SSP1-2.6 IPCC scenārija bāzes</w:t>
      </w:r>
      <w:r>
        <w:rPr>
          <w:rFonts w:ascii="Times New Roman" w:hAnsi="Times New Roman"/>
          <w:sz w:val="24"/>
          <w:szCs w:val="24"/>
        </w:rPr>
        <w:t>)</w:t>
      </w:r>
      <w:r w:rsidR="004F5CF3">
        <w:rPr>
          <w:rFonts w:ascii="Times New Roman" w:hAnsi="Times New Roman"/>
          <w:sz w:val="24"/>
          <w:szCs w:val="24"/>
        </w:rPr>
        <w:t xml:space="preserve"> (</w:t>
      </w:r>
      <w:r w:rsidR="004F5CF3" w:rsidRPr="00434FF3">
        <w:rPr>
          <w:rFonts w:ascii="Times New Roman" w:hAnsi="Times New Roman"/>
          <w:sz w:val="24"/>
          <w:szCs w:val="24"/>
        </w:rPr>
        <w:t>angl.</w:t>
      </w:r>
      <w:r w:rsidR="004F5CF3" w:rsidRPr="00434FF3">
        <w:rPr>
          <w:rFonts w:ascii="Times New Roman" w:hAnsi="Times New Roman"/>
          <w:i/>
          <w:iCs/>
          <w:sz w:val="24"/>
          <w:szCs w:val="24"/>
        </w:rPr>
        <w:t xml:space="preserve"> – </w:t>
      </w:r>
      <w:r w:rsidR="004F5CF3">
        <w:rPr>
          <w:rFonts w:ascii="Times New Roman" w:hAnsi="Times New Roman"/>
          <w:i/>
          <w:iCs/>
          <w:sz w:val="24"/>
          <w:szCs w:val="24"/>
        </w:rPr>
        <w:t>“</w:t>
      </w:r>
      <w:r w:rsidR="004F5CF3" w:rsidRPr="00434FF3">
        <w:rPr>
          <w:rFonts w:ascii="Times New Roman" w:hAnsi="Times New Roman"/>
          <w:i/>
          <w:iCs/>
          <w:sz w:val="24"/>
          <w:szCs w:val="24"/>
        </w:rPr>
        <w:t>Paris</w:t>
      </w:r>
      <w:r w:rsidR="004F5CF3">
        <w:rPr>
          <w:rFonts w:ascii="Times New Roman" w:hAnsi="Times New Roman"/>
          <w:i/>
          <w:iCs/>
          <w:sz w:val="24"/>
          <w:szCs w:val="24"/>
        </w:rPr>
        <w:t>”</w:t>
      </w:r>
      <w:r w:rsidR="004F5CF3">
        <w:rPr>
          <w:rFonts w:ascii="Times New Roman" w:hAnsi="Times New Roman"/>
          <w:sz w:val="24"/>
          <w:szCs w:val="24"/>
        </w:rPr>
        <w:t>)</w:t>
      </w:r>
      <w:r w:rsidR="005E2F23">
        <w:rPr>
          <w:rFonts w:ascii="Times New Roman" w:hAnsi="Times New Roman"/>
          <w:sz w:val="24"/>
          <w:szCs w:val="24"/>
        </w:rPr>
        <w:t>;</w:t>
      </w:r>
    </w:p>
    <w:p w14:paraId="0CAC0A58" w14:textId="64924EA8" w:rsidR="00915D57" w:rsidRPr="009E1160" w:rsidRDefault="00915D57" w:rsidP="00915D57">
      <w:pPr>
        <w:pStyle w:val="ListParagraph"/>
        <w:numPr>
          <w:ilvl w:val="0"/>
          <w:numId w:val="63"/>
        </w:numPr>
        <w:ind w:left="1080"/>
        <w:rPr>
          <w:rFonts w:ascii="Times New Roman" w:hAnsi="Times New Roman"/>
          <w:sz w:val="24"/>
          <w:szCs w:val="24"/>
        </w:rPr>
      </w:pPr>
      <w:r w:rsidRPr="009E1160">
        <w:rPr>
          <w:rFonts w:ascii="Times New Roman" w:hAnsi="Times New Roman"/>
          <w:sz w:val="24"/>
          <w:szCs w:val="24"/>
        </w:rPr>
        <w:t>“M</w:t>
      </w:r>
      <w:r>
        <w:rPr>
          <w:rFonts w:ascii="Times New Roman" w:hAnsi="Times New Roman"/>
          <w:sz w:val="24"/>
          <w:szCs w:val="24"/>
        </w:rPr>
        <w:t>ērenais</w:t>
      </w:r>
      <w:r w:rsidRPr="009E1160">
        <w:rPr>
          <w:rFonts w:ascii="Times New Roman" w:hAnsi="Times New Roman"/>
          <w:sz w:val="24"/>
          <w:szCs w:val="24"/>
        </w:rPr>
        <w:t>” – prognozē vidējās temperatūras pieaugumu, kas atbilst 1960.–2014. gada tendencēm, pieaugumam sasniedzot aptuveni 2,7 °C līdz 2100. gadam</w:t>
      </w:r>
      <w:r>
        <w:rPr>
          <w:rFonts w:ascii="Times New Roman" w:hAnsi="Times New Roman"/>
          <w:sz w:val="24"/>
          <w:szCs w:val="24"/>
        </w:rPr>
        <w:t xml:space="preserve"> (</w:t>
      </w:r>
      <w:r w:rsidRPr="00AB293C">
        <w:rPr>
          <w:rFonts w:ascii="Times New Roman" w:hAnsi="Times New Roman"/>
          <w:sz w:val="24"/>
          <w:szCs w:val="24"/>
        </w:rPr>
        <w:t>veidots uz SSP2-4.5 IPCC scenārija bāzes</w:t>
      </w:r>
      <w:r>
        <w:rPr>
          <w:rFonts w:ascii="Times New Roman" w:hAnsi="Times New Roman"/>
          <w:sz w:val="24"/>
          <w:szCs w:val="24"/>
        </w:rPr>
        <w:t>)</w:t>
      </w:r>
      <w:r w:rsidR="004F5CF3" w:rsidRPr="004F5CF3">
        <w:rPr>
          <w:rFonts w:ascii="Times New Roman" w:hAnsi="Times New Roman"/>
          <w:sz w:val="24"/>
          <w:szCs w:val="24"/>
        </w:rPr>
        <w:t xml:space="preserve"> </w:t>
      </w:r>
      <w:r w:rsidR="004F5CF3">
        <w:rPr>
          <w:rFonts w:ascii="Times New Roman" w:hAnsi="Times New Roman"/>
          <w:sz w:val="24"/>
          <w:szCs w:val="24"/>
        </w:rPr>
        <w:t>(angl. – “</w:t>
      </w:r>
      <w:r w:rsidR="004F5CF3" w:rsidRPr="00434FF3">
        <w:rPr>
          <w:rFonts w:ascii="Times New Roman" w:hAnsi="Times New Roman"/>
          <w:i/>
          <w:iCs/>
          <w:sz w:val="24"/>
          <w:szCs w:val="24"/>
        </w:rPr>
        <w:t>Moderate</w:t>
      </w:r>
      <w:r w:rsidR="004F5CF3">
        <w:rPr>
          <w:rFonts w:ascii="Times New Roman" w:hAnsi="Times New Roman"/>
          <w:i/>
          <w:iCs/>
          <w:sz w:val="24"/>
          <w:szCs w:val="24"/>
        </w:rPr>
        <w:t>”</w:t>
      </w:r>
      <w:r w:rsidR="004F5CF3">
        <w:rPr>
          <w:rFonts w:ascii="Times New Roman" w:hAnsi="Times New Roman"/>
          <w:sz w:val="24"/>
          <w:szCs w:val="24"/>
        </w:rPr>
        <w:t>)</w:t>
      </w:r>
      <w:r w:rsidR="004F5CF3" w:rsidRPr="009E1160">
        <w:rPr>
          <w:rFonts w:ascii="Times New Roman" w:hAnsi="Times New Roman"/>
          <w:sz w:val="24"/>
          <w:szCs w:val="24"/>
        </w:rPr>
        <w:t>;</w:t>
      </w:r>
    </w:p>
    <w:p w14:paraId="3F15878B" w14:textId="5B1A0855" w:rsidR="00915D57" w:rsidRPr="009E1160" w:rsidRDefault="00915D57" w:rsidP="00915D57">
      <w:pPr>
        <w:pStyle w:val="ListParagraph"/>
        <w:numPr>
          <w:ilvl w:val="0"/>
          <w:numId w:val="63"/>
        </w:numPr>
        <w:ind w:left="1080"/>
        <w:rPr>
          <w:rFonts w:ascii="Times New Roman" w:hAnsi="Times New Roman"/>
          <w:sz w:val="24"/>
          <w:szCs w:val="24"/>
        </w:rPr>
      </w:pPr>
      <w:r w:rsidRPr="009E1160">
        <w:rPr>
          <w:rFonts w:ascii="Times New Roman" w:hAnsi="Times New Roman"/>
          <w:sz w:val="24"/>
          <w:szCs w:val="24"/>
        </w:rPr>
        <w:t>“</w:t>
      </w:r>
      <w:r>
        <w:rPr>
          <w:rFonts w:ascii="Times New Roman" w:hAnsi="Times New Roman"/>
          <w:sz w:val="24"/>
          <w:szCs w:val="24"/>
        </w:rPr>
        <w:t>Augstais</w:t>
      </w:r>
      <w:r w:rsidRPr="009E1160">
        <w:rPr>
          <w:rFonts w:ascii="Times New Roman" w:hAnsi="Times New Roman"/>
          <w:sz w:val="24"/>
          <w:szCs w:val="24"/>
        </w:rPr>
        <w:t>” – paredz vidējās temperatūras pieaugumu aptuveni 3,6 °C apmērā līdz 2100. gadam</w:t>
      </w:r>
      <w:r>
        <w:rPr>
          <w:rFonts w:ascii="Times New Roman" w:hAnsi="Times New Roman"/>
          <w:sz w:val="24"/>
          <w:szCs w:val="24"/>
        </w:rPr>
        <w:t xml:space="preserve"> (</w:t>
      </w:r>
      <w:r w:rsidRPr="00AB293C">
        <w:rPr>
          <w:rFonts w:ascii="Times New Roman" w:hAnsi="Times New Roman"/>
          <w:sz w:val="24"/>
          <w:szCs w:val="24"/>
        </w:rPr>
        <w:t>veidots uz SSP3-7.0 IPCC scenārija bāzes</w:t>
      </w:r>
      <w:r>
        <w:rPr>
          <w:rFonts w:ascii="Times New Roman" w:hAnsi="Times New Roman"/>
          <w:sz w:val="24"/>
          <w:szCs w:val="24"/>
        </w:rPr>
        <w:t>)</w:t>
      </w:r>
      <w:r w:rsidR="004F5CF3" w:rsidRPr="004F5CF3">
        <w:rPr>
          <w:rFonts w:ascii="Times New Roman" w:hAnsi="Times New Roman"/>
          <w:sz w:val="24"/>
          <w:szCs w:val="24"/>
        </w:rPr>
        <w:t xml:space="preserve"> </w:t>
      </w:r>
      <w:r w:rsidR="004F5CF3">
        <w:rPr>
          <w:rFonts w:ascii="Times New Roman" w:hAnsi="Times New Roman"/>
          <w:sz w:val="24"/>
          <w:szCs w:val="24"/>
        </w:rPr>
        <w:t>(angl. – “</w:t>
      </w:r>
      <w:r w:rsidR="004F5CF3" w:rsidRPr="00434FF3">
        <w:rPr>
          <w:rFonts w:ascii="Times New Roman" w:hAnsi="Times New Roman"/>
          <w:i/>
          <w:iCs/>
          <w:sz w:val="24"/>
          <w:szCs w:val="24"/>
        </w:rPr>
        <w:t>High</w:t>
      </w:r>
      <w:r w:rsidR="004F5CF3">
        <w:rPr>
          <w:rFonts w:ascii="Times New Roman" w:hAnsi="Times New Roman"/>
          <w:i/>
          <w:iCs/>
          <w:sz w:val="24"/>
          <w:szCs w:val="24"/>
        </w:rPr>
        <w:t>”</w:t>
      </w:r>
      <w:r w:rsidR="004F5CF3">
        <w:rPr>
          <w:rFonts w:ascii="Times New Roman" w:hAnsi="Times New Roman"/>
          <w:sz w:val="24"/>
          <w:szCs w:val="24"/>
        </w:rPr>
        <w:t>)</w:t>
      </w:r>
      <w:r w:rsidR="004F5CF3" w:rsidRPr="009E1160">
        <w:rPr>
          <w:rFonts w:ascii="Times New Roman" w:hAnsi="Times New Roman"/>
          <w:sz w:val="24"/>
          <w:szCs w:val="24"/>
        </w:rPr>
        <w:t>;</w:t>
      </w:r>
    </w:p>
    <w:p w14:paraId="37FDB477" w14:textId="4BA9ED39" w:rsidR="00915D57" w:rsidRPr="009E1160" w:rsidRDefault="00915D57" w:rsidP="00915D57">
      <w:pPr>
        <w:pStyle w:val="ListParagraph"/>
        <w:numPr>
          <w:ilvl w:val="0"/>
          <w:numId w:val="63"/>
        </w:numPr>
        <w:ind w:left="1080"/>
        <w:rPr>
          <w:rFonts w:ascii="Times New Roman" w:hAnsi="Times New Roman"/>
          <w:sz w:val="24"/>
          <w:szCs w:val="24"/>
        </w:rPr>
      </w:pPr>
      <w:r w:rsidRPr="009E1160">
        <w:rPr>
          <w:rFonts w:ascii="Times New Roman" w:hAnsi="Times New Roman"/>
          <w:sz w:val="24"/>
          <w:szCs w:val="24"/>
        </w:rPr>
        <w:t>“</w:t>
      </w:r>
      <w:r>
        <w:rPr>
          <w:rFonts w:ascii="Times New Roman" w:hAnsi="Times New Roman"/>
          <w:sz w:val="24"/>
          <w:szCs w:val="24"/>
        </w:rPr>
        <w:t>Karstais</w:t>
      </w:r>
      <w:r w:rsidRPr="009E1160">
        <w:rPr>
          <w:rFonts w:ascii="Times New Roman" w:hAnsi="Times New Roman"/>
          <w:sz w:val="24"/>
          <w:szCs w:val="24"/>
        </w:rPr>
        <w:t>” – paredz vidējas temperatūras pieaugumu aptuveni 4,6 °C apmērā 2100. gadā</w:t>
      </w:r>
      <w:r>
        <w:rPr>
          <w:rFonts w:ascii="Times New Roman" w:hAnsi="Times New Roman"/>
          <w:sz w:val="24"/>
          <w:szCs w:val="24"/>
        </w:rPr>
        <w:t xml:space="preserve"> (</w:t>
      </w:r>
      <w:r w:rsidRPr="00AB293C">
        <w:rPr>
          <w:rFonts w:ascii="Times New Roman" w:hAnsi="Times New Roman"/>
          <w:sz w:val="24"/>
          <w:szCs w:val="24"/>
        </w:rPr>
        <w:t>veidots uz SSP3-7.0 IPCC scenārija bāzes</w:t>
      </w:r>
      <w:r>
        <w:rPr>
          <w:rFonts w:ascii="Times New Roman" w:hAnsi="Times New Roman"/>
          <w:sz w:val="24"/>
          <w:szCs w:val="24"/>
        </w:rPr>
        <w:t>)</w:t>
      </w:r>
      <w:r w:rsidR="004F5CF3" w:rsidRPr="004F5CF3">
        <w:rPr>
          <w:rFonts w:ascii="Times New Roman" w:hAnsi="Times New Roman"/>
          <w:sz w:val="24"/>
          <w:szCs w:val="24"/>
        </w:rPr>
        <w:t xml:space="preserve"> </w:t>
      </w:r>
      <w:r w:rsidR="004F5CF3">
        <w:rPr>
          <w:rFonts w:ascii="Times New Roman" w:hAnsi="Times New Roman"/>
          <w:sz w:val="24"/>
          <w:szCs w:val="24"/>
        </w:rPr>
        <w:t>(angl. – “</w:t>
      </w:r>
      <w:r w:rsidR="004F5CF3" w:rsidRPr="00434FF3">
        <w:rPr>
          <w:rFonts w:ascii="Times New Roman" w:hAnsi="Times New Roman"/>
          <w:i/>
          <w:iCs/>
          <w:sz w:val="24"/>
          <w:szCs w:val="24"/>
        </w:rPr>
        <w:t>Hot</w:t>
      </w:r>
      <w:r w:rsidR="004F5CF3">
        <w:rPr>
          <w:rFonts w:ascii="Times New Roman" w:hAnsi="Times New Roman"/>
          <w:i/>
          <w:iCs/>
          <w:sz w:val="24"/>
          <w:szCs w:val="24"/>
        </w:rPr>
        <w:t>”</w:t>
      </w:r>
      <w:r w:rsidR="004F5CF3">
        <w:rPr>
          <w:rFonts w:ascii="Times New Roman" w:hAnsi="Times New Roman"/>
          <w:sz w:val="24"/>
          <w:szCs w:val="24"/>
        </w:rPr>
        <w:t>)</w:t>
      </w:r>
      <w:r w:rsidR="004F5CF3" w:rsidRPr="009E1160">
        <w:rPr>
          <w:rFonts w:ascii="Times New Roman" w:hAnsi="Times New Roman"/>
          <w:sz w:val="24"/>
          <w:szCs w:val="24"/>
        </w:rPr>
        <w:t>;</w:t>
      </w:r>
    </w:p>
    <w:p w14:paraId="1B011253" w14:textId="07814FFD" w:rsidR="00915D57" w:rsidRPr="009E1160" w:rsidRDefault="00915D57" w:rsidP="00915D57">
      <w:pPr>
        <w:pStyle w:val="ListParagraph"/>
        <w:numPr>
          <w:ilvl w:val="0"/>
          <w:numId w:val="63"/>
        </w:numPr>
        <w:ind w:left="1080"/>
        <w:rPr>
          <w:rFonts w:ascii="Times New Roman" w:hAnsi="Times New Roman"/>
          <w:sz w:val="24"/>
          <w:szCs w:val="24"/>
        </w:rPr>
      </w:pPr>
      <w:r w:rsidRPr="009E1160">
        <w:rPr>
          <w:rFonts w:ascii="Times New Roman" w:hAnsi="Times New Roman"/>
          <w:sz w:val="24"/>
          <w:szCs w:val="24"/>
        </w:rPr>
        <w:t>“</w:t>
      </w:r>
      <w:r>
        <w:rPr>
          <w:rFonts w:ascii="Times New Roman" w:hAnsi="Times New Roman"/>
          <w:sz w:val="24"/>
          <w:szCs w:val="24"/>
        </w:rPr>
        <w:t>Karstais pielāgotais</w:t>
      </w:r>
      <w:r w:rsidRPr="009E1160">
        <w:rPr>
          <w:rFonts w:ascii="Times New Roman" w:hAnsi="Times New Roman"/>
          <w:sz w:val="24"/>
          <w:szCs w:val="24"/>
        </w:rPr>
        <w:t>” – balstīts uz “</w:t>
      </w:r>
      <w:r>
        <w:rPr>
          <w:rFonts w:ascii="Times New Roman" w:hAnsi="Times New Roman"/>
          <w:sz w:val="24"/>
          <w:szCs w:val="24"/>
        </w:rPr>
        <w:t>Karstais</w:t>
      </w:r>
      <w:r w:rsidRPr="009E1160">
        <w:rPr>
          <w:rFonts w:ascii="Times New Roman" w:hAnsi="Times New Roman"/>
          <w:sz w:val="24"/>
          <w:szCs w:val="24"/>
        </w:rPr>
        <w:t>” scenāriju, bet pieņem, ka valsts pielāgojas klimatiskajām izmaiņām 20 gadu laikā, nevis 30 gados, kā “</w:t>
      </w:r>
      <w:r>
        <w:rPr>
          <w:rFonts w:ascii="Times New Roman" w:hAnsi="Times New Roman"/>
          <w:sz w:val="24"/>
          <w:szCs w:val="24"/>
        </w:rPr>
        <w:t>Karstais</w:t>
      </w:r>
      <w:r w:rsidRPr="009E1160">
        <w:rPr>
          <w:rFonts w:ascii="Times New Roman" w:hAnsi="Times New Roman"/>
          <w:sz w:val="24"/>
          <w:szCs w:val="24"/>
        </w:rPr>
        <w:t>” scenārijā</w:t>
      </w:r>
      <w:r w:rsidR="004F5CF3">
        <w:rPr>
          <w:rFonts w:ascii="Times New Roman" w:hAnsi="Times New Roman"/>
          <w:sz w:val="24"/>
          <w:szCs w:val="24"/>
        </w:rPr>
        <w:t xml:space="preserve"> (angl. – </w:t>
      </w:r>
      <w:r w:rsidR="004F5CF3" w:rsidRPr="00BC6207">
        <w:rPr>
          <w:rFonts w:ascii="Times New Roman" w:hAnsi="Times New Roman"/>
          <w:i/>
          <w:iCs/>
          <w:sz w:val="24"/>
          <w:szCs w:val="24"/>
        </w:rPr>
        <w:t>“</w:t>
      </w:r>
      <w:r w:rsidR="004F5CF3" w:rsidRPr="00434FF3">
        <w:rPr>
          <w:rFonts w:ascii="Times New Roman" w:hAnsi="Times New Roman"/>
          <w:i/>
          <w:iCs/>
          <w:sz w:val="24"/>
          <w:szCs w:val="24"/>
        </w:rPr>
        <w:t>Hot adapted</w:t>
      </w:r>
      <w:r w:rsidR="004F5CF3" w:rsidRPr="00BC6207">
        <w:rPr>
          <w:rFonts w:ascii="Times New Roman" w:hAnsi="Times New Roman"/>
          <w:i/>
          <w:iCs/>
          <w:sz w:val="24"/>
          <w:szCs w:val="24"/>
        </w:rPr>
        <w:t>”</w:t>
      </w:r>
      <w:r w:rsidR="004F5CF3">
        <w:rPr>
          <w:rFonts w:ascii="Times New Roman" w:hAnsi="Times New Roman"/>
          <w:sz w:val="24"/>
          <w:szCs w:val="24"/>
        </w:rPr>
        <w:t>)</w:t>
      </w:r>
      <w:r w:rsidR="004F5CF3" w:rsidRPr="009E1160">
        <w:rPr>
          <w:rFonts w:ascii="Times New Roman" w:hAnsi="Times New Roman"/>
          <w:sz w:val="24"/>
          <w:szCs w:val="24"/>
        </w:rPr>
        <w:t>;</w:t>
      </w:r>
    </w:p>
    <w:p w14:paraId="62905E7B" w14:textId="0519CCB6" w:rsidR="00915D57" w:rsidRPr="003D7001" w:rsidRDefault="00915D57" w:rsidP="003D7001">
      <w:pPr>
        <w:pStyle w:val="ListParagraph"/>
        <w:numPr>
          <w:ilvl w:val="0"/>
          <w:numId w:val="63"/>
        </w:numPr>
        <w:ind w:left="1080"/>
        <w:rPr>
          <w:rFonts w:ascii="Times New Roman" w:hAnsi="Times New Roman"/>
          <w:sz w:val="24"/>
          <w:szCs w:val="24"/>
        </w:rPr>
      </w:pPr>
      <w:r w:rsidRPr="009E1160">
        <w:rPr>
          <w:rFonts w:ascii="Times New Roman" w:hAnsi="Times New Roman"/>
          <w:sz w:val="24"/>
          <w:szCs w:val="24"/>
        </w:rPr>
        <w:t>“</w:t>
      </w:r>
      <w:r>
        <w:rPr>
          <w:rFonts w:ascii="Times New Roman" w:hAnsi="Times New Roman"/>
          <w:sz w:val="24"/>
          <w:szCs w:val="24"/>
        </w:rPr>
        <w:t>Karstais nepielāgotais</w:t>
      </w:r>
      <w:r w:rsidRPr="009E1160">
        <w:rPr>
          <w:rFonts w:ascii="Times New Roman" w:hAnsi="Times New Roman"/>
          <w:sz w:val="24"/>
          <w:szCs w:val="24"/>
        </w:rPr>
        <w:t xml:space="preserve">” – pesimistiskais scenārijs, balstīts uz </w:t>
      </w:r>
      <w:r>
        <w:rPr>
          <w:rFonts w:ascii="Times New Roman" w:hAnsi="Times New Roman"/>
          <w:sz w:val="24"/>
          <w:szCs w:val="24"/>
        </w:rPr>
        <w:t>“Karstais</w:t>
      </w:r>
      <w:r w:rsidRPr="009E1160">
        <w:rPr>
          <w:rFonts w:ascii="Times New Roman" w:hAnsi="Times New Roman"/>
          <w:sz w:val="24"/>
          <w:szCs w:val="24"/>
        </w:rPr>
        <w:t>” scenāriju, bet pieņem valsts lēnāku pielāgošanos (50 gadu laikā) temperatūras paaugstināšanai</w:t>
      </w:r>
      <w:r w:rsidR="004F5CF3">
        <w:rPr>
          <w:rFonts w:ascii="Times New Roman" w:hAnsi="Times New Roman"/>
          <w:sz w:val="24"/>
          <w:szCs w:val="24"/>
        </w:rPr>
        <w:t xml:space="preserve"> (angl. – </w:t>
      </w:r>
      <w:r w:rsidR="004F5CF3" w:rsidRPr="00BC6207">
        <w:rPr>
          <w:rFonts w:ascii="Times New Roman" w:hAnsi="Times New Roman"/>
          <w:i/>
          <w:iCs/>
          <w:sz w:val="24"/>
          <w:szCs w:val="24"/>
        </w:rPr>
        <w:t>“Hot un-adapted”).</w:t>
      </w:r>
    </w:p>
    <w:p w14:paraId="5D47B5FF" w14:textId="39951C9B" w:rsidR="00B74405" w:rsidRDefault="00B74405" w:rsidP="003D7001">
      <w:pPr>
        <w:spacing w:after="0" w:line="240" w:lineRule="auto"/>
        <w:rPr>
          <w:rFonts w:ascii="Times New Roman" w:hAnsi="Times New Roman" w:cs="Times New Roman"/>
          <w:sz w:val="24"/>
          <w:szCs w:val="24"/>
        </w:rPr>
      </w:pPr>
    </w:p>
    <w:p w14:paraId="51E0F9AD" w14:textId="3ED742A8" w:rsidR="003D7001" w:rsidRPr="009E1160" w:rsidRDefault="003D7001" w:rsidP="00B74405">
      <w:pPr>
        <w:spacing w:after="0" w:line="24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24F495" wp14:editId="7CB16B0B">
            <wp:extent cx="4030394" cy="2028632"/>
            <wp:effectExtent l="0" t="0" r="8255" b="0"/>
            <wp:docPr id="568350640"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50640" name="Picture 1" descr="A graph of different colored lines&#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48364" cy="2037677"/>
                    </a:xfrm>
                    <a:prstGeom prst="rect">
                      <a:avLst/>
                    </a:prstGeom>
                    <a:noFill/>
                  </pic:spPr>
                </pic:pic>
              </a:graphicData>
            </a:graphic>
          </wp:inline>
        </w:drawing>
      </w:r>
    </w:p>
    <w:p w14:paraId="231DDCCB" w14:textId="2EE78456" w:rsidR="00B74405" w:rsidRPr="00BB4003" w:rsidRDefault="00BB4003" w:rsidP="003D7001">
      <w:pPr>
        <w:ind w:left="1080"/>
        <w:jc w:val="center"/>
        <w:rPr>
          <w:rFonts w:ascii="Times New Roman" w:hAnsi="Times New Roman"/>
          <w:sz w:val="24"/>
          <w:szCs w:val="24"/>
        </w:rPr>
      </w:pPr>
      <w:r>
        <w:rPr>
          <w:rFonts w:ascii="Times New Roman" w:hAnsi="Times New Roman"/>
          <w:b/>
          <w:bCs/>
          <w:sz w:val="24"/>
          <w:szCs w:val="24"/>
        </w:rPr>
        <w:t xml:space="preserve">5.1.1. </w:t>
      </w:r>
      <w:r w:rsidR="00B74405" w:rsidRPr="00BB4003">
        <w:rPr>
          <w:rFonts w:ascii="Times New Roman" w:hAnsi="Times New Roman"/>
          <w:b/>
          <w:bCs/>
          <w:sz w:val="24"/>
          <w:szCs w:val="24"/>
        </w:rPr>
        <w:t>attēls.</w:t>
      </w:r>
      <w:r w:rsidR="00B74405" w:rsidRPr="00BB4003">
        <w:rPr>
          <w:rFonts w:ascii="Times New Roman" w:hAnsi="Times New Roman"/>
          <w:sz w:val="24"/>
          <w:szCs w:val="24"/>
        </w:rPr>
        <w:t xml:space="preserve"> IKP samazinājums procentos pret bāzes scenāriju. Avots: </w:t>
      </w:r>
      <w:r w:rsidR="00915D57">
        <w:rPr>
          <w:rFonts w:ascii="Times New Roman" w:hAnsi="Times New Roman"/>
          <w:sz w:val="24"/>
          <w:szCs w:val="24"/>
        </w:rPr>
        <w:t xml:space="preserve">FM aprēķini, izmantojot </w:t>
      </w:r>
      <w:r w:rsidR="00B74405" w:rsidRPr="00BB4003">
        <w:rPr>
          <w:rFonts w:ascii="Times New Roman" w:hAnsi="Times New Roman"/>
          <w:sz w:val="24"/>
          <w:szCs w:val="24"/>
        </w:rPr>
        <w:t>Q-CRAFT (2024)</w:t>
      </w:r>
    </w:p>
    <w:p w14:paraId="4BAC1377" w14:textId="206E4D46" w:rsidR="00B74405" w:rsidRPr="009E1160" w:rsidRDefault="00B67E49" w:rsidP="00B74405">
      <w:pPr>
        <w:spacing w:after="0" w:line="24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974A93" wp14:editId="06A7E655">
            <wp:extent cx="4079631" cy="2251958"/>
            <wp:effectExtent l="0" t="0" r="0" b="0"/>
            <wp:docPr id="1145565113"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65113" name="Picture 1" descr="A graph of different colored line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27647" cy="2278463"/>
                    </a:xfrm>
                    <a:prstGeom prst="rect">
                      <a:avLst/>
                    </a:prstGeom>
                    <a:noFill/>
                  </pic:spPr>
                </pic:pic>
              </a:graphicData>
            </a:graphic>
          </wp:inline>
        </w:drawing>
      </w:r>
    </w:p>
    <w:p w14:paraId="6755F922" w14:textId="53891115" w:rsidR="00B74405" w:rsidRPr="00BE4BA2" w:rsidRDefault="00BB4003" w:rsidP="00BE4BA2">
      <w:pPr>
        <w:ind w:left="1080"/>
        <w:jc w:val="center"/>
        <w:rPr>
          <w:rFonts w:ascii="Times New Roman" w:hAnsi="Times New Roman"/>
          <w:sz w:val="24"/>
          <w:szCs w:val="24"/>
        </w:rPr>
      </w:pPr>
      <w:r w:rsidRPr="00BB4003">
        <w:rPr>
          <w:rFonts w:ascii="Times New Roman" w:hAnsi="Times New Roman"/>
          <w:b/>
          <w:bCs/>
          <w:sz w:val="24"/>
          <w:szCs w:val="24"/>
        </w:rPr>
        <w:t xml:space="preserve">5.1.2. </w:t>
      </w:r>
      <w:r w:rsidR="00B74405" w:rsidRPr="00BB4003">
        <w:rPr>
          <w:rFonts w:ascii="Times New Roman" w:hAnsi="Times New Roman"/>
          <w:b/>
          <w:bCs/>
          <w:sz w:val="24"/>
          <w:szCs w:val="24"/>
        </w:rPr>
        <w:t>attēls.</w:t>
      </w:r>
      <w:r w:rsidR="00B74405" w:rsidRPr="00BB4003">
        <w:rPr>
          <w:rFonts w:ascii="Times New Roman" w:hAnsi="Times New Roman"/>
          <w:sz w:val="24"/>
          <w:szCs w:val="24"/>
        </w:rPr>
        <w:t xml:space="preserve"> Darba ražīguma pieaugumu variācija procentpunktos pret bāzes scenāriju. Avots: </w:t>
      </w:r>
      <w:r w:rsidR="00915D57">
        <w:rPr>
          <w:rFonts w:ascii="Times New Roman" w:hAnsi="Times New Roman"/>
          <w:sz w:val="24"/>
          <w:szCs w:val="24"/>
        </w:rPr>
        <w:t xml:space="preserve">FM aprēķini, izmantojot </w:t>
      </w:r>
      <w:r w:rsidR="00B74405" w:rsidRPr="00BB4003">
        <w:rPr>
          <w:rFonts w:ascii="Times New Roman" w:hAnsi="Times New Roman"/>
          <w:sz w:val="24"/>
          <w:szCs w:val="24"/>
        </w:rPr>
        <w:t>Q-CRAFT (2024)</w:t>
      </w:r>
    </w:p>
    <w:p w14:paraId="684375CD" w14:textId="16F5B9A0" w:rsidR="00B74405" w:rsidRPr="009E1160" w:rsidRDefault="00B74405" w:rsidP="00B74405">
      <w:pPr>
        <w:spacing w:after="0" w:line="240" w:lineRule="auto"/>
        <w:ind w:firstLine="720"/>
        <w:contextualSpacing/>
        <w:jc w:val="both"/>
        <w:rPr>
          <w:rFonts w:ascii="Times New Roman" w:hAnsi="Times New Roman" w:cs="Times New Roman"/>
          <w:sz w:val="24"/>
          <w:szCs w:val="24"/>
        </w:rPr>
      </w:pPr>
      <w:r w:rsidRPr="009E1160">
        <w:rPr>
          <w:rFonts w:ascii="Times New Roman" w:hAnsi="Times New Roman" w:cs="Times New Roman"/>
          <w:sz w:val="24"/>
          <w:szCs w:val="24"/>
        </w:rPr>
        <w:t xml:space="preserve">Veicot analīzi par Latvijas </w:t>
      </w:r>
      <w:r>
        <w:rPr>
          <w:rFonts w:ascii="Times New Roman" w:hAnsi="Times New Roman" w:cs="Times New Roman"/>
          <w:sz w:val="24"/>
          <w:szCs w:val="24"/>
        </w:rPr>
        <w:t xml:space="preserve">fiskālajiem un makroekonomiskajiem </w:t>
      </w:r>
      <w:r w:rsidRPr="009E1160">
        <w:rPr>
          <w:rFonts w:ascii="Times New Roman" w:hAnsi="Times New Roman" w:cs="Times New Roman"/>
          <w:sz w:val="24"/>
          <w:szCs w:val="24"/>
        </w:rPr>
        <w:t xml:space="preserve">rādītājiem, Q-CRAFT modelis tika pielāgots ar aktuālākajiem </w:t>
      </w:r>
      <w:r w:rsidRPr="00BB4003">
        <w:rPr>
          <w:rFonts w:ascii="Times New Roman" w:hAnsi="Times New Roman" w:cs="Times New Roman"/>
          <w:i/>
          <w:iCs/>
          <w:sz w:val="24"/>
          <w:szCs w:val="24"/>
        </w:rPr>
        <w:t>E</w:t>
      </w:r>
      <w:r w:rsidR="00BB4003" w:rsidRPr="00BB4003">
        <w:rPr>
          <w:rFonts w:ascii="Times New Roman" w:hAnsi="Times New Roman" w:cs="Times New Roman"/>
          <w:i/>
          <w:iCs/>
          <w:sz w:val="24"/>
          <w:szCs w:val="24"/>
        </w:rPr>
        <w:t>urostat</w:t>
      </w:r>
      <w:r w:rsidRPr="009E1160">
        <w:rPr>
          <w:rFonts w:ascii="Times New Roman" w:hAnsi="Times New Roman" w:cs="Times New Roman"/>
          <w:sz w:val="24"/>
          <w:szCs w:val="24"/>
        </w:rPr>
        <w:t xml:space="preserve"> datiem (no 1995. līdz 2024. gadam), FM makroekonomiskām prognozēm (no 2025. līdz 2029. gadam)</w:t>
      </w:r>
      <w:r w:rsidRPr="009E1160">
        <w:rPr>
          <w:rStyle w:val="FootnoteReference"/>
          <w:rFonts w:ascii="Times New Roman" w:hAnsi="Times New Roman" w:cs="Times New Roman"/>
          <w:sz w:val="24"/>
          <w:szCs w:val="24"/>
        </w:rPr>
        <w:footnoteReference w:id="85"/>
      </w:r>
      <w:r w:rsidRPr="009E1160">
        <w:rPr>
          <w:rFonts w:ascii="Times New Roman" w:hAnsi="Times New Roman" w:cs="Times New Roman"/>
          <w:sz w:val="24"/>
          <w:szCs w:val="24"/>
        </w:rPr>
        <w:t>, fiskālo rādītāju prognozēm (no 2025. līdz 2029. gadam)</w:t>
      </w:r>
      <w:r w:rsidRPr="009E1160">
        <w:rPr>
          <w:rStyle w:val="FootnoteReference"/>
          <w:rFonts w:ascii="Times New Roman" w:hAnsi="Times New Roman" w:cs="Times New Roman"/>
          <w:sz w:val="24"/>
          <w:szCs w:val="24"/>
        </w:rPr>
        <w:footnoteReference w:id="86"/>
      </w:r>
      <w:r w:rsidRPr="009E1160">
        <w:rPr>
          <w:rFonts w:ascii="Times New Roman" w:hAnsi="Times New Roman" w:cs="Times New Roman"/>
          <w:sz w:val="24"/>
          <w:szCs w:val="24"/>
        </w:rPr>
        <w:t>, savukārt demogrāfijas prognozes</w:t>
      </w:r>
      <w:r w:rsidRPr="009E1160">
        <w:rPr>
          <w:rStyle w:val="FootnoteReference"/>
          <w:rFonts w:ascii="Times New Roman" w:hAnsi="Times New Roman" w:cs="Times New Roman"/>
          <w:sz w:val="24"/>
          <w:szCs w:val="24"/>
        </w:rPr>
        <w:footnoteReference w:id="87"/>
      </w:r>
      <w:r w:rsidRPr="009E1160">
        <w:rPr>
          <w:rFonts w:ascii="Times New Roman" w:hAnsi="Times New Roman" w:cs="Times New Roman"/>
          <w:sz w:val="24"/>
          <w:szCs w:val="24"/>
        </w:rPr>
        <w:t xml:space="preserve"> un vēsturiskie produktivitātes</w:t>
      </w:r>
      <w:r w:rsidRPr="009E1160">
        <w:rPr>
          <w:rStyle w:val="FootnoteReference"/>
          <w:rFonts w:ascii="Times New Roman" w:hAnsi="Times New Roman" w:cs="Times New Roman"/>
          <w:sz w:val="24"/>
          <w:szCs w:val="24"/>
        </w:rPr>
        <w:footnoteReference w:id="88"/>
      </w:r>
      <w:r w:rsidRPr="009E1160">
        <w:rPr>
          <w:rFonts w:ascii="Times New Roman" w:hAnsi="Times New Roman" w:cs="Times New Roman"/>
          <w:sz w:val="24"/>
          <w:szCs w:val="24"/>
        </w:rPr>
        <w:t xml:space="preserve"> dati netika mainīti. </w:t>
      </w:r>
    </w:p>
    <w:p w14:paraId="7F0B1B40" w14:textId="27140B32" w:rsidR="00B74405" w:rsidRPr="009E1160" w:rsidRDefault="00B74405" w:rsidP="00B74405">
      <w:pPr>
        <w:spacing w:after="0" w:line="240" w:lineRule="auto"/>
        <w:ind w:firstLine="720"/>
        <w:contextualSpacing/>
        <w:jc w:val="both"/>
        <w:rPr>
          <w:rFonts w:ascii="Times New Roman" w:hAnsi="Times New Roman" w:cs="Times New Roman"/>
          <w:sz w:val="24"/>
          <w:szCs w:val="24"/>
        </w:rPr>
      </w:pPr>
      <w:r w:rsidRPr="009E1160">
        <w:rPr>
          <w:rFonts w:ascii="Times New Roman" w:hAnsi="Times New Roman" w:cs="Times New Roman"/>
          <w:sz w:val="24"/>
          <w:szCs w:val="24"/>
        </w:rPr>
        <w:t>Modelī izmantotie pieņēmumi: produktivitātes pieaugums ir 3,5% 2030. gadā un 1,1% s</w:t>
      </w:r>
      <w:r>
        <w:rPr>
          <w:rFonts w:ascii="Times New Roman" w:hAnsi="Times New Roman" w:cs="Times New Roman"/>
          <w:sz w:val="24"/>
          <w:szCs w:val="24"/>
        </w:rPr>
        <w:t>ā</w:t>
      </w:r>
      <w:r w:rsidRPr="009E1160">
        <w:rPr>
          <w:rFonts w:ascii="Times New Roman" w:hAnsi="Times New Roman" w:cs="Times New Roman"/>
          <w:sz w:val="24"/>
          <w:szCs w:val="24"/>
        </w:rPr>
        <w:t xml:space="preserve">kot no 2050. gada, kas ļauj 2037. gadā pārsniegt </w:t>
      </w:r>
      <w:r>
        <w:rPr>
          <w:rFonts w:ascii="Times New Roman" w:hAnsi="Times New Roman" w:cs="Times New Roman"/>
          <w:sz w:val="24"/>
          <w:szCs w:val="24"/>
        </w:rPr>
        <w:t>ESAO</w:t>
      </w:r>
      <w:r w:rsidRPr="009E1160">
        <w:rPr>
          <w:rFonts w:ascii="Times New Roman" w:hAnsi="Times New Roman" w:cs="Times New Roman"/>
          <w:sz w:val="24"/>
          <w:szCs w:val="24"/>
        </w:rPr>
        <w:t xml:space="preserve"> vidējo produktivitāti un pēc 2050. gada saglabāt produktivitāti 112,5% līmenī no </w:t>
      </w:r>
      <w:r>
        <w:rPr>
          <w:rFonts w:ascii="Times New Roman" w:hAnsi="Times New Roman" w:cs="Times New Roman"/>
          <w:sz w:val="24"/>
          <w:szCs w:val="24"/>
        </w:rPr>
        <w:t>ESAO</w:t>
      </w:r>
      <w:r w:rsidRPr="009E1160">
        <w:rPr>
          <w:rFonts w:ascii="Times New Roman" w:hAnsi="Times New Roman" w:cs="Times New Roman"/>
          <w:sz w:val="24"/>
          <w:szCs w:val="24"/>
        </w:rPr>
        <w:t xml:space="preserve"> vidējā. Inflācija ir 2,2% no 2030. gada. Nominālā procentu likme ir 3,2% no 2030. gada (balstoties uz 2029. gada prognozi). Parāda mērķis ir 55% no IKP. Izdevumi ir pieņemti par pilnība neelastīgiem (valsts nesamazina izdevumus, kad ir novērojams ieņēmumu samazinājums).</w:t>
      </w:r>
    </w:p>
    <w:p w14:paraId="68216806" w14:textId="499AB188" w:rsidR="00B74405" w:rsidRDefault="00B74405" w:rsidP="00B74405">
      <w:pPr>
        <w:spacing w:after="0" w:line="240" w:lineRule="auto"/>
        <w:ind w:firstLine="720"/>
        <w:jc w:val="both"/>
        <w:rPr>
          <w:rFonts w:ascii="Times New Roman" w:hAnsi="Times New Roman" w:cs="Times New Roman"/>
          <w:sz w:val="24"/>
          <w:szCs w:val="24"/>
        </w:rPr>
      </w:pPr>
      <w:r w:rsidRPr="009E1160">
        <w:rPr>
          <w:rFonts w:ascii="Times New Roman" w:hAnsi="Times New Roman" w:cs="Times New Roman"/>
          <w:sz w:val="24"/>
          <w:szCs w:val="24"/>
        </w:rPr>
        <w:t xml:space="preserve">Bāzes scenārijā ir paredzēts </w:t>
      </w:r>
      <w:r>
        <w:rPr>
          <w:rFonts w:ascii="Times New Roman" w:hAnsi="Times New Roman" w:cs="Times New Roman"/>
          <w:sz w:val="24"/>
          <w:szCs w:val="24"/>
        </w:rPr>
        <w:t>n</w:t>
      </w:r>
      <w:r w:rsidRPr="009E1160">
        <w:rPr>
          <w:rFonts w:ascii="Times New Roman" w:hAnsi="Times New Roman" w:cs="Times New Roman"/>
          <w:sz w:val="24"/>
          <w:szCs w:val="24"/>
        </w:rPr>
        <w:t>omināl</w:t>
      </w:r>
      <w:r>
        <w:rPr>
          <w:rFonts w:ascii="Times New Roman" w:hAnsi="Times New Roman" w:cs="Times New Roman"/>
          <w:sz w:val="24"/>
          <w:szCs w:val="24"/>
        </w:rPr>
        <w:t>ā</w:t>
      </w:r>
      <w:r w:rsidRPr="009E1160">
        <w:rPr>
          <w:rFonts w:ascii="Times New Roman" w:hAnsi="Times New Roman" w:cs="Times New Roman"/>
          <w:sz w:val="24"/>
          <w:szCs w:val="24"/>
        </w:rPr>
        <w:t xml:space="preserve"> IKP pieaugums starp 2% un 5% gadā</w:t>
      </w:r>
      <w:r>
        <w:rPr>
          <w:rFonts w:ascii="Times New Roman" w:hAnsi="Times New Roman" w:cs="Times New Roman"/>
          <w:sz w:val="24"/>
          <w:szCs w:val="24"/>
        </w:rPr>
        <w:t>,</w:t>
      </w:r>
      <w:r w:rsidRPr="009E1160">
        <w:rPr>
          <w:rFonts w:ascii="Times New Roman" w:hAnsi="Times New Roman" w:cs="Times New Roman"/>
          <w:sz w:val="24"/>
          <w:szCs w:val="24"/>
        </w:rPr>
        <w:t xml:space="preserve"> produktivitātes un inflācijas pieauguma dēļ, taču nodarbināto skaita samazinājums daļēji apturēs IKP izaugsmi. Pīķis ap 2060. gadu ir saistīts ar demogrāfiskām prognozēm, jo no 2060. gada līdz 2066. gadam prognozētais darbspējīgā vecuma iedzīvotāju skaits samazinās par 0,5-0,8 procentpunktiem lēnāk</w:t>
      </w:r>
      <w:r w:rsidR="00D71C41">
        <w:rPr>
          <w:rFonts w:ascii="Times New Roman" w:hAnsi="Times New Roman" w:cs="Times New Roman"/>
          <w:sz w:val="24"/>
          <w:szCs w:val="24"/>
        </w:rPr>
        <w:t>,</w:t>
      </w:r>
      <w:r w:rsidRPr="009E1160">
        <w:rPr>
          <w:rFonts w:ascii="Times New Roman" w:hAnsi="Times New Roman" w:cs="Times New Roman"/>
          <w:sz w:val="24"/>
          <w:szCs w:val="24"/>
        </w:rPr>
        <w:t xml:space="preserve"> nekā prognozētais kopējais iedzīvotāju skaits.</w:t>
      </w:r>
    </w:p>
    <w:p w14:paraId="60C79E31" w14:textId="77777777" w:rsidR="00BB4003" w:rsidRPr="009E1160" w:rsidRDefault="00BB4003" w:rsidP="00B74405">
      <w:pPr>
        <w:spacing w:after="0" w:line="240" w:lineRule="auto"/>
        <w:ind w:firstLine="720"/>
        <w:jc w:val="both"/>
        <w:rPr>
          <w:rFonts w:ascii="Times New Roman" w:hAnsi="Times New Roman" w:cs="Times New Roman"/>
          <w:sz w:val="24"/>
          <w:szCs w:val="24"/>
        </w:rPr>
      </w:pPr>
    </w:p>
    <w:p w14:paraId="64A09F18" w14:textId="67604EC0" w:rsidR="00B74405" w:rsidRPr="009E1160" w:rsidRDefault="00B67E49" w:rsidP="00B7440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BA1428" wp14:editId="5F4CA683">
            <wp:extent cx="3467100" cy="2481866"/>
            <wp:effectExtent l="0" t="0" r="0" b="0"/>
            <wp:docPr id="327873244" name="Picture 3"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73244" name="Picture 3" descr="A graph of a number of peopl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87153" cy="2496221"/>
                    </a:xfrm>
                    <a:prstGeom prst="rect">
                      <a:avLst/>
                    </a:prstGeom>
                    <a:noFill/>
                  </pic:spPr>
                </pic:pic>
              </a:graphicData>
            </a:graphic>
          </wp:inline>
        </w:drawing>
      </w:r>
    </w:p>
    <w:p w14:paraId="010451A9" w14:textId="420654F0" w:rsidR="00B74405" w:rsidRPr="00BB4003" w:rsidRDefault="00BB4003" w:rsidP="003D7001">
      <w:pPr>
        <w:ind w:left="1080"/>
        <w:jc w:val="center"/>
        <w:rPr>
          <w:rFonts w:ascii="Times New Roman" w:hAnsi="Times New Roman"/>
          <w:sz w:val="24"/>
          <w:szCs w:val="24"/>
        </w:rPr>
      </w:pPr>
      <w:r w:rsidRPr="00BB4003">
        <w:rPr>
          <w:rFonts w:ascii="Times New Roman" w:hAnsi="Times New Roman"/>
          <w:b/>
          <w:bCs/>
          <w:sz w:val="24"/>
          <w:szCs w:val="24"/>
        </w:rPr>
        <w:t xml:space="preserve">5.1.3. </w:t>
      </w:r>
      <w:r w:rsidR="00B74405" w:rsidRPr="00BB4003">
        <w:rPr>
          <w:rFonts w:ascii="Times New Roman" w:hAnsi="Times New Roman"/>
          <w:b/>
          <w:bCs/>
          <w:sz w:val="24"/>
          <w:szCs w:val="24"/>
        </w:rPr>
        <w:t>attēls.</w:t>
      </w:r>
      <w:r w:rsidR="00B74405" w:rsidRPr="00BB4003">
        <w:rPr>
          <w:rFonts w:ascii="Times New Roman" w:hAnsi="Times New Roman"/>
          <w:sz w:val="24"/>
          <w:szCs w:val="24"/>
        </w:rPr>
        <w:t xml:space="preserve"> Nomināla IKP izaugsme (sadalījums). Avots: </w:t>
      </w:r>
      <w:r w:rsidR="00915D57">
        <w:rPr>
          <w:rFonts w:ascii="Times New Roman" w:hAnsi="Times New Roman"/>
          <w:sz w:val="24"/>
          <w:szCs w:val="24"/>
        </w:rPr>
        <w:t xml:space="preserve">FM aprēķini, izmantojot </w:t>
      </w:r>
      <w:r w:rsidR="00B74405" w:rsidRPr="00BB4003">
        <w:rPr>
          <w:rFonts w:ascii="Times New Roman" w:hAnsi="Times New Roman"/>
          <w:sz w:val="24"/>
          <w:szCs w:val="24"/>
        </w:rPr>
        <w:t>Q-CRAFT (2024)</w:t>
      </w:r>
    </w:p>
    <w:p w14:paraId="1DBD7020" w14:textId="23DAC8BE" w:rsidR="00B74405" w:rsidRPr="009E1160" w:rsidRDefault="00B67E49" w:rsidP="00B7440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53E1C4" wp14:editId="0056A2AA">
            <wp:extent cx="3543300" cy="2571846"/>
            <wp:effectExtent l="0" t="0" r="0" b="0"/>
            <wp:docPr id="11495041" name="Picture 4" descr="A graph showing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041" name="Picture 4" descr="A graph showing a line graph&#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60718" cy="2584488"/>
                    </a:xfrm>
                    <a:prstGeom prst="rect">
                      <a:avLst/>
                    </a:prstGeom>
                    <a:noFill/>
                  </pic:spPr>
                </pic:pic>
              </a:graphicData>
            </a:graphic>
          </wp:inline>
        </w:drawing>
      </w:r>
    </w:p>
    <w:p w14:paraId="07834A28" w14:textId="08384D6D" w:rsidR="00B74405" w:rsidRPr="00FD1CCE" w:rsidRDefault="00FD1CCE" w:rsidP="00FD1CCE">
      <w:pPr>
        <w:ind w:left="1080"/>
        <w:jc w:val="center"/>
        <w:rPr>
          <w:rFonts w:ascii="Times New Roman" w:hAnsi="Times New Roman"/>
          <w:sz w:val="24"/>
          <w:szCs w:val="24"/>
        </w:rPr>
      </w:pPr>
      <w:r w:rsidRPr="00FD1CCE">
        <w:rPr>
          <w:rFonts w:ascii="Times New Roman" w:hAnsi="Times New Roman"/>
          <w:b/>
          <w:bCs/>
          <w:sz w:val="24"/>
          <w:szCs w:val="24"/>
        </w:rPr>
        <w:t xml:space="preserve">5.1.4. </w:t>
      </w:r>
      <w:r w:rsidR="00B74405" w:rsidRPr="00FD1CCE">
        <w:rPr>
          <w:rFonts w:ascii="Times New Roman" w:hAnsi="Times New Roman"/>
          <w:b/>
          <w:bCs/>
          <w:sz w:val="24"/>
          <w:szCs w:val="24"/>
        </w:rPr>
        <w:t>attēls.</w:t>
      </w:r>
      <w:r w:rsidR="00B74405" w:rsidRPr="00FD1CCE">
        <w:rPr>
          <w:rFonts w:ascii="Times New Roman" w:hAnsi="Times New Roman"/>
          <w:sz w:val="24"/>
          <w:szCs w:val="24"/>
        </w:rPr>
        <w:t xml:space="preserve"> Vispārējas valdības budžeta ieņēmumi un vispārējas valdības budžeta primārie izdevumi (% no nomināla IKP). Avots: </w:t>
      </w:r>
      <w:r w:rsidR="00915D57">
        <w:rPr>
          <w:rFonts w:ascii="Times New Roman" w:hAnsi="Times New Roman"/>
          <w:sz w:val="24"/>
          <w:szCs w:val="24"/>
        </w:rPr>
        <w:t xml:space="preserve">FM aprēķini, izmantojot </w:t>
      </w:r>
      <w:r w:rsidR="00B74405" w:rsidRPr="00FD1CCE">
        <w:rPr>
          <w:rFonts w:ascii="Times New Roman" w:hAnsi="Times New Roman"/>
          <w:sz w:val="24"/>
          <w:szCs w:val="24"/>
        </w:rPr>
        <w:t>Q-CRAFT (2024)</w:t>
      </w:r>
    </w:p>
    <w:p w14:paraId="52C086EE" w14:textId="2826529C" w:rsidR="00B74405" w:rsidRPr="009E1160" w:rsidRDefault="00B67E49" w:rsidP="00B7440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3BF958" wp14:editId="654AC439">
            <wp:extent cx="3525999" cy="2562225"/>
            <wp:effectExtent l="0" t="0" r="0" b="0"/>
            <wp:docPr id="1157029899" name="Picture 5" descr="A graph showing the growth of a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29899" name="Picture 5" descr="A graph showing the growth of a stock market&#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39167" cy="2571794"/>
                    </a:xfrm>
                    <a:prstGeom prst="rect">
                      <a:avLst/>
                    </a:prstGeom>
                    <a:noFill/>
                  </pic:spPr>
                </pic:pic>
              </a:graphicData>
            </a:graphic>
          </wp:inline>
        </w:drawing>
      </w:r>
    </w:p>
    <w:p w14:paraId="3F0548F7" w14:textId="0A25E9C7" w:rsidR="00B74405" w:rsidRPr="00FD1CCE" w:rsidRDefault="00FD1CCE" w:rsidP="00FD1CCE">
      <w:pPr>
        <w:ind w:left="1080"/>
        <w:jc w:val="center"/>
        <w:rPr>
          <w:rFonts w:ascii="Times New Roman" w:hAnsi="Times New Roman"/>
          <w:sz w:val="24"/>
          <w:szCs w:val="24"/>
        </w:rPr>
      </w:pPr>
      <w:r w:rsidRPr="00FD1CCE">
        <w:rPr>
          <w:rFonts w:ascii="Times New Roman" w:hAnsi="Times New Roman"/>
          <w:b/>
          <w:bCs/>
          <w:sz w:val="24"/>
          <w:szCs w:val="24"/>
        </w:rPr>
        <w:t xml:space="preserve">5.1.5. </w:t>
      </w:r>
      <w:r w:rsidR="00B74405" w:rsidRPr="00FD1CCE">
        <w:rPr>
          <w:rFonts w:ascii="Times New Roman" w:hAnsi="Times New Roman"/>
          <w:b/>
          <w:bCs/>
          <w:sz w:val="24"/>
          <w:szCs w:val="24"/>
        </w:rPr>
        <w:t>attēls.</w:t>
      </w:r>
      <w:r w:rsidR="00B74405" w:rsidRPr="00FD1CCE">
        <w:rPr>
          <w:rFonts w:ascii="Times New Roman" w:hAnsi="Times New Roman"/>
          <w:sz w:val="24"/>
          <w:szCs w:val="24"/>
        </w:rPr>
        <w:t xml:space="preserve"> Vispārējas valdības un primāra budžeta bilance (% no nomināla IKP). Avots: </w:t>
      </w:r>
      <w:r w:rsidR="00D71C41">
        <w:rPr>
          <w:rFonts w:ascii="Times New Roman" w:hAnsi="Times New Roman"/>
          <w:sz w:val="24"/>
          <w:szCs w:val="24"/>
        </w:rPr>
        <w:t xml:space="preserve">FM aprēķini, izmantojot </w:t>
      </w:r>
      <w:r w:rsidR="00B74405" w:rsidRPr="00FD1CCE">
        <w:rPr>
          <w:rFonts w:ascii="Times New Roman" w:hAnsi="Times New Roman"/>
          <w:sz w:val="24"/>
          <w:szCs w:val="24"/>
        </w:rPr>
        <w:t>Q-CRAFT (2024)</w:t>
      </w:r>
    </w:p>
    <w:p w14:paraId="48CD0E7C" w14:textId="77777777" w:rsidR="00B74405" w:rsidRPr="009E1160" w:rsidRDefault="00B74405" w:rsidP="00B74405">
      <w:pPr>
        <w:spacing w:after="0" w:line="240" w:lineRule="auto"/>
        <w:ind w:firstLine="720"/>
        <w:jc w:val="both"/>
        <w:rPr>
          <w:rFonts w:ascii="Times New Roman" w:hAnsi="Times New Roman" w:cs="Times New Roman"/>
          <w:sz w:val="24"/>
          <w:szCs w:val="24"/>
        </w:rPr>
      </w:pPr>
    </w:p>
    <w:p w14:paraId="7DB19451" w14:textId="29FEEA38" w:rsidR="00B74405" w:rsidRPr="009E1160" w:rsidRDefault="00B74405" w:rsidP="00B74405">
      <w:pPr>
        <w:spacing w:after="0" w:line="240" w:lineRule="auto"/>
        <w:ind w:firstLine="720"/>
        <w:jc w:val="both"/>
        <w:rPr>
          <w:rFonts w:ascii="Times New Roman" w:hAnsi="Times New Roman" w:cs="Times New Roman"/>
          <w:sz w:val="24"/>
          <w:szCs w:val="24"/>
        </w:rPr>
      </w:pPr>
      <w:r w:rsidRPr="00062AA0">
        <w:rPr>
          <w:rFonts w:ascii="Times New Roman" w:hAnsi="Times New Roman" w:cs="Times New Roman"/>
          <w:sz w:val="24"/>
          <w:szCs w:val="24"/>
        </w:rPr>
        <w:t xml:space="preserve">Kā redzams 5.1.1. attēlā. </w:t>
      </w:r>
      <w:r>
        <w:rPr>
          <w:rFonts w:ascii="Times New Roman" w:hAnsi="Times New Roman" w:cs="Times New Roman"/>
          <w:sz w:val="24"/>
          <w:szCs w:val="24"/>
        </w:rPr>
        <w:t>p</w:t>
      </w:r>
      <w:r w:rsidRPr="009E1160">
        <w:rPr>
          <w:rFonts w:ascii="Times New Roman" w:hAnsi="Times New Roman" w:cs="Times New Roman"/>
          <w:sz w:val="24"/>
          <w:szCs w:val="24"/>
        </w:rPr>
        <w:t xml:space="preserve">esimistiskākā scenārijā </w:t>
      </w:r>
      <w:r w:rsidRPr="002E1415">
        <w:rPr>
          <w:rFonts w:ascii="Times New Roman" w:hAnsi="Times New Roman" w:cs="Times New Roman"/>
          <w:sz w:val="24"/>
          <w:szCs w:val="24"/>
        </w:rPr>
        <w:t>(“</w:t>
      </w:r>
      <w:r w:rsidR="002E1415" w:rsidRPr="002E1415">
        <w:rPr>
          <w:rFonts w:ascii="Times New Roman" w:hAnsi="Times New Roman" w:cs="Times New Roman"/>
          <w:sz w:val="24"/>
          <w:szCs w:val="24"/>
        </w:rPr>
        <w:t>Karstais nepielāgotais</w:t>
      </w:r>
      <w:r w:rsidRPr="002E1415">
        <w:rPr>
          <w:rFonts w:ascii="Times New Roman" w:hAnsi="Times New Roman" w:cs="Times New Roman"/>
          <w:sz w:val="24"/>
          <w:szCs w:val="24"/>
        </w:rPr>
        <w:t>”)</w:t>
      </w:r>
      <w:r w:rsidRPr="009E1160">
        <w:rPr>
          <w:rFonts w:ascii="Times New Roman" w:hAnsi="Times New Roman" w:cs="Times New Roman"/>
          <w:sz w:val="24"/>
          <w:szCs w:val="24"/>
        </w:rPr>
        <w:t xml:space="preserve"> klimatu pārmaiņu </w:t>
      </w:r>
      <w:r>
        <w:rPr>
          <w:rFonts w:ascii="Times New Roman" w:hAnsi="Times New Roman" w:cs="Times New Roman"/>
          <w:sz w:val="24"/>
          <w:szCs w:val="24"/>
        </w:rPr>
        <w:t xml:space="preserve">ilgtermiņa </w:t>
      </w:r>
      <w:r w:rsidRPr="009E1160">
        <w:rPr>
          <w:rFonts w:ascii="Times New Roman" w:hAnsi="Times New Roman" w:cs="Times New Roman"/>
          <w:sz w:val="24"/>
          <w:szCs w:val="24"/>
        </w:rPr>
        <w:t>ietekme uz IKP ir ar ~6,65% samazinājumu pret bāzes scenāriju. Savukārt, ietekme uz vispārējās valdības parādu ir būtiskāka, 2099. gadā parādam sasniedzot 17</w:t>
      </w:r>
      <w:r w:rsidR="002E1B04">
        <w:rPr>
          <w:rFonts w:ascii="Times New Roman" w:hAnsi="Times New Roman" w:cs="Times New Roman"/>
          <w:sz w:val="24"/>
          <w:szCs w:val="24"/>
        </w:rPr>
        <w:t>0</w:t>
      </w:r>
      <w:r w:rsidRPr="009E1160">
        <w:rPr>
          <w:rFonts w:ascii="Times New Roman" w:hAnsi="Times New Roman" w:cs="Times New Roman"/>
          <w:sz w:val="24"/>
          <w:szCs w:val="24"/>
        </w:rPr>
        <w:t>,1% no IKP, salīdzinājumā ar bāzes scenāriju, kad parāds sasniedz 55,</w:t>
      </w:r>
      <w:r w:rsidR="002E1B04">
        <w:rPr>
          <w:rFonts w:ascii="Times New Roman" w:hAnsi="Times New Roman" w:cs="Times New Roman"/>
          <w:sz w:val="24"/>
          <w:szCs w:val="24"/>
        </w:rPr>
        <w:t>6</w:t>
      </w:r>
      <w:r w:rsidRPr="009E1160">
        <w:rPr>
          <w:rFonts w:ascii="Times New Roman" w:hAnsi="Times New Roman" w:cs="Times New Roman"/>
          <w:sz w:val="24"/>
          <w:szCs w:val="24"/>
        </w:rPr>
        <w:t xml:space="preserve">% no </w:t>
      </w:r>
      <w:r w:rsidRPr="00AB293C">
        <w:rPr>
          <w:rFonts w:ascii="Times New Roman" w:hAnsi="Times New Roman" w:cs="Times New Roman"/>
          <w:sz w:val="24"/>
          <w:szCs w:val="24"/>
        </w:rPr>
        <w:t xml:space="preserve">IKP </w:t>
      </w:r>
      <w:r w:rsidRPr="00062AA0">
        <w:rPr>
          <w:rFonts w:ascii="Times New Roman" w:hAnsi="Times New Roman" w:cs="Times New Roman"/>
          <w:sz w:val="24"/>
          <w:szCs w:val="24"/>
        </w:rPr>
        <w:t>(skat. 5.1.6. att.).</w:t>
      </w:r>
      <w:r w:rsidRPr="00AB293C">
        <w:rPr>
          <w:rFonts w:ascii="Times New Roman" w:hAnsi="Times New Roman" w:cs="Times New Roman"/>
          <w:sz w:val="24"/>
          <w:szCs w:val="24"/>
        </w:rPr>
        <w:t xml:space="preserve"> Pielāgošanās ātruma ietekme ir būtiska. Atbilstoši </w:t>
      </w:r>
      <w:r w:rsidR="002E1415">
        <w:rPr>
          <w:rFonts w:ascii="Times New Roman" w:hAnsi="Times New Roman" w:cs="Times New Roman"/>
          <w:sz w:val="24"/>
          <w:szCs w:val="24"/>
        </w:rPr>
        <w:t>vidējā pielāgošanās</w:t>
      </w:r>
      <w:r w:rsidRPr="00AB293C">
        <w:rPr>
          <w:rFonts w:ascii="Times New Roman" w:hAnsi="Times New Roman" w:cs="Times New Roman"/>
          <w:sz w:val="24"/>
          <w:szCs w:val="24"/>
        </w:rPr>
        <w:t xml:space="preserve"> </w:t>
      </w:r>
      <w:r w:rsidR="00D71C41">
        <w:rPr>
          <w:rFonts w:ascii="Times New Roman" w:hAnsi="Times New Roman" w:cs="Times New Roman"/>
          <w:sz w:val="24"/>
          <w:szCs w:val="24"/>
        </w:rPr>
        <w:t xml:space="preserve">ātruma </w:t>
      </w:r>
      <w:r w:rsidRPr="002E1415">
        <w:rPr>
          <w:rFonts w:ascii="Times New Roman" w:hAnsi="Times New Roman" w:cs="Times New Roman"/>
          <w:sz w:val="24"/>
          <w:szCs w:val="24"/>
        </w:rPr>
        <w:t>(“</w:t>
      </w:r>
      <w:r w:rsidR="002E1415" w:rsidRPr="002E1415">
        <w:rPr>
          <w:rFonts w:ascii="Times New Roman" w:hAnsi="Times New Roman" w:cs="Times New Roman"/>
          <w:sz w:val="24"/>
          <w:szCs w:val="24"/>
        </w:rPr>
        <w:t>Karstais</w:t>
      </w:r>
      <w:r w:rsidRPr="002E1415">
        <w:rPr>
          <w:rFonts w:ascii="Times New Roman" w:hAnsi="Times New Roman" w:cs="Times New Roman"/>
          <w:sz w:val="24"/>
          <w:szCs w:val="24"/>
        </w:rPr>
        <w:t>”)</w:t>
      </w:r>
      <w:r w:rsidRPr="00AB293C">
        <w:rPr>
          <w:rFonts w:ascii="Times New Roman" w:hAnsi="Times New Roman" w:cs="Times New Roman"/>
          <w:sz w:val="24"/>
          <w:szCs w:val="24"/>
        </w:rPr>
        <w:t xml:space="preserve"> scenārijam </w:t>
      </w:r>
      <w:r w:rsidRPr="00062AA0">
        <w:rPr>
          <w:rFonts w:ascii="Times New Roman" w:hAnsi="Times New Roman" w:cs="Times New Roman"/>
          <w:sz w:val="24"/>
          <w:szCs w:val="24"/>
        </w:rPr>
        <w:t>IKP samazinājums</w:t>
      </w:r>
      <w:r w:rsidRPr="00AB293C">
        <w:rPr>
          <w:rFonts w:ascii="Times New Roman" w:hAnsi="Times New Roman" w:cs="Times New Roman"/>
          <w:sz w:val="24"/>
          <w:szCs w:val="24"/>
        </w:rPr>
        <w:t xml:space="preserve"> ir gandrīz divas reizes zemāks (3,46%) un vispārējas valdības parāds pieaug līdz 11</w:t>
      </w:r>
      <w:r w:rsidR="002E1B04">
        <w:rPr>
          <w:rFonts w:ascii="Times New Roman" w:hAnsi="Times New Roman" w:cs="Times New Roman"/>
          <w:sz w:val="24"/>
          <w:szCs w:val="24"/>
        </w:rPr>
        <w:t>0</w:t>
      </w:r>
      <w:r w:rsidRPr="00AB293C">
        <w:rPr>
          <w:rFonts w:ascii="Times New Roman" w:hAnsi="Times New Roman" w:cs="Times New Roman"/>
          <w:sz w:val="24"/>
          <w:szCs w:val="24"/>
        </w:rPr>
        <w:t>,</w:t>
      </w:r>
      <w:r w:rsidR="002E1B04">
        <w:rPr>
          <w:rFonts w:ascii="Times New Roman" w:hAnsi="Times New Roman" w:cs="Times New Roman"/>
          <w:sz w:val="24"/>
          <w:szCs w:val="24"/>
        </w:rPr>
        <w:t>2</w:t>
      </w:r>
      <w:r w:rsidRPr="00AB293C">
        <w:rPr>
          <w:rFonts w:ascii="Times New Roman" w:hAnsi="Times New Roman" w:cs="Times New Roman"/>
          <w:sz w:val="24"/>
          <w:szCs w:val="24"/>
        </w:rPr>
        <w:t xml:space="preserve">% no IKP. Savukārt, ātrākas pielāgošanās scenārija </w:t>
      </w:r>
      <w:r w:rsidRPr="002E1415">
        <w:rPr>
          <w:rFonts w:ascii="Times New Roman" w:hAnsi="Times New Roman" w:cs="Times New Roman"/>
          <w:sz w:val="24"/>
          <w:szCs w:val="24"/>
        </w:rPr>
        <w:t>(“</w:t>
      </w:r>
      <w:r w:rsidR="002E1415" w:rsidRPr="002E1415">
        <w:rPr>
          <w:rFonts w:ascii="Times New Roman" w:hAnsi="Times New Roman" w:cs="Times New Roman"/>
          <w:sz w:val="24"/>
          <w:szCs w:val="24"/>
        </w:rPr>
        <w:t>Karstais pielāgotais</w:t>
      </w:r>
      <w:r w:rsidRPr="002E1415">
        <w:rPr>
          <w:rFonts w:ascii="Times New Roman" w:hAnsi="Times New Roman" w:cs="Times New Roman"/>
          <w:sz w:val="24"/>
          <w:szCs w:val="24"/>
        </w:rPr>
        <w:t>”)</w:t>
      </w:r>
      <w:r w:rsidRPr="00AB293C">
        <w:rPr>
          <w:rFonts w:ascii="Times New Roman" w:hAnsi="Times New Roman" w:cs="Times New Roman"/>
          <w:sz w:val="24"/>
          <w:szCs w:val="24"/>
        </w:rPr>
        <w:t xml:space="preserve"> gadījumā IKP </w:t>
      </w:r>
      <w:r w:rsidRPr="00062AA0">
        <w:rPr>
          <w:rFonts w:ascii="Times New Roman" w:hAnsi="Times New Roman" w:cs="Times New Roman"/>
          <w:sz w:val="24"/>
          <w:szCs w:val="24"/>
        </w:rPr>
        <w:t>samazinājums</w:t>
      </w:r>
      <w:r w:rsidRPr="00AB293C">
        <w:rPr>
          <w:rFonts w:ascii="Times New Roman" w:hAnsi="Times New Roman" w:cs="Times New Roman"/>
          <w:sz w:val="24"/>
          <w:szCs w:val="24"/>
        </w:rPr>
        <w:t xml:space="preserve"> ir gandrīz četras reizes mazāk</w:t>
      </w:r>
      <w:r>
        <w:rPr>
          <w:rFonts w:ascii="Times New Roman" w:hAnsi="Times New Roman" w:cs="Times New Roman"/>
          <w:sz w:val="24"/>
          <w:szCs w:val="24"/>
        </w:rPr>
        <w:t>s</w:t>
      </w:r>
      <w:r w:rsidRPr="00AB293C">
        <w:rPr>
          <w:rFonts w:ascii="Times New Roman" w:hAnsi="Times New Roman" w:cs="Times New Roman"/>
          <w:sz w:val="24"/>
          <w:szCs w:val="24"/>
        </w:rPr>
        <w:t xml:space="preserve"> (1,65%) un vispārēj</w:t>
      </w:r>
      <w:r>
        <w:rPr>
          <w:rFonts w:ascii="Times New Roman" w:hAnsi="Times New Roman" w:cs="Times New Roman"/>
          <w:sz w:val="24"/>
          <w:szCs w:val="24"/>
        </w:rPr>
        <w:t>ā</w:t>
      </w:r>
      <w:r w:rsidRPr="00AB293C">
        <w:rPr>
          <w:rFonts w:ascii="Times New Roman" w:hAnsi="Times New Roman" w:cs="Times New Roman"/>
          <w:sz w:val="24"/>
          <w:szCs w:val="24"/>
        </w:rPr>
        <w:t>s valdības parāds</w:t>
      </w:r>
      <w:r w:rsidR="002E1B04">
        <w:rPr>
          <w:rFonts w:ascii="Times New Roman" w:hAnsi="Times New Roman" w:cs="Times New Roman"/>
          <w:sz w:val="24"/>
          <w:szCs w:val="24"/>
        </w:rPr>
        <w:t xml:space="preserve"> vairāk nekā</w:t>
      </w:r>
      <w:r w:rsidRPr="00AB293C">
        <w:rPr>
          <w:rFonts w:ascii="Times New Roman" w:hAnsi="Times New Roman" w:cs="Times New Roman"/>
          <w:sz w:val="24"/>
          <w:szCs w:val="24"/>
        </w:rPr>
        <w:t xml:space="preserve"> divreiz mazāks, 8</w:t>
      </w:r>
      <w:r w:rsidR="002E1B04">
        <w:rPr>
          <w:rFonts w:ascii="Times New Roman" w:hAnsi="Times New Roman" w:cs="Times New Roman"/>
          <w:sz w:val="24"/>
          <w:szCs w:val="24"/>
        </w:rPr>
        <w:t>0</w:t>
      </w:r>
      <w:r w:rsidRPr="00AB293C">
        <w:rPr>
          <w:rFonts w:ascii="Times New Roman" w:hAnsi="Times New Roman" w:cs="Times New Roman"/>
          <w:sz w:val="24"/>
          <w:szCs w:val="24"/>
        </w:rPr>
        <w:t>,</w:t>
      </w:r>
      <w:r w:rsidR="002E1B04">
        <w:rPr>
          <w:rFonts w:ascii="Times New Roman" w:hAnsi="Times New Roman" w:cs="Times New Roman"/>
          <w:sz w:val="24"/>
          <w:szCs w:val="24"/>
        </w:rPr>
        <w:t>5</w:t>
      </w:r>
      <w:r w:rsidRPr="00AB293C">
        <w:rPr>
          <w:rFonts w:ascii="Times New Roman" w:hAnsi="Times New Roman" w:cs="Times New Roman"/>
          <w:sz w:val="24"/>
          <w:szCs w:val="24"/>
        </w:rPr>
        <w:t>% no IKP</w:t>
      </w:r>
      <w:r w:rsidRPr="009E1160">
        <w:rPr>
          <w:rFonts w:ascii="Times New Roman" w:hAnsi="Times New Roman" w:cs="Times New Roman"/>
          <w:sz w:val="24"/>
          <w:szCs w:val="24"/>
        </w:rPr>
        <w:t>.</w:t>
      </w:r>
    </w:p>
    <w:p w14:paraId="2093EF7F" w14:textId="77777777" w:rsidR="00B74405" w:rsidRPr="009E1160" w:rsidRDefault="00B74405" w:rsidP="00B74405">
      <w:pPr>
        <w:spacing w:after="0" w:line="240" w:lineRule="auto"/>
        <w:ind w:firstLine="720"/>
        <w:jc w:val="both"/>
        <w:rPr>
          <w:rFonts w:ascii="Times New Roman" w:hAnsi="Times New Roman" w:cs="Times New Roman"/>
          <w:sz w:val="24"/>
          <w:szCs w:val="24"/>
        </w:rPr>
      </w:pPr>
    </w:p>
    <w:p w14:paraId="6657AF94" w14:textId="3FD21057" w:rsidR="00B74405" w:rsidRPr="009E1160" w:rsidRDefault="00B67E49" w:rsidP="00B67E49">
      <w:pPr>
        <w:spacing w:after="0" w:line="240" w:lineRule="auto"/>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C9AA60" wp14:editId="4AB38D91">
            <wp:extent cx="3542950" cy="2574544"/>
            <wp:effectExtent l="0" t="0" r="635" b="0"/>
            <wp:docPr id="1064696005" name="Picture 6"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96005" name="Picture 6" descr="A graph of a number of people&#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55941" cy="2583984"/>
                    </a:xfrm>
                    <a:prstGeom prst="rect">
                      <a:avLst/>
                    </a:prstGeom>
                    <a:noFill/>
                  </pic:spPr>
                </pic:pic>
              </a:graphicData>
            </a:graphic>
          </wp:inline>
        </w:drawing>
      </w:r>
    </w:p>
    <w:p w14:paraId="4CF7B5CE" w14:textId="3C644DE6" w:rsidR="00B74405" w:rsidRPr="00FD1CCE" w:rsidRDefault="00FD1CCE" w:rsidP="00FD1CCE">
      <w:pPr>
        <w:ind w:left="1080"/>
        <w:jc w:val="center"/>
        <w:rPr>
          <w:rFonts w:ascii="Times New Roman" w:hAnsi="Times New Roman"/>
          <w:sz w:val="24"/>
          <w:szCs w:val="24"/>
        </w:rPr>
      </w:pPr>
      <w:r>
        <w:rPr>
          <w:rFonts w:ascii="Times New Roman" w:hAnsi="Times New Roman"/>
          <w:b/>
          <w:bCs/>
          <w:sz w:val="24"/>
          <w:szCs w:val="24"/>
        </w:rPr>
        <w:t xml:space="preserve">5.1.6. </w:t>
      </w:r>
      <w:r w:rsidR="00B74405" w:rsidRPr="00FD1CCE">
        <w:rPr>
          <w:rFonts w:ascii="Times New Roman" w:hAnsi="Times New Roman"/>
          <w:b/>
          <w:bCs/>
          <w:sz w:val="24"/>
          <w:szCs w:val="24"/>
        </w:rPr>
        <w:t xml:space="preserve">attēls. </w:t>
      </w:r>
      <w:r w:rsidR="00B74405" w:rsidRPr="00FD1CCE">
        <w:rPr>
          <w:rFonts w:ascii="Times New Roman" w:hAnsi="Times New Roman"/>
          <w:sz w:val="24"/>
          <w:szCs w:val="24"/>
        </w:rPr>
        <w:t xml:space="preserve">Klimata pārmaiņu ilgtermiņa ietekme uz vispārējas valdības parādu (procentos no IKP) atkarība no scenārija. Avots: </w:t>
      </w:r>
      <w:r w:rsidR="00D71C41">
        <w:rPr>
          <w:rFonts w:ascii="Times New Roman" w:hAnsi="Times New Roman"/>
          <w:sz w:val="24"/>
          <w:szCs w:val="24"/>
        </w:rPr>
        <w:t xml:space="preserve">FM aprēķini, izmantojot </w:t>
      </w:r>
      <w:r w:rsidR="00B74405" w:rsidRPr="00FD1CCE">
        <w:rPr>
          <w:rFonts w:ascii="Times New Roman" w:hAnsi="Times New Roman"/>
          <w:sz w:val="24"/>
          <w:szCs w:val="24"/>
        </w:rPr>
        <w:t>Q-CRAFT (2024)</w:t>
      </w:r>
    </w:p>
    <w:p w14:paraId="56066F09" w14:textId="4313801B" w:rsidR="00B74405" w:rsidRPr="009E1160" w:rsidRDefault="00B67E49" w:rsidP="00B67E49">
      <w:pPr>
        <w:pStyle w:val="ListParagraph"/>
        <w:jc w:val="center"/>
        <w:rPr>
          <w:rFonts w:ascii="Times New Roman" w:hAnsi="Times New Roman"/>
          <w:sz w:val="24"/>
          <w:szCs w:val="24"/>
        </w:rPr>
      </w:pPr>
      <w:r>
        <w:rPr>
          <w:rFonts w:ascii="Times New Roman" w:hAnsi="Times New Roman"/>
          <w:noProof/>
          <w:sz w:val="24"/>
          <w:szCs w:val="24"/>
        </w:rPr>
        <w:drawing>
          <wp:inline distT="0" distB="0" distL="0" distR="0" wp14:anchorId="5E265B75" wp14:editId="72629323">
            <wp:extent cx="3665855" cy="2660799"/>
            <wp:effectExtent l="0" t="0" r="0" b="0"/>
            <wp:docPr id="331171103" name="Picture 7" descr="A graph of a graph showing the number of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71103" name="Picture 7" descr="A graph of a graph showing the number of countries/region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86040" cy="2675450"/>
                    </a:xfrm>
                    <a:prstGeom prst="rect">
                      <a:avLst/>
                    </a:prstGeom>
                    <a:noFill/>
                  </pic:spPr>
                </pic:pic>
              </a:graphicData>
            </a:graphic>
          </wp:inline>
        </w:drawing>
      </w:r>
    </w:p>
    <w:p w14:paraId="4FDE85E2" w14:textId="0CCF959B" w:rsidR="00B74405" w:rsidRPr="00FD1CCE" w:rsidRDefault="00FD1CCE" w:rsidP="00FD1CCE">
      <w:pPr>
        <w:ind w:left="1080"/>
        <w:jc w:val="center"/>
        <w:rPr>
          <w:rFonts w:ascii="Times New Roman" w:hAnsi="Times New Roman"/>
          <w:sz w:val="24"/>
          <w:szCs w:val="24"/>
        </w:rPr>
      </w:pPr>
      <w:r w:rsidRPr="00FD1CCE">
        <w:rPr>
          <w:rFonts w:ascii="Times New Roman" w:hAnsi="Times New Roman"/>
          <w:b/>
          <w:bCs/>
          <w:sz w:val="24"/>
          <w:szCs w:val="24"/>
        </w:rPr>
        <w:t xml:space="preserve">5.1.7. </w:t>
      </w:r>
      <w:r w:rsidR="00B74405" w:rsidRPr="00FD1CCE">
        <w:rPr>
          <w:rFonts w:ascii="Times New Roman" w:hAnsi="Times New Roman"/>
          <w:b/>
          <w:bCs/>
          <w:sz w:val="24"/>
          <w:szCs w:val="24"/>
        </w:rPr>
        <w:t>attēls.</w:t>
      </w:r>
      <w:r w:rsidR="00B74405" w:rsidRPr="00FD1CCE">
        <w:rPr>
          <w:rFonts w:ascii="Times New Roman" w:hAnsi="Times New Roman"/>
          <w:sz w:val="24"/>
          <w:szCs w:val="24"/>
        </w:rPr>
        <w:t xml:space="preserve"> Klimata pārmaiņu ilgtermiņa ietekme uz vispārējas valdības budžeta primāro bilanci (procentos no IKP) atkarība no scenārija. Avots: </w:t>
      </w:r>
      <w:r w:rsidR="00D71C41">
        <w:rPr>
          <w:rFonts w:ascii="Times New Roman" w:hAnsi="Times New Roman"/>
          <w:sz w:val="24"/>
          <w:szCs w:val="24"/>
        </w:rPr>
        <w:t xml:space="preserve">FM aprēķini, izmantojot </w:t>
      </w:r>
      <w:r w:rsidR="00B74405" w:rsidRPr="00FD1CCE">
        <w:rPr>
          <w:rFonts w:ascii="Times New Roman" w:hAnsi="Times New Roman"/>
          <w:sz w:val="24"/>
          <w:szCs w:val="24"/>
        </w:rPr>
        <w:t>Q-CRAFT (2024)</w:t>
      </w:r>
    </w:p>
    <w:p w14:paraId="26C3123C" w14:textId="77777777" w:rsidR="00B74405" w:rsidRPr="009E1160" w:rsidRDefault="00B74405" w:rsidP="00B74405">
      <w:pPr>
        <w:spacing w:after="0" w:line="240" w:lineRule="auto"/>
        <w:jc w:val="both"/>
        <w:rPr>
          <w:rFonts w:ascii="Times New Roman" w:hAnsi="Times New Roman" w:cs="Times New Roman"/>
          <w:sz w:val="24"/>
          <w:szCs w:val="24"/>
        </w:rPr>
      </w:pPr>
    </w:p>
    <w:p w14:paraId="249F4730" w14:textId="77777777" w:rsidR="00B74405" w:rsidRDefault="00B74405" w:rsidP="00B7440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Q-CRAFT modelī iegūtajiem rezultātiem, var secināt, ka klimata pārmaiņu pielāgošanās ātruma ietekme uz ekonomisko attīstību, vispārējās valdības parādu un vispārējās valdības budžeta primāro bilanci ir būtiska. Līdz ar to ir nepieciešams laikus tam pievērst uzmanību, </w:t>
      </w:r>
      <w:r w:rsidRPr="008555C2">
        <w:rPr>
          <w:rFonts w:ascii="Times New Roman" w:hAnsi="Times New Roman" w:cs="Times New Roman"/>
          <w:sz w:val="24"/>
          <w:szCs w:val="24"/>
        </w:rPr>
        <w:t xml:space="preserve">jo </w:t>
      </w:r>
      <w:r>
        <w:rPr>
          <w:rFonts w:ascii="Times New Roman" w:hAnsi="Times New Roman" w:cs="Times New Roman"/>
          <w:sz w:val="24"/>
          <w:szCs w:val="24"/>
        </w:rPr>
        <w:t xml:space="preserve">ignorētas </w:t>
      </w:r>
      <w:r w:rsidRPr="008555C2">
        <w:rPr>
          <w:rFonts w:ascii="Times New Roman" w:hAnsi="Times New Roman" w:cs="Times New Roman"/>
          <w:sz w:val="24"/>
          <w:szCs w:val="24"/>
        </w:rPr>
        <w:t>klimata pārmaiņas var radīt</w:t>
      </w:r>
      <w:r>
        <w:rPr>
          <w:rFonts w:ascii="Times New Roman" w:hAnsi="Times New Roman" w:cs="Times New Roman"/>
          <w:sz w:val="24"/>
          <w:szCs w:val="24"/>
        </w:rPr>
        <w:t xml:space="preserve"> lielākas</w:t>
      </w:r>
      <w:r w:rsidRPr="008555C2">
        <w:rPr>
          <w:rFonts w:ascii="Times New Roman" w:hAnsi="Times New Roman" w:cs="Times New Roman"/>
          <w:sz w:val="24"/>
          <w:szCs w:val="24"/>
        </w:rPr>
        <w:t xml:space="preserve"> negatīv</w:t>
      </w:r>
      <w:r>
        <w:rPr>
          <w:rFonts w:ascii="Times New Roman" w:hAnsi="Times New Roman" w:cs="Times New Roman"/>
          <w:sz w:val="24"/>
          <w:szCs w:val="24"/>
        </w:rPr>
        <w:t>ā</w:t>
      </w:r>
      <w:r w:rsidRPr="008555C2">
        <w:rPr>
          <w:rFonts w:ascii="Times New Roman" w:hAnsi="Times New Roman" w:cs="Times New Roman"/>
          <w:sz w:val="24"/>
          <w:szCs w:val="24"/>
        </w:rPr>
        <w:t>s ekonomiskās un fiskālās sekas.</w:t>
      </w:r>
    </w:p>
    <w:p w14:paraId="0D7AC98B" w14:textId="7B442DD0" w:rsidR="00B74405" w:rsidRDefault="00B74405" w:rsidP="00B7440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Papildus norādāms, ka </w:t>
      </w:r>
      <w:r w:rsidRPr="00251741">
        <w:rPr>
          <w:rFonts w:ascii="Times New Roman" w:hAnsi="Times New Roman" w:cs="Times New Roman"/>
          <w:sz w:val="24"/>
          <w:szCs w:val="24"/>
        </w:rPr>
        <w:t>Q-CRAFT modelī iegūtie rezultāti neiekļauj ietekmi no ekstrēmiem klimata notikumiem, jeb dabas katastrofām.</w:t>
      </w:r>
      <w:r w:rsidR="00B720D7">
        <w:rPr>
          <w:rFonts w:ascii="Times New Roman" w:hAnsi="Times New Roman" w:cs="Times New Roman"/>
          <w:sz w:val="24"/>
          <w:szCs w:val="24"/>
        </w:rPr>
        <w:t xml:space="preserve"> </w:t>
      </w:r>
      <w:r w:rsidR="00B720D7" w:rsidRPr="002146E8">
        <w:rPr>
          <w:rFonts w:ascii="Times New Roman" w:hAnsi="Times New Roman" w:cs="Times New Roman"/>
          <w:sz w:val="24"/>
          <w:szCs w:val="24"/>
        </w:rPr>
        <w:t>Kā arī modelī iegūtos rezultātus nevar salīdzināt ar deklarācijas 4.4</w:t>
      </w:r>
      <w:r w:rsidR="00B720D7">
        <w:rPr>
          <w:rFonts w:ascii="Times New Roman" w:hAnsi="Times New Roman" w:cs="Times New Roman"/>
          <w:sz w:val="24"/>
          <w:szCs w:val="24"/>
        </w:rPr>
        <w:t>.</w:t>
      </w:r>
      <w:r w:rsidR="00B720D7" w:rsidRPr="002146E8">
        <w:rPr>
          <w:rFonts w:ascii="Times New Roman" w:hAnsi="Times New Roman" w:cs="Times New Roman"/>
          <w:sz w:val="24"/>
          <w:szCs w:val="24"/>
        </w:rPr>
        <w:t xml:space="preserve"> sadaļā </w:t>
      </w:r>
      <w:r w:rsidR="00B720D7">
        <w:rPr>
          <w:rFonts w:ascii="Times New Roman" w:hAnsi="Times New Roman" w:cs="Times New Roman"/>
          <w:sz w:val="24"/>
          <w:szCs w:val="24"/>
        </w:rPr>
        <w:t>iegūtajiem rezultātiem</w:t>
      </w:r>
      <w:r w:rsidR="00B720D7" w:rsidRPr="002146E8">
        <w:rPr>
          <w:rFonts w:ascii="Times New Roman" w:hAnsi="Times New Roman" w:cs="Times New Roman"/>
          <w:sz w:val="24"/>
          <w:szCs w:val="24"/>
        </w:rPr>
        <w:t xml:space="preserve">, ņemot vērā, ka modeļu metodoloģija atšķiras, kā arī </w:t>
      </w:r>
      <w:r w:rsidR="003E1F91">
        <w:rPr>
          <w:rFonts w:ascii="Times New Roman" w:hAnsi="Times New Roman" w:cs="Times New Roman"/>
          <w:sz w:val="24"/>
          <w:szCs w:val="24"/>
        </w:rPr>
        <w:t>ie</w:t>
      </w:r>
      <w:r w:rsidR="00B720D7" w:rsidRPr="002146E8">
        <w:rPr>
          <w:rFonts w:ascii="Times New Roman" w:hAnsi="Times New Roman" w:cs="Times New Roman"/>
          <w:sz w:val="24"/>
          <w:szCs w:val="24"/>
        </w:rPr>
        <w:t>gūtie rezultāti ir paredzēti dažādiem nolūkiem.</w:t>
      </w:r>
    </w:p>
    <w:p w14:paraId="3A928973" w14:textId="77777777" w:rsidR="00B74405" w:rsidRDefault="00B74405" w:rsidP="00B74405">
      <w:pPr>
        <w:spacing w:after="0" w:line="240" w:lineRule="auto"/>
        <w:ind w:firstLine="720"/>
        <w:jc w:val="both"/>
        <w:rPr>
          <w:rFonts w:ascii="Times New Roman" w:hAnsi="Times New Roman" w:cs="Times New Roman"/>
          <w:sz w:val="24"/>
          <w:szCs w:val="24"/>
        </w:rPr>
      </w:pPr>
      <w:r w:rsidRPr="008555C2">
        <w:rPr>
          <w:rFonts w:ascii="Times New Roman" w:hAnsi="Times New Roman" w:cs="Times New Roman"/>
          <w:sz w:val="24"/>
          <w:szCs w:val="24"/>
        </w:rPr>
        <w:t xml:space="preserve">Pat ja </w:t>
      </w:r>
      <w:r>
        <w:rPr>
          <w:rFonts w:ascii="Times New Roman" w:hAnsi="Times New Roman" w:cs="Times New Roman"/>
          <w:sz w:val="24"/>
          <w:szCs w:val="24"/>
        </w:rPr>
        <w:t xml:space="preserve">šodien pasaulē tiktu </w:t>
      </w:r>
      <w:r w:rsidRPr="008555C2">
        <w:rPr>
          <w:rFonts w:ascii="Times New Roman" w:hAnsi="Times New Roman" w:cs="Times New Roman"/>
          <w:sz w:val="24"/>
          <w:szCs w:val="24"/>
        </w:rPr>
        <w:t>sasniegt</w:t>
      </w:r>
      <w:r>
        <w:rPr>
          <w:rFonts w:ascii="Times New Roman" w:hAnsi="Times New Roman" w:cs="Times New Roman"/>
          <w:sz w:val="24"/>
          <w:szCs w:val="24"/>
        </w:rPr>
        <w:t>a</w:t>
      </w:r>
      <w:r w:rsidRPr="008555C2">
        <w:rPr>
          <w:rFonts w:ascii="Times New Roman" w:hAnsi="Times New Roman" w:cs="Times New Roman"/>
          <w:sz w:val="24"/>
          <w:szCs w:val="24"/>
        </w:rPr>
        <w:t xml:space="preserve"> klimatneitralitāt</w:t>
      </w:r>
      <w:r>
        <w:rPr>
          <w:rFonts w:ascii="Times New Roman" w:hAnsi="Times New Roman" w:cs="Times New Roman"/>
          <w:sz w:val="24"/>
          <w:szCs w:val="24"/>
        </w:rPr>
        <w:t>e</w:t>
      </w:r>
      <w:r w:rsidRPr="008555C2">
        <w:rPr>
          <w:rFonts w:ascii="Times New Roman" w:hAnsi="Times New Roman" w:cs="Times New Roman"/>
          <w:sz w:val="24"/>
          <w:szCs w:val="24"/>
        </w:rPr>
        <w:t>, temperatūra joprojām augtu dažus gadus</w:t>
      </w:r>
      <w:r>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w:t>
      </w:r>
      <w:r w:rsidRPr="008555C2">
        <w:rPr>
          <w:rFonts w:ascii="Times New Roman" w:hAnsi="Times New Roman" w:cs="Times New Roman"/>
          <w:sz w:val="24"/>
          <w:szCs w:val="24"/>
        </w:rPr>
        <w:t>To ir iespējams ierobežot/novērst tikai ar negatīvām neto SEG emisijām.</w:t>
      </w:r>
    </w:p>
    <w:p w14:paraId="53BF4D1B" w14:textId="3E4B860E" w:rsidR="00B74405" w:rsidRDefault="00B74405" w:rsidP="00B67E4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S</w:t>
      </w:r>
      <w:r w:rsidRPr="008555C2">
        <w:rPr>
          <w:rFonts w:ascii="Times New Roman" w:hAnsi="Times New Roman" w:cs="Times New Roman"/>
          <w:sz w:val="24"/>
          <w:szCs w:val="24"/>
        </w:rPr>
        <w:t>ekmīga SEG emisiju mazināšana, var samazināt klimata pārmaiņu ietekmi, jo samazina klimata pārmaiņas, tomēr tikai, ja tas notiek globāli. Atsevišķa ietekme no Latvijas SEG emisijām ir gandrīz nenozīmīga (2022. gadā Latvijas SEG emisijas veido 0,31% no ES27 kopējam emisijām un 0,021% no kopējam pasaules emisijām</w:t>
      </w:r>
      <w:r>
        <w:rPr>
          <w:rStyle w:val="FootnoteReference"/>
          <w:rFonts w:ascii="Times New Roman" w:hAnsi="Times New Roman" w:cs="Times New Roman"/>
          <w:sz w:val="24"/>
          <w:szCs w:val="24"/>
        </w:rPr>
        <w:footnoteReference w:id="90"/>
      </w:r>
      <w:r w:rsidRPr="008555C2">
        <w:rPr>
          <w:rFonts w:ascii="Times New Roman" w:hAnsi="Times New Roman" w:cs="Times New Roman"/>
          <w:sz w:val="24"/>
          <w:szCs w:val="24"/>
        </w:rPr>
        <w:t>).</w:t>
      </w:r>
    </w:p>
    <w:p w14:paraId="77D8854F" w14:textId="667E7BE7" w:rsidR="00AE48DE" w:rsidRPr="008555C2" w:rsidRDefault="00425B33" w:rsidP="00425B33">
      <w:pPr>
        <w:pStyle w:val="Heading2"/>
        <w:numPr>
          <w:ilvl w:val="0"/>
          <w:numId w:val="0"/>
        </w:numPr>
        <w:ind w:left="2411"/>
        <w:jc w:val="left"/>
      </w:pPr>
      <w:bookmarkStart w:id="359" w:name="_Toc205554437"/>
      <w:r>
        <w:t>5.2.</w:t>
      </w:r>
      <w:r w:rsidR="00AE48DE" w:rsidRPr="008555C2">
        <w:t xml:space="preserve"> </w:t>
      </w:r>
      <w:r w:rsidR="00AE48DE" w:rsidRPr="00062AA0">
        <w:t>Starptautiskās saistības klimata pārmaiņu mazināšanā</w:t>
      </w:r>
      <w:bookmarkEnd w:id="359"/>
    </w:p>
    <w:p w14:paraId="75FB1F06" w14:textId="1BD4222F" w:rsidR="00212563" w:rsidRPr="00651B1C" w:rsidRDefault="00212563" w:rsidP="00350733">
      <w:pPr>
        <w:spacing w:after="0" w:line="240" w:lineRule="auto"/>
        <w:ind w:firstLine="720"/>
        <w:jc w:val="both"/>
        <w:rPr>
          <w:rFonts w:ascii="Times New Roman" w:hAnsi="Times New Roman" w:cs="Times New Roman"/>
          <w:color w:val="212529"/>
          <w:sz w:val="24"/>
          <w:szCs w:val="24"/>
          <w:shd w:val="clear" w:color="auto" w:fill="FFFFFF"/>
        </w:rPr>
      </w:pPr>
    </w:p>
    <w:p w14:paraId="73804592" w14:textId="1C9E6672" w:rsidR="00552B90" w:rsidRPr="00651B1C" w:rsidRDefault="00552B90" w:rsidP="00552B90">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Globālās sasilšanas mazināšanas mērķi ir pieņemti Kioto 1997.</w:t>
      </w:r>
      <w:r w:rsidR="00586E18">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gadā, Kopenhāgenā 2009.</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gadā un Parīzē 2015.</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 xml:space="preserve">gadā. </w:t>
      </w:r>
    </w:p>
    <w:p w14:paraId="1AF9F025" w14:textId="1FF9B3A5" w:rsidR="00552B90" w:rsidRPr="00651B1C" w:rsidRDefault="2AAE9B53" w:rsidP="00552B90">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Tieši Parīzē 2015.</w:t>
      </w:r>
      <w:r w:rsidR="6AB1F788" w:rsidRPr="00651B1C">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 xml:space="preserve">gada decembrī tika pieņemts nozīmīgs ilgtermiņa dokuments </w:t>
      </w:r>
      <w:r w:rsidR="00597FA9" w:rsidRPr="469479B5">
        <w:rPr>
          <w:rFonts w:ascii="Times New Roman" w:hAnsi="Times New Roman" w:cs="Times New Roman"/>
          <w:color w:val="000000" w:themeColor="text1"/>
          <w:sz w:val="24"/>
          <w:szCs w:val="24"/>
        </w:rPr>
        <w:t>–</w:t>
      </w:r>
      <w:r w:rsidRPr="00651B1C">
        <w:rPr>
          <w:rFonts w:ascii="Times New Roman" w:hAnsi="Times New Roman" w:cs="Times New Roman"/>
          <w:color w:val="212529"/>
          <w:sz w:val="24"/>
          <w:szCs w:val="24"/>
          <w:shd w:val="clear" w:color="auto" w:fill="FFFFFF"/>
        </w:rPr>
        <w:t xml:space="preserve"> Parīzes nolīgums, kura mērķis ir stiprināt globālo rīcību klimata pārmaiņu novēršanai un noturēt globālo sasilšanu būtiski zem 2</w:t>
      </w:r>
      <w:r w:rsidR="00887BCA" w:rsidRPr="009E1160">
        <w:rPr>
          <w:rFonts w:ascii="Times New Roman" w:hAnsi="Times New Roman"/>
          <w:sz w:val="24"/>
          <w:szCs w:val="24"/>
        </w:rPr>
        <w:t>°</w:t>
      </w:r>
      <w:r w:rsidRPr="00651B1C">
        <w:rPr>
          <w:rFonts w:ascii="Times New Roman" w:hAnsi="Times New Roman" w:cs="Times New Roman"/>
          <w:color w:val="212529"/>
          <w:sz w:val="24"/>
          <w:szCs w:val="24"/>
          <w:shd w:val="clear" w:color="auto" w:fill="FFFFFF"/>
        </w:rPr>
        <w:t>C robežas, salīdzinot ar pirmsindustriālo līmeni un censties ierobežot temperatūras pieaugumu 1,5</w:t>
      </w:r>
      <w:r w:rsidR="00887BCA" w:rsidRPr="009E1160">
        <w:rPr>
          <w:rFonts w:ascii="Times New Roman" w:hAnsi="Times New Roman"/>
          <w:sz w:val="24"/>
          <w:szCs w:val="24"/>
        </w:rPr>
        <w:t>°</w:t>
      </w:r>
      <w:r w:rsidRPr="00651B1C">
        <w:rPr>
          <w:rFonts w:ascii="Times New Roman" w:hAnsi="Times New Roman" w:cs="Times New Roman"/>
          <w:color w:val="212529"/>
          <w:sz w:val="24"/>
          <w:szCs w:val="24"/>
          <w:shd w:val="clear" w:color="auto" w:fill="FFFFFF"/>
        </w:rPr>
        <w:t>C robežās, jo tas būtiski samazinās klimata pārmaiņu izraisītos riskus un ietekmes. Parīzes nolīgums paredz sekmēt investīciju novirzīšanu oglekļa mazietilpīgai un klimatnoturīgai attīstībai. Latvija Parīzes nolīgumu ratificēja 2017.</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gadā.</w:t>
      </w:r>
    </w:p>
    <w:p w14:paraId="017E89E5" w14:textId="0626A7FD" w:rsidR="00552B90" w:rsidRPr="00651B1C" w:rsidRDefault="00552B90" w:rsidP="00552B90">
      <w:pPr>
        <w:spacing w:after="0" w:line="240" w:lineRule="auto"/>
        <w:ind w:firstLine="720"/>
        <w:jc w:val="both"/>
        <w:rPr>
          <w:rFonts w:ascii="Times New Roman" w:hAnsi="Times New Roman"/>
          <w:color w:val="212529"/>
          <w:shd w:val="clear" w:color="auto" w:fill="FFFFFF"/>
        </w:rPr>
      </w:pPr>
      <w:r w:rsidRPr="00651B1C">
        <w:rPr>
          <w:rFonts w:ascii="Times New Roman" w:hAnsi="Times New Roman" w:cs="Times New Roman"/>
          <w:color w:val="212529"/>
          <w:sz w:val="24"/>
          <w:szCs w:val="24"/>
          <w:shd w:val="clear" w:color="auto" w:fill="FFFFFF"/>
        </w:rPr>
        <w:t>Latvijas pien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kumi Par</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zes nol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guma kontekst</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noteica </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stenot saist</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bas, ko paredz ES NDC, kas paredz</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ja ES dal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bvalstu kop</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go ap</w:t>
      </w:r>
      <w:r w:rsidRPr="00651B1C">
        <w:rPr>
          <w:rFonts w:ascii="Times New Roman" w:hAnsi="Times New Roman" w:cs="Times New Roman" w:hint="eastAsia"/>
          <w:color w:val="212529"/>
          <w:sz w:val="24"/>
          <w:szCs w:val="24"/>
          <w:shd w:val="clear" w:color="auto" w:fill="FFFFFF"/>
        </w:rPr>
        <w:t>ņ</w:t>
      </w:r>
      <w:r w:rsidRPr="00651B1C">
        <w:rPr>
          <w:rFonts w:ascii="Times New Roman" w:hAnsi="Times New Roman" w:cs="Times New Roman"/>
          <w:color w:val="212529"/>
          <w:sz w:val="24"/>
          <w:szCs w:val="24"/>
          <w:shd w:val="clear" w:color="auto" w:fill="FFFFFF"/>
        </w:rPr>
        <w:t>em</w:t>
      </w:r>
      <w:r w:rsidRPr="00651B1C">
        <w:rPr>
          <w:rFonts w:ascii="Times New Roman" w:hAnsi="Times New Roman" w:cs="Times New Roman" w:hint="eastAsia"/>
          <w:color w:val="212529"/>
          <w:sz w:val="24"/>
          <w:szCs w:val="24"/>
          <w:shd w:val="clear" w:color="auto" w:fill="FFFFFF"/>
        </w:rPr>
        <w:t>š</w:t>
      </w:r>
      <w:r w:rsidRPr="00651B1C">
        <w:rPr>
          <w:rFonts w:ascii="Times New Roman" w:hAnsi="Times New Roman" w:cs="Times New Roman"/>
          <w:color w:val="212529"/>
          <w:sz w:val="24"/>
          <w:szCs w:val="24"/>
          <w:shd w:val="clear" w:color="auto" w:fill="FFFFFF"/>
        </w:rPr>
        <w:t>anos samazin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 SEG emisijas par vismaz 40% 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 2030.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gadam, sal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dzinot ar 1990.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gadu.</w:t>
      </w:r>
    </w:p>
    <w:p w14:paraId="6E7CD07C" w14:textId="07913B0B" w:rsidR="00552B90" w:rsidRPr="00651B1C" w:rsidRDefault="00552B90" w:rsidP="00552B90">
      <w:pPr>
        <w:spacing w:after="0" w:line="240" w:lineRule="auto"/>
        <w:ind w:firstLine="720"/>
        <w:jc w:val="both"/>
        <w:rPr>
          <w:rFonts w:ascii="Times New Roman" w:hAnsi="Times New Roman"/>
          <w:color w:val="212529"/>
          <w:shd w:val="clear" w:color="auto" w:fill="FFFFFF"/>
        </w:rPr>
      </w:pPr>
      <w:r w:rsidRPr="00651B1C">
        <w:rPr>
          <w:rFonts w:ascii="Times New Roman" w:hAnsi="Times New Roman" w:cs="Times New Roman"/>
          <w:color w:val="212529"/>
          <w:sz w:val="24"/>
          <w:szCs w:val="24"/>
          <w:shd w:val="clear" w:color="auto" w:fill="FFFFFF"/>
        </w:rPr>
        <w:t>2020.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 decembr</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 xml:space="preserve"> ES t</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s dal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bvalstu v</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ANO Visp</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s konvencijas par klimata p</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rmai</w:t>
      </w:r>
      <w:r w:rsidRPr="00651B1C">
        <w:rPr>
          <w:rFonts w:ascii="Times New Roman" w:hAnsi="Times New Roman" w:cs="Times New Roman" w:hint="eastAsia"/>
          <w:color w:val="212529"/>
          <w:sz w:val="24"/>
          <w:szCs w:val="24"/>
          <w:shd w:val="clear" w:color="auto" w:fill="FFFFFF"/>
        </w:rPr>
        <w:t>ņā</w:t>
      </w:r>
      <w:r w:rsidRPr="00651B1C">
        <w:rPr>
          <w:rFonts w:ascii="Times New Roman" w:hAnsi="Times New Roman" w:cs="Times New Roman"/>
          <w:color w:val="212529"/>
          <w:sz w:val="24"/>
          <w:szCs w:val="24"/>
          <w:shd w:val="clear" w:color="auto" w:fill="FFFFFF"/>
        </w:rPr>
        <w:t>m sekretari</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tam iesniedza atjaunotu ES NDC,</w:t>
      </w:r>
      <w:r w:rsidRPr="00651B1C" w:rsidDel="007A3519">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kur</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atspogu</w:t>
      </w:r>
      <w:r w:rsidRPr="00651B1C">
        <w:rPr>
          <w:rFonts w:ascii="Times New Roman" w:hAnsi="Times New Roman" w:cs="Times New Roman" w:hint="eastAsia"/>
          <w:color w:val="212529"/>
          <w:sz w:val="24"/>
          <w:szCs w:val="24"/>
          <w:shd w:val="clear" w:color="auto" w:fill="FFFFFF"/>
        </w:rPr>
        <w:t>ļ</w:t>
      </w:r>
      <w:r w:rsidRPr="00651B1C">
        <w:rPr>
          <w:rFonts w:ascii="Times New Roman" w:hAnsi="Times New Roman" w:cs="Times New Roman"/>
          <w:color w:val="212529"/>
          <w:sz w:val="24"/>
          <w:szCs w:val="24"/>
          <w:shd w:val="clear" w:color="auto" w:fill="FFFFFF"/>
        </w:rPr>
        <w:t>ots ambicioz</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ks ES SEG emisiju samazin</w:t>
      </w:r>
      <w:r w:rsidRPr="00651B1C">
        <w:rPr>
          <w:rFonts w:ascii="Times New Roman" w:hAnsi="Times New Roman" w:cs="Times New Roman" w:hint="eastAsia"/>
          <w:color w:val="212529"/>
          <w:sz w:val="24"/>
          <w:szCs w:val="24"/>
          <w:shd w:val="clear" w:color="auto" w:fill="FFFFFF"/>
        </w:rPr>
        <w:t>āš</w:t>
      </w:r>
      <w:r w:rsidRPr="00651B1C">
        <w:rPr>
          <w:rFonts w:ascii="Times New Roman" w:hAnsi="Times New Roman" w:cs="Times New Roman"/>
          <w:color w:val="212529"/>
          <w:sz w:val="24"/>
          <w:szCs w:val="24"/>
          <w:shd w:val="clear" w:color="auto" w:fill="FFFFFF"/>
        </w:rPr>
        <w:t>anas m</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r</w:t>
      </w:r>
      <w:r w:rsidRPr="00651B1C">
        <w:rPr>
          <w:rFonts w:ascii="Times New Roman" w:hAnsi="Times New Roman" w:cs="Times New Roman" w:hint="eastAsia"/>
          <w:color w:val="212529"/>
          <w:sz w:val="24"/>
          <w:szCs w:val="24"/>
          <w:shd w:val="clear" w:color="auto" w:fill="FFFFFF"/>
        </w:rPr>
        <w:t>ķ</w:t>
      </w:r>
      <w:r w:rsidRPr="00651B1C">
        <w:rPr>
          <w:rFonts w:ascii="Times New Roman" w:hAnsi="Times New Roman" w:cs="Times New Roman"/>
          <w:color w:val="212529"/>
          <w:sz w:val="24"/>
          <w:szCs w:val="24"/>
          <w:shd w:val="clear" w:color="auto" w:fill="FFFFFF"/>
        </w:rPr>
        <w:t>is, paredzot vismaz 55% samazin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jumu 2030.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sal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jum</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ar 1990.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gadu.</w:t>
      </w:r>
      <w:r w:rsidRPr="00651B1C">
        <w:rPr>
          <w:rFonts w:ascii="Times New Roman" w:hAnsi="Times New Roman" w:cs="Times New Roman" w:hint="eastAsia"/>
          <w:color w:val="212529"/>
          <w:sz w:val="24"/>
          <w:szCs w:val="24"/>
          <w:shd w:val="clear" w:color="auto" w:fill="FFFFFF"/>
        </w:rPr>
        <w:t> </w:t>
      </w:r>
    </w:p>
    <w:p w14:paraId="45570B07" w14:textId="4A97FEB8" w:rsidR="00552B90" w:rsidRPr="00651B1C" w:rsidRDefault="00552B90" w:rsidP="00552B90">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2019.</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 decembr</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 xml:space="preserve"> EK 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ca klaj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ar pazi</w:t>
      </w:r>
      <w:r w:rsidRPr="00651B1C">
        <w:rPr>
          <w:rFonts w:ascii="Times New Roman" w:hAnsi="Times New Roman" w:cs="Times New Roman" w:hint="eastAsia"/>
          <w:color w:val="212529"/>
          <w:sz w:val="24"/>
          <w:szCs w:val="24"/>
          <w:shd w:val="clear" w:color="auto" w:fill="FFFFFF"/>
        </w:rPr>
        <w:t>ņ</w:t>
      </w:r>
      <w:r w:rsidRPr="00651B1C">
        <w:rPr>
          <w:rFonts w:ascii="Times New Roman" w:hAnsi="Times New Roman" w:cs="Times New Roman"/>
          <w:color w:val="212529"/>
          <w:sz w:val="24"/>
          <w:szCs w:val="24"/>
          <w:shd w:val="clear" w:color="auto" w:fill="FFFFFF"/>
        </w:rPr>
        <w:t>ojumu</w:t>
      </w:r>
      <w:r w:rsidR="00B74405">
        <w:rPr>
          <w:rFonts w:ascii="Times New Roman" w:hAnsi="Times New Roman" w:cs="Times New Roman"/>
          <w:color w:val="212529"/>
          <w:sz w:val="24"/>
          <w:szCs w:val="24"/>
          <w:shd w:val="clear" w:color="auto" w:fill="FFFFFF"/>
        </w:rPr>
        <w:t xml:space="preserve"> “</w:t>
      </w:r>
      <w:r w:rsidRPr="00651B1C">
        <w:rPr>
          <w:rStyle w:val="Strong"/>
          <w:rFonts w:ascii="Times New Roman" w:hAnsi="Times New Roman" w:cs="Times New Roman"/>
          <w:b w:val="0"/>
          <w:bCs w:val="0"/>
          <w:i/>
          <w:iCs/>
          <w:color w:val="212529"/>
          <w:sz w:val="24"/>
          <w:szCs w:val="24"/>
        </w:rPr>
        <w:t>Eiropas Za</w:t>
      </w:r>
      <w:r w:rsidRPr="00651B1C">
        <w:rPr>
          <w:rStyle w:val="Strong"/>
          <w:rFonts w:ascii="Times New Roman" w:hAnsi="Times New Roman" w:cs="Times New Roman" w:hint="eastAsia"/>
          <w:b w:val="0"/>
          <w:bCs w:val="0"/>
          <w:i/>
          <w:iCs/>
          <w:color w:val="212529"/>
          <w:sz w:val="24"/>
          <w:szCs w:val="24"/>
        </w:rPr>
        <w:t>ļ</w:t>
      </w:r>
      <w:r w:rsidRPr="00651B1C">
        <w:rPr>
          <w:rStyle w:val="Strong"/>
          <w:rFonts w:ascii="Times New Roman" w:hAnsi="Times New Roman" w:cs="Times New Roman"/>
          <w:b w:val="0"/>
          <w:bCs w:val="0"/>
          <w:i/>
          <w:iCs/>
          <w:color w:val="212529"/>
          <w:sz w:val="24"/>
          <w:szCs w:val="24"/>
        </w:rPr>
        <w:t>ais kurss</w:t>
      </w:r>
      <w:r w:rsidRPr="00651B1C">
        <w:rPr>
          <w:rStyle w:val="Strong"/>
          <w:rFonts w:ascii="Times New Roman" w:hAnsi="Times New Roman" w:cs="Times New Roman"/>
          <w:b w:val="0"/>
          <w:bCs w:val="0"/>
          <w:color w:val="212529"/>
          <w:sz w:val="24"/>
          <w:szCs w:val="24"/>
        </w:rPr>
        <w:t>”,</w:t>
      </w:r>
      <w:r w:rsidRPr="00651B1C" w:rsidDel="007A3519">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kas paredz izstr</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 un ieviest visaptvero</w:t>
      </w:r>
      <w:r w:rsidRPr="00651B1C">
        <w:rPr>
          <w:rFonts w:ascii="Times New Roman" w:hAnsi="Times New Roman" w:cs="Times New Roman" w:hint="eastAsia"/>
          <w:color w:val="212529"/>
          <w:sz w:val="24"/>
          <w:szCs w:val="24"/>
          <w:shd w:val="clear" w:color="auto" w:fill="FFFFFF"/>
        </w:rPr>
        <w:t>š</w:t>
      </w:r>
      <w:r w:rsidRPr="00651B1C">
        <w:rPr>
          <w:rFonts w:ascii="Times New Roman" w:hAnsi="Times New Roman" w:cs="Times New Roman"/>
          <w:color w:val="212529"/>
          <w:sz w:val="24"/>
          <w:szCs w:val="24"/>
          <w:shd w:val="clear" w:color="auto" w:fill="FFFFFF"/>
        </w:rPr>
        <w:t>as Eiropas 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me</w:t>
      </w:r>
      <w:r w:rsidRPr="00651B1C">
        <w:rPr>
          <w:rFonts w:ascii="Times New Roman" w:hAnsi="Times New Roman" w:cs="Times New Roman" w:hint="eastAsia"/>
          <w:color w:val="212529"/>
          <w:sz w:val="24"/>
          <w:szCs w:val="24"/>
          <w:shd w:val="clear" w:color="auto" w:fill="FFFFFF"/>
        </w:rPr>
        <w:t>ņ</w:t>
      </w:r>
      <w:r w:rsidRPr="00651B1C">
        <w:rPr>
          <w:rFonts w:ascii="Times New Roman" w:hAnsi="Times New Roman" w:cs="Times New Roman"/>
          <w:color w:val="212529"/>
          <w:sz w:val="24"/>
          <w:szCs w:val="24"/>
          <w:shd w:val="clear" w:color="auto" w:fill="FFFFFF"/>
        </w:rPr>
        <w:t>a politikas iniciat</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vas, lai ES līdz 2050.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 xml:space="preserve">gadam panāktu klimatneitralitāti. </w:t>
      </w:r>
    </w:p>
    <w:p w14:paraId="1BF393FC" w14:textId="75071A40" w:rsidR="00DC74A7" w:rsidRPr="00651B1C" w:rsidRDefault="00552B90" w:rsidP="00DC74A7">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color w:val="212529"/>
          <w:sz w:val="24"/>
          <w:szCs w:val="24"/>
          <w:shd w:val="clear" w:color="auto" w:fill="FFFFFF"/>
        </w:rPr>
        <w:t>Savuk</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rt 2021.</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 14.</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j</w:t>
      </w:r>
      <w:r w:rsidRPr="00651B1C">
        <w:rPr>
          <w:rFonts w:ascii="Times New Roman" w:hAnsi="Times New Roman" w:cs="Times New Roman" w:hint="eastAsia"/>
          <w:color w:val="212529"/>
          <w:sz w:val="24"/>
          <w:szCs w:val="24"/>
          <w:shd w:val="clear" w:color="auto" w:fill="FFFFFF"/>
        </w:rPr>
        <w:t>ū</w:t>
      </w:r>
      <w:r w:rsidRPr="00651B1C">
        <w:rPr>
          <w:rFonts w:ascii="Times New Roman" w:hAnsi="Times New Roman" w:cs="Times New Roman"/>
          <w:color w:val="212529"/>
          <w:sz w:val="24"/>
          <w:szCs w:val="24"/>
          <w:shd w:val="clear" w:color="auto" w:fill="FFFFFF"/>
        </w:rPr>
        <w:t>lij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EK 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ca klaj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ar apjom</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gu p</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rskat</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to normat</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vo aktu priek</w:t>
      </w:r>
      <w:r w:rsidRPr="00651B1C">
        <w:rPr>
          <w:rFonts w:ascii="Times New Roman" w:hAnsi="Times New Roman" w:cs="Times New Roman" w:hint="eastAsia"/>
          <w:color w:val="212529"/>
          <w:sz w:val="24"/>
          <w:szCs w:val="24"/>
          <w:shd w:val="clear" w:color="auto" w:fill="FFFFFF"/>
        </w:rPr>
        <w:t>š</w:t>
      </w:r>
      <w:r w:rsidRPr="00651B1C">
        <w:rPr>
          <w:rFonts w:ascii="Times New Roman" w:hAnsi="Times New Roman" w:cs="Times New Roman"/>
          <w:color w:val="212529"/>
          <w:sz w:val="24"/>
          <w:szCs w:val="24"/>
          <w:shd w:val="clear" w:color="auto" w:fill="FFFFFF"/>
        </w:rPr>
        <w:t>likumu pakotni visas ES tautsaimniec</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bas transform</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cijai, kas izstr</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ta, lai </w:t>
      </w:r>
      <w:r w:rsidRPr="00651B1C">
        <w:rPr>
          <w:rFonts w:ascii="Times New Roman" w:hAnsi="Times New Roman" w:cs="Times New Roman" w:hint="eastAsia"/>
          <w:color w:val="212529"/>
          <w:sz w:val="24"/>
          <w:szCs w:val="24"/>
          <w:shd w:val="clear" w:color="auto" w:fill="FFFFFF"/>
        </w:rPr>
        <w:t>š</w:t>
      </w:r>
      <w:r w:rsidRPr="00651B1C">
        <w:rPr>
          <w:rFonts w:ascii="Times New Roman" w:hAnsi="Times New Roman" w:cs="Times New Roman"/>
          <w:color w:val="212529"/>
          <w:sz w:val="24"/>
          <w:szCs w:val="24"/>
          <w:shd w:val="clear" w:color="auto" w:fill="FFFFFF"/>
        </w:rPr>
        <w:t>aj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desmitgad</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 xml:space="preserve"> veiksm</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 xml:space="preserve">gi </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 xml:space="preserve">stenotu </w:t>
      </w:r>
      <w:r w:rsidRPr="00651B1C">
        <w:rPr>
          <w:rFonts w:ascii="Times New Roman" w:hAnsi="Times New Roman" w:cs="Times New Roman"/>
          <w:i/>
          <w:iCs/>
          <w:color w:val="212529"/>
          <w:sz w:val="24"/>
          <w:szCs w:val="24"/>
          <w:shd w:val="clear" w:color="auto" w:fill="FFFFFF"/>
        </w:rPr>
        <w:t>Eiropas Za</w:t>
      </w:r>
      <w:r w:rsidRPr="00651B1C">
        <w:rPr>
          <w:rFonts w:ascii="Times New Roman" w:hAnsi="Times New Roman" w:cs="Times New Roman" w:hint="eastAsia"/>
          <w:i/>
          <w:iCs/>
          <w:color w:val="212529"/>
          <w:sz w:val="24"/>
          <w:szCs w:val="24"/>
          <w:shd w:val="clear" w:color="auto" w:fill="FFFFFF"/>
        </w:rPr>
        <w:t>ļ</w:t>
      </w:r>
      <w:r w:rsidRPr="00651B1C">
        <w:rPr>
          <w:rFonts w:ascii="Times New Roman" w:hAnsi="Times New Roman" w:cs="Times New Roman"/>
          <w:i/>
          <w:iCs/>
          <w:color w:val="212529"/>
          <w:sz w:val="24"/>
          <w:szCs w:val="24"/>
          <w:shd w:val="clear" w:color="auto" w:fill="FFFFFF"/>
        </w:rPr>
        <w:t>o kursu</w:t>
      </w:r>
      <w:r w:rsidRPr="00651B1C">
        <w:rPr>
          <w:rFonts w:ascii="Times New Roman" w:hAnsi="Times New Roman" w:cs="Times New Roman"/>
          <w:color w:val="212529"/>
          <w:sz w:val="24"/>
          <w:szCs w:val="24"/>
          <w:shd w:val="clear" w:color="auto" w:fill="FFFFFF"/>
        </w:rPr>
        <w:t>, 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 2030.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gadam sasniedzot jauno, k</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pin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to ES m</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r</w:t>
      </w:r>
      <w:r w:rsidRPr="00651B1C">
        <w:rPr>
          <w:rFonts w:ascii="Times New Roman" w:hAnsi="Times New Roman" w:cs="Times New Roman" w:hint="eastAsia"/>
          <w:color w:val="212529"/>
          <w:sz w:val="24"/>
          <w:szCs w:val="24"/>
          <w:shd w:val="clear" w:color="auto" w:fill="FFFFFF"/>
        </w:rPr>
        <w:t>ķ</w:t>
      </w:r>
      <w:r w:rsidRPr="00651B1C">
        <w:rPr>
          <w:rFonts w:ascii="Times New Roman" w:hAnsi="Times New Roman" w:cs="Times New Roman"/>
          <w:color w:val="212529"/>
          <w:sz w:val="24"/>
          <w:szCs w:val="24"/>
          <w:shd w:val="clear" w:color="auto" w:fill="FFFFFF"/>
        </w:rPr>
        <w:t>i – vismaz 55% SEG emisiju neto samazin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jumu sal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jum</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ar 1990.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gadu, – bet 2050.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Eiropa sasniegtu klimatneitralit</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ti.</w:t>
      </w:r>
      <w:r w:rsidR="001D2C74">
        <w:rPr>
          <w:rFonts w:ascii="Times New Roman" w:hAnsi="Times New Roman" w:cs="Times New Roman"/>
          <w:color w:val="212529"/>
          <w:sz w:val="24"/>
          <w:szCs w:val="24"/>
          <w:shd w:val="clear" w:color="auto" w:fill="FFFFFF"/>
        </w:rPr>
        <w:t xml:space="preserve"> </w:t>
      </w:r>
      <w:r w:rsidR="00AE48DE">
        <w:rPr>
          <w:rFonts w:ascii="Times New Roman" w:hAnsi="Times New Roman" w:cs="Times New Roman"/>
          <w:sz w:val="24"/>
          <w:szCs w:val="24"/>
        </w:rPr>
        <w:t xml:space="preserve">Turpmāk tiks </w:t>
      </w:r>
      <w:r w:rsidR="56758603" w:rsidRPr="00940337">
        <w:rPr>
          <w:rFonts w:ascii="Times New Roman" w:hAnsi="Times New Roman" w:cs="Times New Roman"/>
          <w:sz w:val="24"/>
          <w:szCs w:val="24"/>
        </w:rPr>
        <w:t>apskatīts tas finansiālais apmērs, kas rada slodzi uz finanšu resursiem, kas nepieciešami, lai sasniegtu izvirzītos klimata mērķus</w:t>
      </w:r>
      <w:r w:rsidR="00C318A1">
        <w:rPr>
          <w:rStyle w:val="FootnoteReference"/>
          <w:rFonts w:ascii="Times New Roman" w:hAnsi="Times New Roman" w:cs="Times New Roman"/>
          <w:sz w:val="24"/>
          <w:szCs w:val="24"/>
        </w:rPr>
        <w:footnoteReference w:id="91"/>
      </w:r>
      <w:r w:rsidR="00C318A1">
        <w:rPr>
          <w:rFonts w:ascii="Times New Roman" w:hAnsi="Times New Roman" w:cs="Times New Roman"/>
          <w:sz w:val="24"/>
          <w:szCs w:val="24"/>
        </w:rPr>
        <w:t>.</w:t>
      </w:r>
      <w:r w:rsidR="56758603" w:rsidRPr="469479B5">
        <w:rPr>
          <w:rFonts w:ascii="Times New Roman" w:hAnsi="Times New Roman" w:cs="Times New Roman"/>
          <w:sz w:val="24"/>
          <w:szCs w:val="24"/>
        </w:rPr>
        <w:t xml:space="preserve"> </w:t>
      </w:r>
    </w:p>
    <w:p w14:paraId="6A80D88D" w14:textId="21CCF10C" w:rsidR="00DC74A7" w:rsidRPr="00651B1C" w:rsidRDefault="00DC74A7" w:rsidP="00DC74A7">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 xml:space="preserve">Neskatoties uz to, ka mērķu sasniegšanai </w:t>
      </w:r>
      <w:r w:rsidR="00934C8B" w:rsidRPr="009E1160">
        <w:rPr>
          <w:rFonts w:ascii="Times New Roman" w:hAnsi="Times New Roman" w:cs="Times New Roman"/>
          <w:sz w:val="24"/>
          <w:szCs w:val="24"/>
        </w:rPr>
        <w:t xml:space="preserve">nepieciešamās investīcijas </w:t>
      </w:r>
      <w:r w:rsidRPr="00651B1C">
        <w:rPr>
          <w:rFonts w:ascii="Times New Roman" w:hAnsi="Times New Roman" w:cs="Times New Roman"/>
          <w:sz w:val="24"/>
          <w:szCs w:val="24"/>
        </w:rPr>
        <w:t>nav precīzi nosakām</w:t>
      </w:r>
      <w:r w:rsidR="00CB1CD3">
        <w:rPr>
          <w:rFonts w:ascii="Times New Roman" w:hAnsi="Times New Roman" w:cs="Times New Roman"/>
          <w:sz w:val="24"/>
          <w:szCs w:val="24"/>
        </w:rPr>
        <w:t>a</w:t>
      </w:r>
      <w:r w:rsidRPr="00651B1C">
        <w:rPr>
          <w:rFonts w:ascii="Times New Roman" w:hAnsi="Times New Roman" w:cs="Times New Roman"/>
          <w:sz w:val="24"/>
          <w:szCs w:val="24"/>
        </w:rPr>
        <w:t xml:space="preserve">s un to var tikai vispārīgi iezīmēt, ir veikti pētījumi par indikatīvajām papildu izmaksām/investīcijām, kas nepieciešamas klimata mērķu sasniegšanai. </w:t>
      </w:r>
    </w:p>
    <w:p w14:paraId="6C00874A" w14:textId="74DEE40F" w:rsidR="00DC74A7" w:rsidRPr="00651B1C" w:rsidRDefault="56758603" w:rsidP="469479B5">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Starptautiskā Enerģētikas aģentūra aplēš</w:t>
      </w:r>
      <w:r w:rsidR="00DC74A7" w:rsidRPr="00651B1C">
        <w:rPr>
          <w:rStyle w:val="FootnoteReference"/>
          <w:rFonts w:ascii="Times New Roman" w:hAnsi="Times New Roman" w:cs="Times New Roman"/>
          <w:sz w:val="24"/>
          <w:szCs w:val="24"/>
        </w:rPr>
        <w:footnoteReference w:id="92"/>
      </w:r>
      <w:r w:rsidRPr="00651B1C">
        <w:rPr>
          <w:rFonts w:ascii="Times New Roman" w:hAnsi="Times New Roman" w:cs="Times New Roman"/>
          <w:sz w:val="24"/>
          <w:szCs w:val="24"/>
        </w:rPr>
        <w:t>, ka radikālā globālās enerģētikas sistēmas pārveide, kas nepieciešama, lai 2050.</w:t>
      </w:r>
      <w:r>
        <w:rPr>
          <w:rFonts w:ascii="Times New Roman" w:hAnsi="Times New Roman" w:cs="Times New Roman"/>
          <w:sz w:val="24"/>
          <w:szCs w:val="24"/>
        </w:rPr>
        <w:t xml:space="preserve"> </w:t>
      </w:r>
      <w:r w:rsidRPr="00651B1C">
        <w:rPr>
          <w:rFonts w:ascii="Times New Roman" w:hAnsi="Times New Roman" w:cs="Times New Roman"/>
          <w:sz w:val="24"/>
          <w:szCs w:val="24"/>
        </w:rPr>
        <w:t>gadā sasniegtu klimatneitralitāti, prasīs palielināt pasaules ikgadējās investīcijas enerģētikā no nedaudz vairāk nekā 2 trilj</w:t>
      </w:r>
      <w:r>
        <w:rPr>
          <w:rFonts w:ascii="Times New Roman" w:hAnsi="Times New Roman" w:cs="Times New Roman"/>
          <w:sz w:val="24"/>
          <w:szCs w:val="24"/>
        </w:rPr>
        <w:t>.</w:t>
      </w:r>
      <w:r w:rsidRPr="00651B1C">
        <w:rPr>
          <w:rFonts w:ascii="Times New Roman" w:hAnsi="Times New Roman" w:cs="Times New Roman"/>
          <w:sz w:val="24"/>
          <w:szCs w:val="24"/>
        </w:rPr>
        <w:t xml:space="preserve"> ASV dolāru līdz gandrīz 5 trilj</w:t>
      </w:r>
      <w:r>
        <w:rPr>
          <w:rFonts w:ascii="Times New Roman" w:hAnsi="Times New Roman" w:cs="Times New Roman"/>
          <w:sz w:val="24"/>
          <w:szCs w:val="24"/>
        </w:rPr>
        <w:t>.</w:t>
      </w:r>
      <w:r w:rsidRPr="00651B1C">
        <w:rPr>
          <w:rFonts w:ascii="Times New Roman" w:hAnsi="Times New Roman" w:cs="Times New Roman"/>
          <w:sz w:val="24"/>
          <w:szCs w:val="24"/>
        </w:rPr>
        <w:t xml:space="preserve"> ASV dolāru līdz 2030.</w:t>
      </w:r>
      <w:r>
        <w:rPr>
          <w:rFonts w:ascii="Times New Roman" w:hAnsi="Times New Roman" w:cs="Times New Roman"/>
          <w:sz w:val="24"/>
          <w:szCs w:val="24"/>
        </w:rPr>
        <w:t xml:space="preserve"> </w:t>
      </w:r>
      <w:r w:rsidRPr="00651B1C">
        <w:rPr>
          <w:rFonts w:ascii="Times New Roman" w:hAnsi="Times New Roman" w:cs="Times New Roman"/>
          <w:sz w:val="24"/>
          <w:szCs w:val="24"/>
        </w:rPr>
        <w:t>gadam un līdz 4,5 trilj</w:t>
      </w:r>
      <w:r>
        <w:rPr>
          <w:rFonts w:ascii="Times New Roman" w:hAnsi="Times New Roman" w:cs="Times New Roman"/>
          <w:sz w:val="24"/>
          <w:szCs w:val="24"/>
        </w:rPr>
        <w:t xml:space="preserve">. </w:t>
      </w:r>
      <w:r w:rsidRPr="00651B1C">
        <w:rPr>
          <w:rFonts w:ascii="Times New Roman" w:hAnsi="Times New Roman" w:cs="Times New Roman"/>
          <w:sz w:val="24"/>
          <w:szCs w:val="24"/>
        </w:rPr>
        <w:t>ASV dolāru līdz 2050.</w:t>
      </w:r>
      <w:r>
        <w:rPr>
          <w:rFonts w:ascii="Times New Roman" w:hAnsi="Times New Roman" w:cs="Times New Roman"/>
          <w:sz w:val="24"/>
          <w:szCs w:val="24"/>
        </w:rPr>
        <w:t xml:space="preserve"> </w:t>
      </w:r>
      <w:r w:rsidRPr="00651B1C">
        <w:rPr>
          <w:rFonts w:ascii="Times New Roman" w:hAnsi="Times New Roman" w:cs="Times New Roman"/>
          <w:sz w:val="24"/>
          <w:szCs w:val="24"/>
        </w:rPr>
        <w:t>gadam</w:t>
      </w:r>
      <w:r>
        <w:rPr>
          <w:rFonts w:ascii="Times New Roman" w:hAnsi="Times New Roman" w:cs="Times New Roman"/>
          <w:sz w:val="24"/>
          <w:szCs w:val="24"/>
        </w:rPr>
        <w:t xml:space="preserve"> </w:t>
      </w:r>
      <w:r w:rsidRPr="00FA511C">
        <w:rPr>
          <w:rFonts w:ascii="Times New Roman" w:hAnsi="Times New Roman" w:cs="Times New Roman"/>
          <w:sz w:val="24"/>
          <w:szCs w:val="24"/>
        </w:rPr>
        <w:t>(2019.</w:t>
      </w:r>
      <w:r w:rsidR="678E6210" w:rsidRPr="469479B5">
        <w:rPr>
          <w:rFonts w:ascii="Times New Roman" w:hAnsi="Times New Roman" w:cs="Times New Roman"/>
          <w:b/>
          <w:bCs/>
          <w:sz w:val="24"/>
          <w:szCs w:val="24"/>
        </w:rPr>
        <w:t xml:space="preserve"> </w:t>
      </w:r>
      <w:r w:rsidRPr="00FA511C">
        <w:rPr>
          <w:rFonts w:ascii="Times New Roman" w:hAnsi="Times New Roman" w:cs="Times New Roman"/>
          <w:sz w:val="24"/>
          <w:szCs w:val="24"/>
        </w:rPr>
        <w:t>gada</w:t>
      </w:r>
      <w:r>
        <w:rPr>
          <w:rFonts w:ascii="Times New Roman" w:hAnsi="Times New Roman" w:cs="Times New Roman"/>
          <w:sz w:val="24"/>
          <w:szCs w:val="24"/>
        </w:rPr>
        <w:t xml:space="preserve"> </w:t>
      </w:r>
      <w:r w:rsidRPr="00940337">
        <w:rPr>
          <w:rFonts w:ascii="Times New Roman" w:hAnsi="Times New Roman" w:cs="Times New Roman"/>
          <w:sz w:val="24"/>
          <w:szCs w:val="24"/>
        </w:rPr>
        <w:t>salīdzināmajās</w:t>
      </w:r>
      <w:r w:rsidRPr="00FA511C">
        <w:rPr>
          <w:rFonts w:ascii="Times New Roman" w:hAnsi="Times New Roman" w:cs="Times New Roman"/>
          <w:sz w:val="24"/>
          <w:szCs w:val="24"/>
        </w:rPr>
        <w:t xml:space="preserve"> cenās)</w:t>
      </w:r>
      <w:r w:rsidRPr="00651B1C">
        <w:rPr>
          <w:rFonts w:ascii="Times New Roman" w:hAnsi="Times New Roman" w:cs="Times New Roman"/>
          <w:sz w:val="24"/>
          <w:szCs w:val="24"/>
        </w:rPr>
        <w:t>. Skatoties nepieciešamo papildu investīciju dinamiku pret IKP, kopējiem ikgadējiem kapitālieguldījumiem enerģētikā būtu jāpieaug no aptuveni 2,5% no pasaules IKP līdz aptuveni 4,5% 2030.</w:t>
      </w:r>
      <w:r>
        <w:rPr>
          <w:rFonts w:ascii="Times New Roman" w:hAnsi="Times New Roman" w:cs="Times New Roman"/>
          <w:sz w:val="24"/>
          <w:szCs w:val="24"/>
        </w:rPr>
        <w:t xml:space="preserve"> </w:t>
      </w:r>
      <w:r w:rsidRPr="00651B1C">
        <w:rPr>
          <w:rFonts w:ascii="Times New Roman" w:hAnsi="Times New Roman" w:cs="Times New Roman"/>
          <w:sz w:val="24"/>
          <w:szCs w:val="24"/>
        </w:rPr>
        <w:t>gadā, bet pēc tam jāatgriežas 2,5% no pasaules IKP apmērā līdz 2050.</w:t>
      </w:r>
      <w:r w:rsidR="7EFF0CFF" w:rsidRPr="469479B5">
        <w:rPr>
          <w:rFonts w:ascii="Times New Roman" w:hAnsi="Times New Roman" w:cs="Times New Roman"/>
          <w:b/>
          <w:bCs/>
          <w:sz w:val="24"/>
          <w:szCs w:val="24"/>
        </w:rPr>
        <w:t xml:space="preserve"> </w:t>
      </w:r>
      <w:r w:rsidRPr="00651B1C">
        <w:rPr>
          <w:rFonts w:ascii="Times New Roman" w:hAnsi="Times New Roman" w:cs="Times New Roman"/>
          <w:sz w:val="24"/>
          <w:szCs w:val="24"/>
        </w:rPr>
        <w:t xml:space="preserve">gadam. </w:t>
      </w:r>
    </w:p>
    <w:p w14:paraId="6B531B90" w14:textId="060B59E6" w:rsidR="00DC74A7" w:rsidRPr="00FA511C" w:rsidRDefault="56758603" w:rsidP="469479B5">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Pamatojoties uz EK analīzi</w:t>
      </w:r>
      <w:r w:rsidR="00DC74A7" w:rsidRPr="00651B1C">
        <w:rPr>
          <w:rStyle w:val="FootnoteReference"/>
          <w:rFonts w:ascii="Times New Roman" w:hAnsi="Times New Roman" w:cs="Times New Roman"/>
          <w:sz w:val="24"/>
          <w:szCs w:val="24"/>
        </w:rPr>
        <w:footnoteReference w:id="93"/>
      </w:r>
      <w:r w:rsidRPr="00651B1C">
        <w:rPr>
          <w:rFonts w:ascii="Times New Roman" w:hAnsi="Times New Roman" w:cs="Times New Roman"/>
          <w:sz w:val="24"/>
          <w:szCs w:val="24"/>
        </w:rPr>
        <w:t>, kas publicēta 2020.</w:t>
      </w:r>
      <w:r>
        <w:rPr>
          <w:rFonts w:ascii="Times New Roman" w:hAnsi="Times New Roman" w:cs="Times New Roman"/>
          <w:sz w:val="24"/>
          <w:szCs w:val="24"/>
        </w:rPr>
        <w:t xml:space="preserve"> </w:t>
      </w:r>
      <w:r w:rsidRPr="00651B1C">
        <w:rPr>
          <w:rFonts w:ascii="Times New Roman" w:hAnsi="Times New Roman" w:cs="Times New Roman"/>
          <w:sz w:val="24"/>
          <w:szCs w:val="24"/>
        </w:rPr>
        <w:t xml:space="preserve">gadā, lai sasniegtu </w:t>
      </w:r>
      <w:r>
        <w:rPr>
          <w:rFonts w:ascii="Times New Roman" w:hAnsi="Times New Roman" w:cs="Times New Roman"/>
          <w:sz w:val="24"/>
          <w:szCs w:val="24"/>
        </w:rPr>
        <w:t xml:space="preserve">sākotnējo </w:t>
      </w:r>
      <w:r w:rsidRPr="00651B1C">
        <w:rPr>
          <w:rFonts w:ascii="Times New Roman" w:hAnsi="Times New Roman" w:cs="Times New Roman"/>
          <w:sz w:val="24"/>
          <w:szCs w:val="24"/>
        </w:rPr>
        <w:t>2030.</w:t>
      </w:r>
      <w:r>
        <w:rPr>
          <w:rFonts w:ascii="Times New Roman" w:hAnsi="Times New Roman" w:cs="Times New Roman"/>
          <w:sz w:val="24"/>
          <w:szCs w:val="24"/>
        </w:rPr>
        <w:t xml:space="preserve"> </w:t>
      </w:r>
      <w:r w:rsidRPr="00651B1C">
        <w:rPr>
          <w:rFonts w:ascii="Times New Roman" w:hAnsi="Times New Roman" w:cs="Times New Roman"/>
          <w:sz w:val="24"/>
          <w:szCs w:val="24"/>
        </w:rPr>
        <w:t>gada klimata mērķ</w:t>
      </w:r>
      <w:r>
        <w:rPr>
          <w:rFonts w:ascii="Times New Roman" w:hAnsi="Times New Roman" w:cs="Times New Roman"/>
          <w:sz w:val="24"/>
          <w:szCs w:val="24"/>
        </w:rPr>
        <w:t>i (</w:t>
      </w:r>
      <w:r w:rsidRPr="009345D8">
        <w:rPr>
          <w:rFonts w:ascii="Times New Roman" w:hAnsi="Times New Roman" w:cs="Times New Roman"/>
          <w:sz w:val="24"/>
          <w:szCs w:val="24"/>
        </w:rPr>
        <w:t>samazināt emisijas iekšzemē par vismaz 40 % salīdzinājumā ar 1990. gadu</w:t>
      </w:r>
      <w:r>
        <w:rPr>
          <w:rFonts w:ascii="Times New Roman" w:hAnsi="Times New Roman" w:cs="Times New Roman"/>
          <w:sz w:val="24"/>
          <w:szCs w:val="24"/>
        </w:rPr>
        <w:t>)</w:t>
      </w:r>
      <w:r w:rsidRPr="00651B1C">
        <w:rPr>
          <w:rFonts w:ascii="Times New Roman" w:hAnsi="Times New Roman" w:cs="Times New Roman"/>
          <w:sz w:val="24"/>
          <w:szCs w:val="24"/>
        </w:rPr>
        <w:t xml:space="preserve">, ES būs nepieciešams veikt papildu investīcijas vidēji 363 mljrd. </w:t>
      </w:r>
      <w:r w:rsidRPr="469479B5">
        <w:rPr>
          <w:rFonts w:ascii="Times New Roman" w:hAnsi="Times New Roman" w:cs="Times New Roman"/>
          <w:i/>
          <w:iCs/>
          <w:sz w:val="24"/>
          <w:szCs w:val="24"/>
        </w:rPr>
        <w:t>euro</w:t>
      </w:r>
      <w:r w:rsidRPr="00651B1C">
        <w:rPr>
          <w:rFonts w:ascii="Times New Roman" w:hAnsi="Times New Roman" w:cs="Times New Roman"/>
          <w:sz w:val="24"/>
          <w:szCs w:val="24"/>
        </w:rPr>
        <w:t xml:space="preserve"> apmērā ik gadu (2015.</w:t>
      </w:r>
      <w:r w:rsidR="33C2C553" w:rsidRPr="469479B5">
        <w:rPr>
          <w:rFonts w:ascii="Times New Roman" w:hAnsi="Times New Roman" w:cs="Times New Roman"/>
          <w:b/>
          <w:bCs/>
          <w:sz w:val="24"/>
          <w:szCs w:val="24"/>
        </w:rPr>
        <w:t xml:space="preserve"> </w:t>
      </w:r>
      <w:r w:rsidRPr="00651B1C">
        <w:rPr>
          <w:rFonts w:ascii="Times New Roman" w:hAnsi="Times New Roman" w:cs="Times New Roman"/>
          <w:sz w:val="24"/>
          <w:szCs w:val="24"/>
        </w:rPr>
        <w:t xml:space="preserve">gada </w:t>
      </w:r>
      <w:r>
        <w:rPr>
          <w:rFonts w:ascii="Times New Roman" w:hAnsi="Times New Roman" w:cs="Times New Roman"/>
          <w:sz w:val="24"/>
          <w:szCs w:val="24"/>
        </w:rPr>
        <w:t xml:space="preserve">salīdzināmajās </w:t>
      </w:r>
      <w:r w:rsidRPr="00651B1C">
        <w:rPr>
          <w:rFonts w:ascii="Times New Roman" w:hAnsi="Times New Roman" w:cs="Times New Roman"/>
          <w:sz w:val="24"/>
          <w:szCs w:val="24"/>
        </w:rPr>
        <w:t>cenās</w:t>
      </w:r>
      <w:r>
        <w:rPr>
          <w:rFonts w:ascii="Times New Roman" w:hAnsi="Times New Roman" w:cs="Times New Roman"/>
          <w:sz w:val="24"/>
          <w:szCs w:val="24"/>
        </w:rPr>
        <w:t>, neskaitot transportu</w:t>
      </w:r>
      <w:r w:rsidRPr="00651B1C">
        <w:rPr>
          <w:rFonts w:ascii="Times New Roman" w:hAnsi="Times New Roman" w:cs="Times New Roman"/>
          <w:sz w:val="24"/>
          <w:szCs w:val="24"/>
        </w:rPr>
        <w:t>) jeb ekvivalenti 2,5% no IKP 2021.</w:t>
      </w:r>
      <w:r w:rsidR="00597FA9" w:rsidRPr="469479B5">
        <w:rPr>
          <w:rFonts w:ascii="Times New Roman" w:hAnsi="Times New Roman" w:cs="Times New Roman"/>
          <w:color w:val="000000" w:themeColor="text1"/>
          <w:sz w:val="24"/>
          <w:szCs w:val="24"/>
        </w:rPr>
        <w:t>–</w:t>
      </w:r>
      <w:r w:rsidRPr="00651B1C">
        <w:rPr>
          <w:rFonts w:ascii="Times New Roman" w:hAnsi="Times New Roman" w:cs="Times New Roman"/>
          <w:sz w:val="24"/>
          <w:szCs w:val="24"/>
        </w:rPr>
        <w:t>2030.</w:t>
      </w:r>
      <w:r>
        <w:rPr>
          <w:rFonts w:ascii="Times New Roman" w:hAnsi="Times New Roman" w:cs="Times New Roman"/>
          <w:sz w:val="24"/>
          <w:szCs w:val="24"/>
        </w:rPr>
        <w:t xml:space="preserve"> </w:t>
      </w:r>
      <w:r w:rsidRPr="00651B1C">
        <w:rPr>
          <w:rFonts w:ascii="Times New Roman" w:hAnsi="Times New Roman" w:cs="Times New Roman"/>
          <w:sz w:val="24"/>
          <w:szCs w:val="24"/>
        </w:rPr>
        <w:t>gada perspektīvā. Savukārt no 2031.</w:t>
      </w:r>
      <w:r>
        <w:rPr>
          <w:rFonts w:ascii="Times New Roman" w:hAnsi="Times New Roman" w:cs="Times New Roman"/>
          <w:sz w:val="24"/>
          <w:szCs w:val="24"/>
        </w:rPr>
        <w:t xml:space="preserve"> </w:t>
      </w:r>
      <w:r w:rsidRPr="00651B1C">
        <w:rPr>
          <w:rFonts w:ascii="Times New Roman" w:hAnsi="Times New Roman" w:cs="Times New Roman"/>
          <w:sz w:val="24"/>
          <w:szCs w:val="24"/>
        </w:rPr>
        <w:t>gada līdz 2050.</w:t>
      </w:r>
      <w:r>
        <w:rPr>
          <w:rFonts w:ascii="Times New Roman" w:hAnsi="Times New Roman" w:cs="Times New Roman"/>
          <w:sz w:val="24"/>
          <w:szCs w:val="24"/>
        </w:rPr>
        <w:t xml:space="preserve"> </w:t>
      </w:r>
      <w:r w:rsidRPr="00651B1C">
        <w:rPr>
          <w:rFonts w:ascii="Times New Roman" w:hAnsi="Times New Roman" w:cs="Times New Roman"/>
          <w:sz w:val="24"/>
          <w:szCs w:val="24"/>
        </w:rPr>
        <w:t xml:space="preserve">gadam papildu ikgadējo investīciju vidējais apmērs varētu samazināties līdz 307 mljrd. </w:t>
      </w:r>
      <w:r w:rsidRPr="469479B5">
        <w:rPr>
          <w:rFonts w:ascii="Times New Roman" w:hAnsi="Times New Roman" w:cs="Times New Roman"/>
          <w:i/>
          <w:iCs/>
          <w:sz w:val="24"/>
          <w:szCs w:val="24"/>
        </w:rPr>
        <w:t>euro</w:t>
      </w:r>
      <w:r w:rsidRPr="00651B1C">
        <w:rPr>
          <w:rFonts w:ascii="Times New Roman" w:hAnsi="Times New Roman" w:cs="Times New Roman"/>
          <w:sz w:val="24"/>
          <w:szCs w:val="24"/>
        </w:rPr>
        <w:t xml:space="preserve"> jeb aptuveni 1,8% no IKP.</w:t>
      </w:r>
      <w:r>
        <w:rPr>
          <w:rFonts w:ascii="Times New Roman" w:hAnsi="Times New Roman" w:cs="Times New Roman"/>
          <w:sz w:val="24"/>
          <w:szCs w:val="24"/>
        </w:rPr>
        <w:t xml:space="preserve"> </w:t>
      </w:r>
      <w:r w:rsidRPr="00FA511C">
        <w:rPr>
          <w:rFonts w:ascii="Times New Roman" w:hAnsi="Times New Roman" w:cs="Times New Roman"/>
          <w:sz w:val="24"/>
          <w:szCs w:val="24"/>
        </w:rPr>
        <w:t>Savukārt jaunais mērķis (</w:t>
      </w:r>
      <w:r w:rsidRPr="00306DE0">
        <w:rPr>
          <w:rFonts w:ascii="Times New Roman" w:hAnsi="Times New Roman" w:cs="Times New Roman"/>
          <w:sz w:val="24"/>
          <w:szCs w:val="24"/>
        </w:rPr>
        <w:t>samazināt emisijas iekšzemē par vismaz 55 % salīdzinājumā ar 1990. gadu</w:t>
      </w:r>
      <w:r w:rsidRPr="00FA511C">
        <w:rPr>
          <w:rFonts w:ascii="Times New Roman" w:hAnsi="Times New Roman" w:cs="Times New Roman"/>
          <w:sz w:val="24"/>
          <w:szCs w:val="24"/>
        </w:rPr>
        <w:t xml:space="preserve">) varētu šo ikgadējo investīciju apjomu papildus palielināt par </w:t>
      </w:r>
      <w:r w:rsidRPr="00306DE0">
        <w:rPr>
          <w:rFonts w:ascii="Times New Roman" w:hAnsi="Times New Roman" w:cs="Times New Roman"/>
          <w:sz w:val="24"/>
          <w:szCs w:val="24"/>
        </w:rPr>
        <w:t xml:space="preserve">65,4 </w:t>
      </w:r>
      <w:r w:rsidR="00BE5EC7" w:rsidRPr="469479B5">
        <w:rPr>
          <w:rFonts w:ascii="Times New Roman" w:hAnsi="Times New Roman" w:cs="Times New Roman"/>
          <w:color w:val="000000" w:themeColor="text1"/>
          <w:sz w:val="24"/>
          <w:szCs w:val="24"/>
        </w:rPr>
        <w:t>–</w:t>
      </w:r>
      <w:r w:rsidRPr="00306DE0">
        <w:rPr>
          <w:rFonts w:ascii="Times New Roman" w:hAnsi="Times New Roman" w:cs="Times New Roman"/>
          <w:sz w:val="24"/>
          <w:szCs w:val="24"/>
        </w:rPr>
        <w:t xml:space="preserve"> 102,0 </w:t>
      </w:r>
      <w:r w:rsidRPr="00FA511C">
        <w:rPr>
          <w:rFonts w:ascii="Times New Roman" w:hAnsi="Times New Roman" w:cs="Times New Roman"/>
          <w:sz w:val="24"/>
          <w:szCs w:val="24"/>
        </w:rPr>
        <w:t xml:space="preserve">mljrd. </w:t>
      </w:r>
      <w:r w:rsidRPr="469479B5">
        <w:rPr>
          <w:rFonts w:ascii="Times New Roman" w:hAnsi="Times New Roman" w:cs="Times New Roman"/>
          <w:i/>
          <w:iCs/>
          <w:sz w:val="24"/>
          <w:szCs w:val="24"/>
        </w:rPr>
        <w:t>euro</w:t>
      </w:r>
      <w:r w:rsidRPr="00FA511C">
        <w:rPr>
          <w:rFonts w:ascii="Times New Roman" w:hAnsi="Times New Roman" w:cs="Times New Roman"/>
          <w:sz w:val="24"/>
          <w:szCs w:val="24"/>
        </w:rPr>
        <w:t xml:space="preserve"> periodā no 2021.</w:t>
      </w:r>
      <w:r w:rsidR="00BE5EC7" w:rsidRPr="469479B5">
        <w:rPr>
          <w:rFonts w:ascii="Times New Roman" w:hAnsi="Times New Roman" w:cs="Times New Roman"/>
          <w:color w:val="000000" w:themeColor="text1"/>
          <w:sz w:val="24"/>
          <w:szCs w:val="24"/>
        </w:rPr>
        <w:t>–</w:t>
      </w:r>
      <w:r w:rsidRPr="00FA511C">
        <w:rPr>
          <w:rFonts w:ascii="Times New Roman" w:hAnsi="Times New Roman" w:cs="Times New Roman"/>
          <w:sz w:val="24"/>
          <w:szCs w:val="24"/>
        </w:rPr>
        <w:t>2030.</w:t>
      </w:r>
      <w:r w:rsidR="02458565" w:rsidRPr="00FA511C">
        <w:rPr>
          <w:rFonts w:ascii="Times New Roman" w:hAnsi="Times New Roman" w:cs="Times New Roman"/>
          <w:sz w:val="24"/>
          <w:szCs w:val="24"/>
        </w:rPr>
        <w:t xml:space="preserve"> </w:t>
      </w:r>
      <w:r w:rsidRPr="00FA511C">
        <w:rPr>
          <w:rFonts w:ascii="Times New Roman" w:hAnsi="Times New Roman" w:cs="Times New Roman"/>
          <w:sz w:val="24"/>
          <w:szCs w:val="24"/>
        </w:rPr>
        <w:t xml:space="preserve">gadam un </w:t>
      </w:r>
      <w:r w:rsidRPr="00306DE0">
        <w:rPr>
          <w:rFonts w:ascii="Times New Roman" w:hAnsi="Times New Roman" w:cs="Times New Roman"/>
          <w:sz w:val="24"/>
          <w:szCs w:val="24"/>
        </w:rPr>
        <w:t xml:space="preserve">par 172,6 – 196,3 </w:t>
      </w:r>
      <w:r w:rsidRPr="00FA511C">
        <w:rPr>
          <w:rFonts w:ascii="Times New Roman" w:hAnsi="Times New Roman" w:cs="Times New Roman"/>
          <w:sz w:val="24"/>
          <w:szCs w:val="24"/>
        </w:rPr>
        <w:t xml:space="preserve">mljrd. </w:t>
      </w:r>
      <w:r w:rsidRPr="469479B5">
        <w:rPr>
          <w:rFonts w:ascii="Times New Roman" w:hAnsi="Times New Roman" w:cs="Times New Roman"/>
          <w:i/>
          <w:iCs/>
          <w:sz w:val="24"/>
          <w:szCs w:val="24"/>
        </w:rPr>
        <w:t xml:space="preserve">euro </w:t>
      </w:r>
      <w:r w:rsidRPr="00FA511C">
        <w:rPr>
          <w:rFonts w:ascii="Times New Roman" w:hAnsi="Times New Roman" w:cs="Times New Roman"/>
          <w:sz w:val="24"/>
          <w:szCs w:val="24"/>
        </w:rPr>
        <w:t>periodā no 2031.</w:t>
      </w:r>
      <w:r w:rsidR="00FD1CCE">
        <w:rPr>
          <w:rFonts w:ascii="Times New Roman" w:hAnsi="Times New Roman" w:cs="Times New Roman"/>
          <w:color w:val="000000" w:themeColor="text1"/>
          <w:sz w:val="24"/>
          <w:szCs w:val="24"/>
        </w:rPr>
        <w:t>-</w:t>
      </w:r>
      <w:r w:rsidRPr="00FA511C">
        <w:rPr>
          <w:rFonts w:ascii="Times New Roman" w:hAnsi="Times New Roman" w:cs="Times New Roman"/>
          <w:sz w:val="24"/>
          <w:szCs w:val="24"/>
        </w:rPr>
        <w:t>2050.</w:t>
      </w:r>
      <w:r w:rsidR="228FACDE" w:rsidRPr="00FA511C">
        <w:rPr>
          <w:rFonts w:ascii="Times New Roman" w:hAnsi="Times New Roman" w:cs="Times New Roman"/>
          <w:sz w:val="24"/>
          <w:szCs w:val="24"/>
        </w:rPr>
        <w:t xml:space="preserve"> </w:t>
      </w:r>
      <w:r w:rsidRPr="00FA511C">
        <w:rPr>
          <w:rFonts w:ascii="Times New Roman" w:hAnsi="Times New Roman" w:cs="Times New Roman"/>
          <w:sz w:val="24"/>
          <w:szCs w:val="24"/>
        </w:rPr>
        <w:t>gadam</w:t>
      </w:r>
      <w:r>
        <w:rPr>
          <w:rFonts w:ascii="Times New Roman" w:hAnsi="Times New Roman" w:cs="Times New Roman"/>
          <w:sz w:val="24"/>
          <w:szCs w:val="24"/>
        </w:rPr>
        <w:t xml:space="preserve"> (atkarībā no izvēlētā scenārija).</w:t>
      </w:r>
    </w:p>
    <w:p w14:paraId="6B428D11" w14:textId="30C14C1B" w:rsidR="00510A24" w:rsidRPr="00651B1C" w:rsidRDefault="4E4D158F" w:rsidP="469479B5">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Latvijā a</w:t>
      </w:r>
      <w:r w:rsidR="73C03A07" w:rsidRPr="00651B1C">
        <w:rPr>
          <w:rFonts w:ascii="Times New Roman" w:hAnsi="Times New Roman" w:cs="Times New Roman"/>
          <w:sz w:val="24"/>
          <w:szCs w:val="24"/>
        </w:rPr>
        <w:t>tbilstoši Fizikālā</w:t>
      </w:r>
      <w:r w:rsidR="44D3ACC1">
        <w:rPr>
          <w:rFonts w:ascii="Times New Roman" w:hAnsi="Times New Roman" w:cs="Times New Roman"/>
          <w:sz w:val="24"/>
          <w:szCs w:val="24"/>
        </w:rPr>
        <w:t>s</w:t>
      </w:r>
      <w:r w:rsidR="73C03A07" w:rsidRPr="00651B1C">
        <w:rPr>
          <w:rFonts w:ascii="Times New Roman" w:hAnsi="Times New Roman" w:cs="Times New Roman"/>
          <w:sz w:val="24"/>
          <w:szCs w:val="24"/>
        </w:rPr>
        <w:t xml:space="preserve"> enerģētikas institūta pētījuma </w:t>
      </w:r>
      <w:r w:rsidR="00CB1CD3">
        <w:rPr>
          <w:rFonts w:ascii="Times New Roman" w:hAnsi="Times New Roman" w:cs="Times New Roman"/>
          <w:sz w:val="24"/>
          <w:szCs w:val="24"/>
        </w:rPr>
        <w:t>“</w:t>
      </w:r>
      <w:r w:rsidR="73C03A07" w:rsidRPr="469479B5">
        <w:rPr>
          <w:rFonts w:ascii="Times New Roman" w:hAnsi="Times New Roman" w:cs="Times New Roman"/>
          <w:i/>
          <w:iCs/>
          <w:sz w:val="24"/>
          <w:szCs w:val="24"/>
        </w:rPr>
        <w:t>Latvijas tautsaimniecības attīstības iespējamo scenāriju līdz 2050.</w:t>
      </w:r>
      <w:r w:rsidR="2A392A8F" w:rsidRPr="469479B5">
        <w:rPr>
          <w:rFonts w:ascii="Times New Roman" w:hAnsi="Times New Roman" w:cs="Times New Roman"/>
          <w:b/>
          <w:bCs/>
          <w:sz w:val="24"/>
          <w:szCs w:val="24"/>
        </w:rPr>
        <w:t xml:space="preserve"> </w:t>
      </w:r>
      <w:r w:rsidR="73C03A07" w:rsidRPr="469479B5">
        <w:rPr>
          <w:rFonts w:ascii="Times New Roman" w:hAnsi="Times New Roman" w:cs="Times New Roman"/>
          <w:i/>
          <w:iCs/>
          <w:sz w:val="24"/>
          <w:szCs w:val="24"/>
        </w:rPr>
        <w:t xml:space="preserve">gadam izstrāde atbilstoši </w:t>
      </w:r>
      <w:r w:rsidR="665197E5" w:rsidRPr="469479B5">
        <w:rPr>
          <w:rFonts w:ascii="Times New Roman" w:hAnsi="Times New Roman" w:cs="Times New Roman"/>
          <w:i/>
          <w:iCs/>
          <w:sz w:val="24"/>
          <w:szCs w:val="24"/>
        </w:rPr>
        <w:t>ES</w:t>
      </w:r>
      <w:r w:rsidR="73C03A07" w:rsidRPr="469479B5">
        <w:rPr>
          <w:rFonts w:ascii="Times New Roman" w:hAnsi="Times New Roman" w:cs="Times New Roman"/>
          <w:i/>
          <w:iCs/>
          <w:sz w:val="24"/>
          <w:szCs w:val="24"/>
        </w:rPr>
        <w:t xml:space="preserve"> ilgtermiņa attīstības redzējumam</w:t>
      </w:r>
      <w:r w:rsidR="73C03A07" w:rsidRPr="00651B1C">
        <w:rPr>
          <w:rFonts w:ascii="Times New Roman" w:hAnsi="Times New Roman" w:cs="Times New Roman"/>
          <w:sz w:val="24"/>
          <w:szCs w:val="24"/>
        </w:rPr>
        <w:t>”</w:t>
      </w:r>
      <w:r w:rsidR="00335486">
        <w:rPr>
          <w:rStyle w:val="FootnoteReference"/>
          <w:rFonts w:ascii="Times New Roman" w:hAnsi="Times New Roman" w:cs="Times New Roman"/>
          <w:sz w:val="24"/>
          <w:szCs w:val="24"/>
        </w:rPr>
        <w:footnoteReference w:id="94"/>
      </w:r>
      <w:r w:rsidR="73C03A07" w:rsidRPr="00651B1C">
        <w:rPr>
          <w:rFonts w:ascii="Times New Roman" w:hAnsi="Times New Roman" w:cs="Times New Roman"/>
          <w:sz w:val="24"/>
          <w:szCs w:val="24"/>
        </w:rPr>
        <w:t xml:space="preserve"> sākotnēj</w:t>
      </w:r>
      <w:r w:rsidR="10E80162" w:rsidRPr="00651B1C">
        <w:rPr>
          <w:rFonts w:ascii="Times New Roman" w:hAnsi="Times New Roman" w:cs="Times New Roman"/>
          <w:sz w:val="24"/>
          <w:szCs w:val="24"/>
        </w:rPr>
        <w:t>am</w:t>
      </w:r>
      <w:r w:rsidR="73C03A07" w:rsidRPr="00651B1C">
        <w:rPr>
          <w:rFonts w:ascii="Times New Roman" w:hAnsi="Times New Roman" w:cs="Times New Roman"/>
          <w:sz w:val="24"/>
          <w:szCs w:val="24"/>
        </w:rPr>
        <w:t xml:space="preserve"> izvērtējum</w:t>
      </w:r>
      <w:r w:rsidR="10E80162" w:rsidRPr="00651B1C">
        <w:rPr>
          <w:rFonts w:ascii="Times New Roman" w:hAnsi="Times New Roman" w:cs="Times New Roman"/>
          <w:sz w:val="24"/>
          <w:szCs w:val="24"/>
        </w:rPr>
        <w:t>am (2019.</w:t>
      </w:r>
      <w:r w:rsidR="2D713324" w:rsidRPr="00651B1C">
        <w:rPr>
          <w:rFonts w:ascii="Times New Roman" w:hAnsi="Times New Roman" w:cs="Times New Roman"/>
          <w:sz w:val="24"/>
          <w:szCs w:val="24"/>
        </w:rPr>
        <w:t xml:space="preserve"> gada </w:t>
      </w:r>
      <w:r w:rsidR="10E80162" w:rsidRPr="00651B1C">
        <w:rPr>
          <w:rFonts w:ascii="Times New Roman" w:hAnsi="Times New Roman" w:cs="Times New Roman"/>
          <w:sz w:val="24"/>
          <w:szCs w:val="24"/>
        </w:rPr>
        <w:t>decembris), kas atspoguļots</w:t>
      </w:r>
      <w:r w:rsidR="73C03A07" w:rsidRPr="00651B1C">
        <w:rPr>
          <w:rFonts w:ascii="Times New Roman" w:hAnsi="Times New Roman" w:cs="Times New Roman"/>
          <w:sz w:val="24"/>
          <w:szCs w:val="24"/>
        </w:rPr>
        <w:t xml:space="preserve"> Latvijas stratēģij</w:t>
      </w:r>
      <w:r w:rsidR="10E80162" w:rsidRPr="00651B1C">
        <w:rPr>
          <w:rFonts w:ascii="Times New Roman" w:hAnsi="Times New Roman" w:cs="Times New Roman"/>
          <w:sz w:val="24"/>
          <w:szCs w:val="24"/>
        </w:rPr>
        <w:t>ā</w:t>
      </w:r>
      <w:r w:rsidR="73C03A07" w:rsidRPr="00651B1C">
        <w:rPr>
          <w:rFonts w:ascii="Times New Roman" w:hAnsi="Times New Roman" w:cs="Times New Roman"/>
          <w:sz w:val="24"/>
          <w:szCs w:val="24"/>
        </w:rPr>
        <w:t xml:space="preserve"> klimatneitralitātes sasniegšanai līdz 2050.</w:t>
      </w:r>
      <w:r w:rsidR="09AB4938" w:rsidRPr="469479B5">
        <w:rPr>
          <w:rFonts w:ascii="Times New Roman" w:hAnsi="Times New Roman" w:cs="Times New Roman"/>
          <w:b/>
          <w:bCs/>
          <w:sz w:val="24"/>
          <w:szCs w:val="24"/>
        </w:rPr>
        <w:t xml:space="preserve"> </w:t>
      </w:r>
      <w:r w:rsidR="73C03A07" w:rsidRPr="00651B1C">
        <w:rPr>
          <w:rFonts w:ascii="Times New Roman" w:hAnsi="Times New Roman" w:cs="Times New Roman"/>
          <w:sz w:val="24"/>
          <w:szCs w:val="24"/>
        </w:rPr>
        <w:t>gadam</w:t>
      </w:r>
      <w:r w:rsidR="10E80162" w:rsidRPr="00651B1C">
        <w:rPr>
          <w:rFonts w:ascii="Times New Roman" w:hAnsi="Times New Roman" w:cs="Times New Roman"/>
          <w:sz w:val="24"/>
          <w:szCs w:val="24"/>
        </w:rPr>
        <w:t xml:space="preserve">, </w:t>
      </w:r>
      <w:r w:rsidR="73C03A07" w:rsidRPr="00651B1C">
        <w:rPr>
          <w:rFonts w:ascii="Times New Roman" w:hAnsi="Times New Roman" w:cs="Times New Roman"/>
          <w:sz w:val="24"/>
          <w:szCs w:val="24"/>
        </w:rPr>
        <w:t>indikatīvā</w:t>
      </w:r>
      <w:r w:rsidR="10E80162" w:rsidRPr="00651B1C">
        <w:rPr>
          <w:rFonts w:ascii="Times New Roman" w:hAnsi="Times New Roman" w:cs="Times New Roman"/>
          <w:sz w:val="24"/>
          <w:szCs w:val="24"/>
        </w:rPr>
        <w:t>s</w:t>
      </w:r>
      <w:r w:rsidR="73C03A07" w:rsidRPr="00651B1C">
        <w:rPr>
          <w:rFonts w:ascii="Times New Roman" w:hAnsi="Times New Roman" w:cs="Times New Roman"/>
          <w:sz w:val="24"/>
          <w:szCs w:val="24"/>
        </w:rPr>
        <w:t xml:space="preserve"> prognoz</w:t>
      </w:r>
      <w:r w:rsidR="10E80162" w:rsidRPr="00651B1C">
        <w:rPr>
          <w:rFonts w:ascii="Times New Roman" w:hAnsi="Times New Roman" w:cs="Times New Roman"/>
          <w:sz w:val="24"/>
          <w:szCs w:val="24"/>
        </w:rPr>
        <w:t>es</w:t>
      </w:r>
      <w:r w:rsidR="73C03A07" w:rsidRPr="00651B1C">
        <w:rPr>
          <w:rFonts w:ascii="Times New Roman" w:hAnsi="Times New Roman" w:cs="Times New Roman"/>
          <w:sz w:val="24"/>
          <w:szCs w:val="24"/>
        </w:rPr>
        <w:t xml:space="preserve"> papildu investīcij</w:t>
      </w:r>
      <w:r w:rsidR="10E80162" w:rsidRPr="00651B1C">
        <w:rPr>
          <w:rFonts w:ascii="Times New Roman" w:hAnsi="Times New Roman" w:cs="Times New Roman"/>
          <w:sz w:val="24"/>
          <w:szCs w:val="24"/>
        </w:rPr>
        <w:t>ām</w:t>
      </w:r>
      <w:r w:rsidR="73C03A07" w:rsidRPr="00651B1C">
        <w:rPr>
          <w:rFonts w:ascii="Times New Roman" w:hAnsi="Times New Roman" w:cs="Times New Roman"/>
          <w:sz w:val="24"/>
          <w:szCs w:val="24"/>
        </w:rPr>
        <w:t xml:space="preserve"> mērķa scenārija īstenošanai (</w:t>
      </w:r>
      <w:r w:rsidR="76B063D2" w:rsidRPr="00651B1C">
        <w:rPr>
          <w:rFonts w:ascii="Times New Roman" w:hAnsi="Times New Roman" w:cs="Times New Roman"/>
          <w:sz w:val="24"/>
          <w:szCs w:val="24"/>
        </w:rPr>
        <w:t xml:space="preserve">t.i. </w:t>
      </w:r>
      <w:r w:rsidR="73C03A07" w:rsidRPr="00651B1C">
        <w:rPr>
          <w:rFonts w:ascii="Times New Roman" w:hAnsi="Times New Roman" w:cs="Times New Roman"/>
          <w:sz w:val="24"/>
          <w:szCs w:val="24"/>
        </w:rPr>
        <w:t>klimatneitralitātes sasniegšanai)</w:t>
      </w:r>
      <w:r w:rsidR="10E80162" w:rsidRPr="00651B1C">
        <w:rPr>
          <w:rFonts w:ascii="Times New Roman" w:hAnsi="Times New Roman" w:cs="Times New Roman"/>
          <w:sz w:val="24"/>
          <w:szCs w:val="24"/>
        </w:rPr>
        <w:t xml:space="preserve"> </w:t>
      </w:r>
      <w:r w:rsidR="73C03A07" w:rsidRPr="00651B1C">
        <w:rPr>
          <w:rFonts w:ascii="Times New Roman" w:hAnsi="Times New Roman" w:cs="Times New Roman"/>
          <w:sz w:val="24"/>
          <w:szCs w:val="24"/>
        </w:rPr>
        <w:t xml:space="preserve">laika periodā </w:t>
      </w:r>
      <w:r w:rsidRPr="00651B1C">
        <w:rPr>
          <w:rFonts w:ascii="Times New Roman" w:hAnsi="Times New Roman" w:cs="Times New Roman"/>
          <w:sz w:val="24"/>
          <w:szCs w:val="24"/>
        </w:rPr>
        <w:t>no 2020.</w:t>
      </w:r>
      <w:r w:rsidR="009E1FDD">
        <w:rPr>
          <w:rFonts w:ascii="Times New Roman" w:hAnsi="Times New Roman" w:cs="Times New Roman"/>
          <w:sz w:val="24"/>
          <w:szCs w:val="24"/>
        </w:rPr>
        <w:t xml:space="preserve"> </w:t>
      </w:r>
      <w:r w:rsidRPr="00651B1C">
        <w:rPr>
          <w:rFonts w:ascii="Times New Roman" w:hAnsi="Times New Roman" w:cs="Times New Roman"/>
          <w:sz w:val="24"/>
          <w:szCs w:val="24"/>
        </w:rPr>
        <w:t xml:space="preserve">gada </w:t>
      </w:r>
      <w:r w:rsidR="73C03A07" w:rsidRPr="00651B1C">
        <w:rPr>
          <w:rFonts w:ascii="Times New Roman" w:hAnsi="Times New Roman" w:cs="Times New Roman"/>
          <w:sz w:val="24"/>
          <w:szCs w:val="24"/>
        </w:rPr>
        <w:t>līdz 2050.</w:t>
      </w:r>
      <w:r w:rsidR="3554F43E" w:rsidRPr="469479B5">
        <w:rPr>
          <w:rFonts w:ascii="Times New Roman" w:hAnsi="Times New Roman" w:cs="Times New Roman"/>
          <w:b/>
          <w:bCs/>
          <w:sz w:val="24"/>
          <w:szCs w:val="24"/>
        </w:rPr>
        <w:t xml:space="preserve"> </w:t>
      </w:r>
      <w:r w:rsidR="73C03A07" w:rsidRPr="00651B1C">
        <w:rPr>
          <w:rFonts w:ascii="Times New Roman" w:hAnsi="Times New Roman" w:cs="Times New Roman"/>
          <w:sz w:val="24"/>
          <w:szCs w:val="24"/>
        </w:rPr>
        <w:t>gadam</w:t>
      </w:r>
      <w:r w:rsidR="10E80162" w:rsidRPr="00651B1C">
        <w:rPr>
          <w:rFonts w:ascii="Times New Roman" w:hAnsi="Times New Roman" w:cs="Times New Roman"/>
          <w:sz w:val="24"/>
          <w:szCs w:val="24"/>
        </w:rPr>
        <w:t xml:space="preserve"> </w:t>
      </w:r>
      <w:r w:rsidR="73C03A07" w:rsidRPr="00651B1C">
        <w:rPr>
          <w:rFonts w:ascii="Times New Roman" w:hAnsi="Times New Roman" w:cs="Times New Roman"/>
          <w:sz w:val="24"/>
          <w:szCs w:val="24"/>
        </w:rPr>
        <w:t xml:space="preserve">ir </w:t>
      </w:r>
      <w:r w:rsidR="10E80162" w:rsidRPr="00651B1C">
        <w:rPr>
          <w:rFonts w:ascii="Times New Roman" w:hAnsi="Times New Roman" w:cs="Times New Roman"/>
          <w:sz w:val="24"/>
          <w:szCs w:val="24"/>
        </w:rPr>
        <w:t xml:space="preserve">aptuveni </w:t>
      </w:r>
      <w:r w:rsidR="3DB12DDE" w:rsidRPr="00651B1C">
        <w:rPr>
          <w:rFonts w:ascii="Times New Roman" w:hAnsi="Times New Roman" w:cs="Times New Roman"/>
          <w:sz w:val="24"/>
          <w:szCs w:val="24"/>
        </w:rPr>
        <w:t xml:space="preserve">16 mljrd. </w:t>
      </w:r>
      <w:r w:rsidR="3DB12DDE" w:rsidRPr="469479B5">
        <w:rPr>
          <w:rFonts w:ascii="Times New Roman" w:hAnsi="Times New Roman" w:cs="Times New Roman"/>
          <w:i/>
          <w:iCs/>
          <w:sz w:val="24"/>
          <w:szCs w:val="24"/>
        </w:rPr>
        <w:t>euro</w:t>
      </w:r>
      <w:r w:rsidR="3DB12DDE" w:rsidRPr="00651B1C">
        <w:rPr>
          <w:rFonts w:ascii="Times New Roman" w:hAnsi="Times New Roman" w:cs="Times New Roman"/>
          <w:sz w:val="24"/>
          <w:szCs w:val="24"/>
        </w:rPr>
        <w:t xml:space="preserve"> (2010.</w:t>
      </w:r>
      <w:r w:rsidR="027BCD1B" w:rsidRPr="469479B5">
        <w:rPr>
          <w:rFonts w:ascii="Times New Roman" w:hAnsi="Times New Roman" w:cs="Times New Roman"/>
          <w:b/>
          <w:bCs/>
          <w:sz w:val="24"/>
          <w:szCs w:val="24"/>
        </w:rPr>
        <w:t xml:space="preserve"> </w:t>
      </w:r>
      <w:r w:rsidR="3DB12DDE" w:rsidRPr="00651B1C">
        <w:rPr>
          <w:rFonts w:ascii="Times New Roman" w:hAnsi="Times New Roman" w:cs="Times New Roman"/>
          <w:sz w:val="24"/>
          <w:szCs w:val="24"/>
        </w:rPr>
        <w:t>gada salīdzināmajās cenās) jeb aptuveni 1,35% vidēji gadā no IKP.</w:t>
      </w:r>
      <w:r w:rsidR="73C03A07" w:rsidRPr="00651B1C">
        <w:rPr>
          <w:rFonts w:ascii="Times New Roman" w:hAnsi="Times New Roman" w:cs="Times New Roman"/>
          <w:sz w:val="24"/>
          <w:szCs w:val="24"/>
        </w:rPr>
        <w:t xml:space="preserve"> </w:t>
      </w:r>
      <w:r w:rsidR="10E80162" w:rsidRPr="00651B1C">
        <w:rPr>
          <w:rFonts w:ascii="Times New Roman" w:hAnsi="Times New Roman" w:cs="Times New Roman"/>
          <w:sz w:val="24"/>
          <w:szCs w:val="24"/>
        </w:rPr>
        <w:t>Vienlaicīgi tiek atzīmēts, ka</w:t>
      </w:r>
      <w:r w:rsidR="73C03A07" w:rsidRPr="00651B1C">
        <w:rPr>
          <w:rFonts w:ascii="Times New Roman" w:hAnsi="Times New Roman" w:cs="Times New Roman"/>
          <w:sz w:val="24"/>
          <w:szCs w:val="24"/>
        </w:rPr>
        <w:t xml:space="preserve">, pateicoties </w:t>
      </w:r>
      <w:r w:rsidR="10E80162" w:rsidRPr="00651B1C">
        <w:rPr>
          <w:rFonts w:ascii="Times New Roman" w:hAnsi="Times New Roman" w:cs="Times New Roman"/>
          <w:sz w:val="24"/>
          <w:szCs w:val="24"/>
        </w:rPr>
        <w:t>papildu</w:t>
      </w:r>
      <w:r w:rsidR="73C03A07" w:rsidRPr="00651B1C">
        <w:rPr>
          <w:rFonts w:ascii="Times New Roman" w:hAnsi="Times New Roman" w:cs="Times New Roman"/>
          <w:sz w:val="24"/>
          <w:szCs w:val="24"/>
        </w:rPr>
        <w:t xml:space="preserve"> investīcijām, veidojas arī ieguvumi, piemēram, no izmaksu par kurināmo samazināšanās (arī resursu izmantošanas efektivitātes paaugstināšanas dēļ) un citu ekspluatācijas izmaksu ietaupījumiem. </w:t>
      </w:r>
      <w:r w:rsidR="3DB12DDE" w:rsidRPr="00651B1C">
        <w:rPr>
          <w:rFonts w:ascii="Times New Roman" w:hAnsi="Times New Roman" w:cs="Times New Roman"/>
          <w:sz w:val="24"/>
          <w:szCs w:val="24"/>
        </w:rPr>
        <w:t>Līdz ar to laika periodā līdz 2050.</w:t>
      </w:r>
      <w:r w:rsidR="594C960F" w:rsidRPr="00651B1C">
        <w:rPr>
          <w:rFonts w:ascii="Times New Roman" w:hAnsi="Times New Roman" w:cs="Times New Roman"/>
          <w:sz w:val="24"/>
          <w:szCs w:val="24"/>
        </w:rPr>
        <w:t xml:space="preserve"> </w:t>
      </w:r>
      <w:r w:rsidR="3DB12DDE" w:rsidRPr="00651B1C">
        <w:rPr>
          <w:rFonts w:ascii="Times New Roman" w:hAnsi="Times New Roman" w:cs="Times New Roman"/>
          <w:sz w:val="24"/>
          <w:szCs w:val="24"/>
        </w:rPr>
        <w:t xml:space="preserve">gadam papildu kopējās izmaksas mērķa īstenošanai pēc sākotnējām indikatīvām prognozēm ir aptuveni 13,5 mljrd. </w:t>
      </w:r>
      <w:r w:rsidR="3DB12DDE" w:rsidRPr="469479B5">
        <w:rPr>
          <w:rFonts w:ascii="Times New Roman" w:hAnsi="Times New Roman" w:cs="Times New Roman"/>
          <w:i/>
          <w:iCs/>
          <w:sz w:val="24"/>
          <w:szCs w:val="24"/>
        </w:rPr>
        <w:t>euro</w:t>
      </w:r>
      <w:r w:rsidR="3DB12DDE" w:rsidRPr="00651B1C">
        <w:rPr>
          <w:rFonts w:ascii="Times New Roman" w:hAnsi="Times New Roman" w:cs="Times New Roman"/>
          <w:sz w:val="24"/>
          <w:szCs w:val="24"/>
        </w:rPr>
        <w:t xml:space="preserve"> (2010.</w:t>
      </w:r>
      <w:r w:rsidR="02E5FC09" w:rsidRPr="469479B5">
        <w:rPr>
          <w:rFonts w:ascii="Times New Roman" w:hAnsi="Times New Roman" w:cs="Times New Roman"/>
          <w:b/>
          <w:bCs/>
          <w:sz w:val="24"/>
          <w:szCs w:val="24"/>
        </w:rPr>
        <w:t xml:space="preserve"> </w:t>
      </w:r>
      <w:r w:rsidR="3DB12DDE" w:rsidRPr="00651B1C">
        <w:rPr>
          <w:rFonts w:ascii="Times New Roman" w:hAnsi="Times New Roman" w:cs="Times New Roman"/>
          <w:sz w:val="24"/>
          <w:szCs w:val="24"/>
        </w:rPr>
        <w:t xml:space="preserve">gada salīdzināmajās cenās) jeb aptuveni 1,1% vidēji gadā no IKP. </w:t>
      </w:r>
      <w:r w:rsidR="00CB1CD3">
        <w:rPr>
          <w:rFonts w:ascii="Times New Roman" w:hAnsi="Times New Roman" w:cs="Times New Roman"/>
          <w:sz w:val="24"/>
          <w:szCs w:val="24"/>
        </w:rPr>
        <w:t>Svarīgi</w:t>
      </w:r>
      <w:r w:rsidR="009E1FDD">
        <w:rPr>
          <w:rFonts w:ascii="Times New Roman" w:hAnsi="Times New Roman" w:cs="Times New Roman"/>
          <w:sz w:val="24"/>
          <w:szCs w:val="24"/>
        </w:rPr>
        <w:t xml:space="preserve"> atzīmēt, ka Latvijas gadījumā (būtiska atkarība no importētajiem fosilajiem energoresursiem un neizmantots vietējās ilgtspējīgas ekonomikas potenciāls), NEKP</w:t>
      </w:r>
      <w:r w:rsidR="009E1FDD">
        <w:rPr>
          <w:rStyle w:val="FootnoteReference"/>
          <w:rFonts w:ascii="Times New Roman" w:hAnsi="Times New Roman" w:cs="Times New Roman"/>
          <w:sz w:val="24"/>
          <w:szCs w:val="24"/>
        </w:rPr>
        <w:footnoteReference w:id="95"/>
      </w:r>
      <w:r w:rsidR="009E1FDD">
        <w:rPr>
          <w:rFonts w:ascii="Times New Roman" w:hAnsi="Times New Roman" w:cs="Times New Roman"/>
          <w:sz w:val="24"/>
          <w:szCs w:val="24"/>
        </w:rPr>
        <w:t xml:space="preserve"> pasākumu īstenošanai ir pozitīva ietekme uz </w:t>
      </w:r>
      <w:r w:rsidR="001D2C74">
        <w:rPr>
          <w:rFonts w:ascii="Times New Roman" w:hAnsi="Times New Roman" w:cs="Times New Roman"/>
          <w:sz w:val="24"/>
          <w:szCs w:val="24"/>
        </w:rPr>
        <w:t>IKP</w:t>
      </w:r>
      <w:r w:rsidR="009E1FDD">
        <w:rPr>
          <w:rFonts w:ascii="Times New Roman" w:hAnsi="Times New Roman" w:cs="Times New Roman"/>
          <w:sz w:val="24"/>
          <w:szCs w:val="24"/>
        </w:rPr>
        <w:t xml:space="preserve">. </w:t>
      </w:r>
      <w:r w:rsidR="009E1FDD" w:rsidRPr="003D7001">
        <w:rPr>
          <w:rFonts w:ascii="Times New Roman" w:hAnsi="Times New Roman" w:cs="Times New Roman"/>
          <w:b/>
          <w:bCs/>
          <w:sz w:val="24"/>
          <w:szCs w:val="24"/>
        </w:rPr>
        <w:t>Reālā IKP līmenis 2050. gadā ir par 7,7% lielāks</w:t>
      </w:r>
      <w:r w:rsidR="00CB1CD3" w:rsidRPr="003D7001">
        <w:rPr>
          <w:rFonts w:ascii="Times New Roman" w:hAnsi="Times New Roman" w:cs="Times New Roman"/>
          <w:b/>
          <w:bCs/>
          <w:sz w:val="24"/>
          <w:szCs w:val="24"/>
        </w:rPr>
        <w:t xml:space="preserve"> īstenojot NEKP pasākumus</w:t>
      </w:r>
      <w:r w:rsidR="00CB1CD3">
        <w:rPr>
          <w:rFonts w:ascii="Times New Roman" w:hAnsi="Times New Roman" w:cs="Times New Roman"/>
          <w:sz w:val="24"/>
          <w:szCs w:val="24"/>
        </w:rPr>
        <w:t>,</w:t>
      </w:r>
      <w:r w:rsidR="009E1FDD">
        <w:rPr>
          <w:rFonts w:ascii="Times New Roman" w:hAnsi="Times New Roman" w:cs="Times New Roman"/>
          <w:sz w:val="24"/>
          <w:szCs w:val="24"/>
        </w:rPr>
        <w:t xml:space="preserve"> nekā neīstenojot NEKP pasākumus nepieciešamā finansējuma apjomā</w:t>
      </w:r>
      <w:r w:rsidR="009E1FDD">
        <w:rPr>
          <w:rStyle w:val="FootnoteReference"/>
          <w:rFonts w:ascii="Times New Roman" w:hAnsi="Times New Roman" w:cs="Times New Roman"/>
          <w:sz w:val="24"/>
          <w:szCs w:val="24"/>
        </w:rPr>
        <w:footnoteReference w:id="96"/>
      </w:r>
      <w:r w:rsidR="00CB1CD3">
        <w:rPr>
          <w:rFonts w:ascii="Times New Roman" w:hAnsi="Times New Roman" w:cs="Times New Roman"/>
          <w:sz w:val="24"/>
          <w:szCs w:val="24"/>
        </w:rPr>
        <w:t>.</w:t>
      </w:r>
    </w:p>
    <w:p w14:paraId="750205FC" w14:textId="7EBF834B" w:rsidR="001244A8" w:rsidRPr="00651B1C" w:rsidRDefault="009E1FDD" w:rsidP="469479B5">
      <w:pPr>
        <w:shd w:val="clear" w:color="auto" w:fill="FFFFFF" w:themeFill="background1"/>
        <w:spacing w:after="0" w:line="240" w:lineRule="auto"/>
        <w:ind w:firstLine="720"/>
        <w:jc w:val="both"/>
      </w:pPr>
      <w:r>
        <w:rPr>
          <w:rFonts w:ascii="Times New Roman" w:hAnsi="Times New Roman" w:cs="Times New Roman"/>
          <w:sz w:val="24"/>
          <w:szCs w:val="24"/>
        </w:rPr>
        <w:t>S</w:t>
      </w:r>
      <w:r w:rsidR="3DB12DDE" w:rsidRPr="469479B5">
        <w:rPr>
          <w:rFonts w:ascii="Times New Roman" w:hAnsi="Times New Roman" w:cs="Times New Roman"/>
          <w:sz w:val="24"/>
          <w:szCs w:val="24"/>
        </w:rPr>
        <w:t xml:space="preserve">aistībā ar pēdējos gados </w:t>
      </w:r>
      <w:r w:rsidR="20C27946" w:rsidRPr="469479B5">
        <w:rPr>
          <w:rFonts w:ascii="Times New Roman" w:hAnsi="Times New Roman" w:cs="Times New Roman"/>
          <w:i/>
          <w:iCs/>
          <w:sz w:val="24"/>
          <w:szCs w:val="24"/>
        </w:rPr>
        <w:t>Gatavi mērķrādītājam 55%</w:t>
      </w:r>
      <w:r w:rsidR="3DB12DDE" w:rsidRPr="469479B5">
        <w:rPr>
          <w:rFonts w:ascii="Times New Roman" w:hAnsi="Times New Roman" w:cs="Times New Roman"/>
          <w:sz w:val="24"/>
          <w:szCs w:val="24"/>
        </w:rPr>
        <w:t xml:space="preserve"> pakotnes ietvaros dalībvalstu uzņemtajām papildus saistībām, kas paredz paātrināt līdz 2030.</w:t>
      </w:r>
      <w:r w:rsidR="20431294" w:rsidRPr="469479B5">
        <w:rPr>
          <w:rFonts w:ascii="Times New Roman" w:hAnsi="Times New Roman" w:cs="Times New Roman"/>
          <w:b/>
          <w:bCs/>
          <w:sz w:val="24"/>
          <w:szCs w:val="24"/>
        </w:rPr>
        <w:t xml:space="preserve"> </w:t>
      </w:r>
      <w:r w:rsidR="3DB12DDE" w:rsidRPr="469479B5">
        <w:rPr>
          <w:rFonts w:ascii="Times New Roman" w:hAnsi="Times New Roman" w:cs="Times New Roman"/>
          <w:sz w:val="24"/>
          <w:szCs w:val="24"/>
        </w:rPr>
        <w:t>gadam klimata mērķu sasniegšanu, sagaidāmo investīciju apjoms klimatneitralitātes sasniegšanai ir audzis.</w:t>
      </w:r>
      <w:r w:rsidR="36143BBB" w:rsidRPr="469479B5">
        <w:rPr>
          <w:rFonts w:ascii="Times New Roman" w:hAnsi="Times New Roman" w:cs="Times New Roman"/>
          <w:sz w:val="24"/>
          <w:szCs w:val="24"/>
        </w:rPr>
        <w:t xml:space="preserve"> </w:t>
      </w:r>
      <w:r w:rsidR="00B0405A">
        <w:rPr>
          <w:rFonts w:ascii="Times New Roman" w:hAnsi="Times New Roman" w:cs="Times New Roman"/>
          <w:sz w:val="24"/>
          <w:szCs w:val="24"/>
        </w:rPr>
        <w:t>EM</w:t>
      </w:r>
      <w:r w:rsidR="20C27946" w:rsidRPr="469479B5">
        <w:rPr>
          <w:rFonts w:ascii="Times New Roman" w:hAnsi="Times New Roman" w:cs="Times New Roman"/>
          <w:sz w:val="24"/>
          <w:szCs w:val="24"/>
        </w:rPr>
        <w:t xml:space="preserve"> sadarbībā ar </w:t>
      </w:r>
      <w:r w:rsidR="20C27946" w:rsidRPr="469479B5">
        <w:rPr>
          <w:rFonts w:ascii="Times New Roman" w:hAnsi="Times New Roman" w:cs="Times New Roman"/>
          <w:i/>
          <w:iCs/>
          <w:sz w:val="24"/>
          <w:szCs w:val="24"/>
        </w:rPr>
        <w:t>Trinomics</w:t>
      </w:r>
      <w:r w:rsidR="20C27946" w:rsidRPr="469479B5">
        <w:rPr>
          <w:rFonts w:ascii="Times New Roman" w:hAnsi="Times New Roman" w:cs="Times New Roman"/>
          <w:sz w:val="24"/>
          <w:szCs w:val="24"/>
        </w:rPr>
        <w:t xml:space="preserve"> institūciju izstrādāja modeli laika periodam no 2023.</w:t>
      </w:r>
      <w:r w:rsidR="6455F802" w:rsidRPr="469479B5">
        <w:rPr>
          <w:rFonts w:ascii="Times New Roman" w:hAnsi="Times New Roman" w:cs="Times New Roman"/>
          <w:b/>
          <w:bCs/>
          <w:sz w:val="24"/>
          <w:szCs w:val="24"/>
        </w:rPr>
        <w:t xml:space="preserve"> </w:t>
      </w:r>
      <w:r w:rsidR="20C27946" w:rsidRPr="469479B5">
        <w:rPr>
          <w:rFonts w:ascii="Times New Roman" w:hAnsi="Times New Roman" w:cs="Times New Roman"/>
          <w:sz w:val="24"/>
          <w:szCs w:val="24"/>
        </w:rPr>
        <w:t>gada līdz 2050.</w:t>
      </w:r>
      <w:r w:rsidR="23402352" w:rsidRPr="469479B5">
        <w:rPr>
          <w:rFonts w:ascii="Times New Roman" w:hAnsi="Times New Roman" w:cs="Times New Roman"/>
          <w:b/>
          <w:bCs/>
          <w:sz w:val="24"/>
          <w:szCs w:val="24"/>
        </w:rPr>
        <w:t xml:space="preserve"> </w:t>
      </w:r>
      <w:r w:rsidR="20C27946" w:rsidRPr="469479B5">
        <w:rPr>
          <w:rFonts w:ascii="Times New Roman" w:hAnsi="Times New Roman" w:cs="Times New Roman"/>
          <w:sz w:val="24"/>
          <w:szCs w:val="24"/>
        </w:rPr>
        <w:t>gadam. Modeļa sagatavošanas pētījumā tiek izteikti sekojoši secinājumi:</w:t>
      </w:r>
      <w:r w:rsidR="20C27946">
        <w:t xml:space="preserve"> </w:t>
      </w:r>
    </w:p>
    <w:p w14:paraId="69AC9DE3" w14:textId="3023E0B9" w:rsidR="001244A8" w:rsidRPr="00651B1C"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651B1C">
        <w:rPr>
          <w:rFonts w:ascii="Times New Roman" w:hAnsi="Times New Roman"/>
          <w:sz w:val="24"/>
          <w:szCs w:val="24"/>
        </w:rPr>
        <w:t>Novērtēt zemes izmantošanas, zemes izmantošanas maiņas un mežsaimniecības sektora un lauksaimniecības sektora ieguldījumu dekarbonizācijā. Šīs nozares var sniegt būtisku ieguldījumu neto emisiju samazināšanā, darbojoties kā piesaistītāji.</w:t>
      </w:r>
      <w:r w:rsidR="009E1FDD">
        <w:rPr>
          <w:rFonts w:ascii="Times New Roman" w:hAnsi="Times New Roman"/>
          <w:sz w:val="24"/>
          <w:szCs w:val="24"/>
        </w:rPr>
        <w:t xml:space="preserve"> Attiecīgais potenciāls ir aprakstīts Latvijas bioekonomikas stratēģijā, kas tiks aktualizēta līdz 2025.</w:t>
      </w:r>
      <w:r w:rsidR="001C4E2F">
        <w:rPr>
          <w:rFonts w:ascii="Times New Roman" w:hAnsi="Times New Roman"/>
          <w:sz w:val="24"/>
          <w:szCs w:val="24"/>
        </w:rPr>
        <w:t xml:space="preserve"> </w:t>
      </w:r>
      <w:r w:rsidR="009E1FDD">
        <w:rPr>
          <w:rFonts w:ascii="Times New Roman" w:hAnsi="Times New Roman"/>
          <w:sz w:val="24"/>
          <w:szCs w:val="24"/>
        </w:rPr>
        <w:t>gada beigām.</w:t>
      </w:r>
      <w:r w:rsidRPr="00651B1C">
        <w:rPr>
          <w:rFonts w:ascii="Times New Roman" w:hAnsi="Times New Roman"/>
          <w:sz w:val="24"/>
          <w:szCs w:val="24"/>
        </w:rPr>
        <w:t xml:space="preserve"> </w:t>
      </w:r>
    </w:p>
    <w:p w14:paraId="1E320BB9" w14:textId="36227DA2" w:rsidR="001244A8" w:rsidRPr="00651B1C"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651B1C">
        <w:rPr>
          <w:rFonts w:ascii="Times New Roman" w:hAnsi="Times New Roman"/>
          <w:sz w:val="24"/>
          <w:szCs w:val="24"/>
        </w:rPr>
        <w:t>Nepieciešams rūpīgāk izdiskutēt valdības un iesaistīto pušu starpā ierosinātās darbības un to sekas (finansiālās, politiskās). Tas nodrošinātu, ka</w:t>
      </w:r>
      <w:r w:rsidR="001C4E2F">
        <w:rPr>
          <w:rFonts w:ascii="Times New Roman" w:hAnsi="Times New Roman"/>
          <w:sz w:val="24"/>
          <w:szCs w:val="24"/>
        </w:rPr>
        <w:t xml:space="preserve"> Latvijas ilgtspējīgas ekonomikas potenciāls ir maksimāli izmantots, kā arī</w:t>
      </w:r>
      <w:r w:rsidRPr="00651B1C">
        <w:rPr>
          <w:rFonts w:ascii="Times New Roman" w:hAnsi="Times New Roman"/>
          <w:sz w:val="24"/>
          <w:szCs w:val="24"/>
        </w:rPr>
        <w:t xml:space="preserve"> ierosinātajām stratēģijām ir plašs atbalsts, kas būs nepieciešams, lai nodrošinātu ilgtermiņa panākumus.</w:t>
      </w:r>
    </w:p>
    <w:p w14:paraId="55A6C5FA" w14:textId="59427891" w:rsidR="001244A8" w:rsidRPr="00651B1C"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651B1C">
        <w:rPr>
          <w:rFonts w:ascii="Times New Roman" w:hAnsi="Times New Roman"/>
          <w:sz w:val="24"/>
          <w:szCs w:val="24"/>
        </w:rPr>
        <w:t>Turpināt atsevišķi analizēt ierosinātās darbības. Šajā uzdevumā tika aplūkota vairāku darbību kopējā ietekme uz kopējām emisijām no Latvijas enerģijas izmantošanas sektoriem. Tomēr katra darbība ir jāanalizē atsevišķi, tiklīdz darbības ir definētas precīzāk (piemēram, ar budžetiem, izpildes periodiem, atbildīgajām struktūrām utt.).</w:t>
      </w:r>
    </w:p>
    <w:p w14:paraId="02358433" w14:textId="2EAA8CFA" w:rsidR="00335486" w:rsidRDefault="001244A8" w:rsidP="000C1547">
      <w:pPr>
        <w:shd w:val="clear" w:color="auto" w:fill="FFFFFF" w:themeFill="background1"/>
        <w:spacing w:after="0" w:line="240" w:lineRule="auto"/>
        <w:ind w:firstLine="720"/>
        <w:jc w:val="both"/>
        <w:rPr>
          <w:rFonts w:ascii="Times New Roman" w:hAnsi="Times New Roman" w:cs="Times New Roman"/>
          <w:color w:val="000000" w:themeColor="text1"/>
          <w:sz w:val="24"/>
          <w:szCs w:val="24"/>
        </w:rPr>
      </w:pPr>
      <w:r w:rsidRPr="00651B1C">
        <w:rPr>
          <w:rFonts w:ascii="Times New Roman" w:hAnsi="Times New Roman" w:cs="Times New Roman"/>
          <w:sz w:val="24"/>
          <w:szCs w:val="24"/>
        </w:rPr>
        <w:t>Pētījumā netiek analizēta specifiska ietekme uz investīcijām klimatneitralitātes sasniegšanai, bet konkrētu politiku un pasākumu izmaks</w:t>
      </w:r>
      <w:r w:rsidR="00FD11E8">
        <w:rPr>
          <w:rFonts w:ascii="Times New Roman" w:hAnsi="Times New Roman" w:cs="Times New Roman"/>
          <w:sz w:val="24"/>
          <w:szCs w:val="24"/>
        </w:rPr>
        <w:t xml:space="preserve">u </w:t>
      </w:r>
      <w:r w:rsidRPr="00651B1C">
        <w:rPr>
          <w:rFonts w:ascii="Times New Roman" w:hAnsi="Times New Roman" w:cs="Times New Roman"/>
          <w:sz w:val="24"/>
          <w:szCs w:val="24"/>
        </w:rPr>
        <w:t xml:space="preserve">efektivitāte un finansiālā pamatojamība. </w:t>
      </w:r>
      <w:r w:rsidR="001C4E2F">
        <w:rPr>
          <w:rFonts w:ascii="Times New Roman" w:hAnsi="Times New Roman" w:cs="Times New Roman"/>
          <w:sz w:val="24"/>
          <w:szCs w:val="24"/>
        </w:rPr>
        <w:t>I</w:t>
      </w:r>
      <w:r w:rsidRPr="00651B1C">
        <w:rPr>
          <w:rFonts w:ascii="Times New Roman" w:hAnsi="Times New Roman" w:cs="Times New Roman"/>
          <w:sz w:val="24"/>
          <w:szCs w:val="24"/>
        </w:rPr>
        <w:t>zstrādātais modelis var prognozēt nepieciešamās investīcijas, lai sasniegtu klimatneitralitāti.</w:t>
      </w:r>
      <w:r w:rsidR="009A05B5" w:rsidRPr="00651B1C">
        <w:rPr>
          <w:rFonts w:ascii="Times New Roman" w:hAnsi="Times New Roman" w:cs="Times New Roman"/>
          <w:sz w:val="24"/>
          <w:szCs w:val="24"/>
        </w:rPr>
        <w:t xml:space="preserve"> Vienlaikus </w:t>
      </w:r>
      <w:r w:rsidR="00CB1CD3">
        <w:rPr>
          <w:rFonts w:ascii="Times New Roman" w:hAnsi="Times New Roman" w:cs="Times New Roman"/>
          <w:sz w:val="24"/>
          <w:szCs w:val="24"/>
        </w:rPr>
        <w:t>EM</w:t>
      </w:r>
      <w:r w:rsidR="009A05B5" w:rsidRPr="00651B1C">
        <w:rPr>
          <w:rFonts w:ascii="Times New Roman" w:hAnsi="Times New Roman" w:cs="Times New Roman"/>
          <w:sz w:val="24"/>
          <w:szCs w:val="24"/>
        </w:rPr>
        <w:t xml:space="preserve"> atzīmē, ka identificējot nākotnes klimatneitralitātes pasākumu izmaksas, būs nepieciešami arī daudzi citi izvērtējumi un aprēķini, ne tikai secinājumos minētie.</w:t>
      </w:r>
    </w:p>
    <w:p w14:paraId="76733209" w14:textId="3E085361" w:rsidR="00C318A1" w:rsidRPr="00F5301D" w:rsidRDefault="00C318A1" w:rsidP="00F5301D">
      <w:pPr>
        <w:spacing w:after="0" w:line="240" w:lineRule="auto"/>
        <w:ind w:firstLine="720"/>
        <w:jc w:val="both"/>
        <w:rPr>
          <w:rFonts w:ascii="Times New Roman" w:hAnsi="Times New Roman" w:cs="Times New Roman"/>
          <w:color w:val="000000" w:themeColor="text1"/>
          <w:sz w:val="24"/>
          <w:szCs w:val="24"/>
        </w:rPr>
      </w:pPr>
      <w:r w:rsidRPr="009E1160">
        <w:rPr>
          <w:rFonts w:ascii="Times New Roman" w:hAnsi="Times New Roman" w:cs="Times New Roman"/>
          <w:color w:val="000000" w:themeColor="text1"/>
          <w:sz w:val="24"/>
          <w:szCs w:val="24"/>
        </w:rPr>
        <w:t xml:space="preserve">NEKP indikatīvais novērtējums par nepieciešamo investīciju apjomu plānā aprakstīto pasākumu īstenošanai līdz 2030. gadam sasniedz 13,3 mljrd. </w:t>
      </w:r>
      <w:r w:rsidRPr="009E1160">
        <w:rPr>
          <w:rFonts w:ascii="Times New Roman" w:hAnsi="Times New Roman" w:cs="Times New Roman"/>
          <w:i/>
          <w:iCs/>
          <w:color w:val="000000" w:themeColor="text1"/>
          <w:sz w:val="24"/>
          <w:szCs w:val="24"/>
        </w:rPr>
        <w:t>euro</w:t>
      </w:r>
      <w:r w:rsidRPr="009E1160">
        <w:rPr>
          <w:rFonts w:ascii="Times New Roman" w:hAnsi="Times New Roman" w:cs="Times New Roman"/>
          <w:color w:val="000000" w:themeColor="text1"/>
          <w:sz w:val="24"/>
          <w:szCs w:val="24"/>
        </w:rPr>
        <w:t xml:space="preserve"> (skat. 5.</w:t>
      </w:r>
      <w:r>
        <w:rPr>
          <w:rFonts w:ascii="Times New Roman" w:hAnsi="Times New Roman" w:cs="Times New Roman"/>
          <w:color w:val="000000" w:themeColor="text1"/>
          <w:sz w:val="24"/>
          <w:szCs w:val="24"/>
        </w:rPr>
        <w:t>2.</w:t>
      </w:r>
      <w:r w:rsidRPr="009E1160">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r w:rsidRPr="009E1160">
        <w:rPr>
          <w:rFonts w:ascii="Times New Roman" w:hAnsi="Times New Roman" w:cs="Times New Roman"/>
          <w:color w:val="000000" w:themeColor="text1"/>
          <w:sz w:val="24"/>
          <w:szCs w:val="24"/>
        </w:rPr>
        <w:t xml:space="preserve"> attēlā)</w:t>
      </w:r>
      <w:r w:rsidRPr="009E1160">
        <w:rPr>
          <w:rStyle w:val="FootnoteReference"/>
          <w:rFonts w:ascii="Times New Roman" w:hAnsi="Times New Roman" w:cs="Times New Roman"/>
          <w:color w:val="000000" w:themeColor="text1"/>
          <w:sz w:val="24"/>
          <w:szCs w:val="24"/>
        </w:rPr>
        <w:footnoteReference w:id="97"/>
      </w:r>
      <w:r w:rsidRPr="009E1160">
        <w:rPr>
          <w:rFonts w:ascii="Times New Roman" w:hAnsi="Times New Roman" w:cs="Times New Roman"/>
          <w:color w:val="000000" w:themeColor="text1"/>
          <w:sz w:val="24"/>
          <w:szCs w:val="24"/>
        </w:rPr>
        <w:t>.</w:t>
      </w:r>
      <w:r w:rsidR="00E9469F">
        <w:rPr>
          <w:rFonts w:ascii="Times New Roman" w:hAnsi="Times New Roman" w:cs="Times New Roman"/>
          <w:color w:val="000000" w:themeColor="text1"/>
          <w:sz w:val="24"/>
          <w:szCs w:val="24"/>
        </w:rPr>
        <w:t xml:space="preserve"> Turklāt vairākiem pasākumiem nav datu par nepieciešamo finansējumu.</w:t>
      </w:r>
      <w:r w:rsidRPr="009E1160">
        <w:rPr>
          <w:rFonts w:ascii="Times New Roman" w:hAnsi="Times New Roman" w:cs="Times New Roman"/>
          <w:color w:val="000000" w:themeColor="text1"/>
          <w:sz w:val="24"/>
          <w:szCs w:val="24"/>
        </w:rPr>
        <w:t xml:space="preserve"> </w:t>
      </w:r>
      <w:r w:rsidR="0040147A" w:rsidRPr="0040147A">
        <w:rPr>
          <w:rFonts w:ascii="Times New Roman" w:hAnsi="Times New Roman" w:cs="Times New Roman"/>
          <w:color w:val="000000" w:themeColor="text1"/>
          <w:sz w:val="24"/>
          <w:szCs w:val="24"/>
        </w:rPr>
        <w:t>Nepieciešamā finansējuma apmērs faktiski raksturo tirgus potenciālu, ko privātais sektors varētu gūt pateicoties preču un pakalpojumu ražošanai, izmantojot ilgtspējīgus resursus</w:t>
      </w:r>
      <w:r w:rsidR="0040147A">
        <w:rPr>
          <w:rFonts w:ascii="Times New Roman" w:hAnsi="Times New Roman" w:cs="Times New Roman"/>
          <w:color w:val="000000" w:themeColor="text1"/>
          <w:sz w:val="24"/>
          <w:szCs w:val="24"/>
        </w:rPr>
        <w:t>.</w:t>
      </w:r>
    </w:p>
    <w:p w14:paraId="0B4842AC" w14:textId="25BE24CF" w:rsidR="00C318A1" w:rsidRPr="00D04336" w:rsidRDefault="00F5301D" w:rsidP="00C318A1">
      <w:pPr>
        <w:spacing w:after="0" w:line="240" w:lineRule="auto"/>
        <w:ind w:firstLine="720"/>
        <w:rPr>
          <w:rFonts w:ascii="Times New Roman" w:hAnsi="Times New Roman" w:cs="Times New Roman"/>
          <w:color w:val="000000"/>
          <w:sz w:val="24"/>
          <w:szCs w:val="24"/>
          <w:u w:val="single"/>
        </w:rPr>
      </w:pPr>
      <w:r w:rsidRPr="00D04336">
        <w:rPr>
          <w:rFonts w:ascii="Times New Roman" w:hAnsi="Times New Roman" w:cs="Times New Roman"/>
          <w:noProof/>
          <w:u w:val="single"/>
          <w14:ligatures w14:val="standardContextual"/>
        </w:rPr>
        <w:drawing>
          <wp:anchor distT="0" distB="0" distL="114300" distR="114300" simplePos="0" relativeHeight="251670528" behindDoc="0" locked="0" layoutInCell="1" allowOverlap="1" wp14:anchorId="1024EC97" wp14:editId="1503418C">
            <wp:simplePos x="0" y="0"/>
            <wp:positionH relativeFrom="page">
              <wp:posOffset>1247775</wp:posOffset>
            </wp:positionH>
            <wp:positionV relativeFrom="paragraph">
              <wp:posOffset>168275</wp:posOffset>
            </wp:positionV>
            <wp:extent cx="4810125" cy="2200275"/>
            <wp:effectExtent l="0" t="0" r="0" b="0"/>
            <wp:wrapSquare wrapText="bothSides"/>
            <wp:docPr id="1344874997" name="Chart 1">
              <a:extLst xmlns:a="http://schemas.openxmlformats.org/drawingml/2006/main">
                <a:ext uri="{FF2B5EF4-FFF2-40B4-BE49-F238E27FC236}">
                  <a16:creationId xmlns:a16="http://schemas.microsoft.com/office/drawing/2014/main" id="{38391B8D-475E-76C5-59C4-F2F04D2F9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7358B89" w14:textId="04CE1A6B" w:rsidR="00C318A1" w:rsidRDefault="00C318A1" w:rsidP="469479B5">
      <w:pPr>
        <w:spacing w:after="0" w:line="240" w:lineRule="auto"/>
        <w:ind w:firstLine="720"/>
        <w:jc w:val="both"/>
        <w:rPr>
          <w:rFonts w:ascii="Times New Roman" w:hAnsi="Times New Roman" w:cs="Times New Roman"/>
          <w:color w:val="000000"/>
          <w:sz w:val="24"/>
          <w:szCs w:val="24"/>
        </w:rPr>
      </w:pPr>
    </w:p>
    <w:p w14:paraId="45C34D14"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7689430A"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6FB993ED"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16D6775C"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53AAF996"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45430928"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2FDCCBCF"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40206478"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4C56F924"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590237B1" w14:textId="77777777" w:rsidR="00C318A1" w:rsidRDefault="00C318A1" w:rsidP="00335486">
      <w:pPr>
        <w:spacing w:after="0" w:line="240" w:lineRule="auto"/>
        <w:ind w:firstLine="720"/>
        <w:jc w:val="both"/>
        <w:rPr>
          <w:rFonts w:ascii="Times New Roman" w:hAnsi="Times New Roman" w:cs="Times New Roman"/>
          <w:color w:val="000000" w:themeColor="text1"/>
          <w:sz w:val="24"/>
          <w:szCs w:val="24"/>
        </w:rPr>
      </w:pPr>
    </w:p>
    <w:p w14:paraId="6CC6E1AD" w14:textId="77777777" w:rsidR="002E49B0" w:rsidRDefault="002E49B0" w:rsidP="00ED1EE3">
      <w:pPr>
        <w:rPr>
          <w:rFonts w:ascii="Times New Roman" w:hAnsi="Times New Roman" w:cs="Times New Roman"/>
          <w:b/>
          <w:bCs/>
          <w:sz w:val="24"/>
          <w:szCs w:val="24"/>
        </w:rPr>
      </w:pPr>
    </w:p>
    <w:p w14:paraId="10627CBF" w14:textId="59C0FCD8" w:rsidR="006102BD" w:rsidRPr="00FD1CCE" w:rsidRDefault="00C318A1" w:rsidP="00FD1CCE">
      <w:pPr>
        <w:jc w:val="center"/>
        <w:rPr>
          <w:rFonts w:ascii="Times New Roman" w:hAnsi="Times New Roman" w:cs="Times New Roman"/>
          <w:sz w:val="24"/>
          <w:szCs w:val="24"/>
        </w:rPr>
      </w:pPr>
      <w:r w:rsidRPr="009E1160">
        <w:rPr>
          <w:rFonts w:ascii="Times New Roman" w:hAnsi="Times New Roman" w:cs="Times New Roman"/>
          <w:b/>
          <w:bCs/>
          <w:sz w:val="24"/>
          <w:szCs w:val="24"/>
        </w:rPr>
        <w:t>5.</w:t>
      </w:r>
      <w:r>
        <w:rPr>
          <w:rFonts w:ascii="Times New Roman" w:hAnsi="Times New Roman" w:cs="Times New Roman"/>
          <w:b/>
          <w:bCs/>
          <w:sz w:val="24"/>
          <w:szCs w:val="24"/>
        </w:rPr>
        <w:t>2.</w:t>
      </w:r>
      <w:r w:rsidRPr="009E1160">
        <w:rPr>
          <w:rFonts w:ascii="Times New Roman" w:hAnsi="Times New Roman" w:cs="Times New Roman"/>
          <w:b/>
          <w:bCs/>
          <w:sz w:val="24"/>
          <w:szCs w:val="24"/>
        </w:rPr>
        <w:t>1.</w:t>
      </w:r>
      <w:r w:rsidR="008674A0">
        <w:rPr>
          <w:rFonts w:ascii="Times New Roman" w:hAnsi="Times New Roman" w:cs="Times New Roman"/>
          <w:b/>
          <w:bCs/>
          <w:sz w:val="24"/>
          <w:szCs w:val="24"/>
        </w:rPr>
        <w:t xml:space="preserve"> </w:t>
      </w:r>
      <w:r w:rsidRPr="009E1160">
        <w:rPr>
          <w:rFonts w:ascii="Times New Roman" w:hAnsi="Times New Roman" w:cs="Times New Roman"/>
          <w:b/>
          <w:bCs/>
          <w:sz w:val="24"/>
          <w:szCs w:val="24"/>
        </w:rPr>
        <w:t>attēls.</w:t>
      </w:r>
      <w:r w:rsidRPr="009E1160">
        <w:rPr>
          <w:rFonts w:ascii="Times New Roman" w:hAnsi="Times New Roman" w:cs="Times New Roman"/>
          <w:sz w:val="24"/>
          <w:szCs w:val="24"/>
        </w:rPr>
        <w:t xml:space="preserve"> Kopējais kumulatīvais investīciju apjoms (milj. </w:t>
      </w:r>
      <w:r w:rsidRPr="009E1160">
        <w:rPr>
          <w:rFonts w:ascii="Times New Roman" w:hAnsi="Times New Roman" w:cs="Times New Roman"/>
          <w:i/>
          <w:iCs/>
          <w:sz w:val="24"/>
          <w:szCs w:val="24"/>
        </w:rPr>
        <w:t>euro</w:t>
      </w:r>
      <w:r w:rsidRPr="009E1160">
        <w:rPr>
          <w:rFonts w:ascii="Times New Roman" w:hAnsi="Times New Roman" w:cs="Times New Roman"/>
          <w:sz w:val="24"/>
          <w:szCs w:val="24"/>
        </w:rPr>
        <w:t xml:space="preserve">), </w:t>
      </w:r>
      <w:r w:rsidR="00E9469F">
        <w:rPr>
          <w:rFonts w:ascii="Times New Roman" w:hAnsi="Times New Roman" w:cs="Times New Roman"/>
          <w:sz w:val="24"/>
          <w:szCs w:val="24"/>
        </w:rPr>
        <w:t>lai īstenotu minētos</w:t>
      </w:r>
      <w:r w:rsidR="0040147A">
        <w:rPr>
          <w:rFonts w:ascii="Times New Roman" w:hAnsi="Times New Roman" w:cs="Times New Roman"/>
          <w:sz w:val="24"/>
          <w:szCs w:val="24"/>
        </w:rPr>
        <w:t xml:space="preserve"> NEKP</w:t>
      </w:r>
      <w:r w:rsidR="00E9469F">
        <w:rPr>
          <w:rFonts w:ascii="Times New Roman" w:hAnsi="Times New Roman" w:cs="Times New Roman"/>
          <w:sz w:val="24"/>
          <w:szCs w:val="24"/>
        </w:rPr>
        <w:t xml:space="preserve"> pasākumus.</w:t>
      </w:r>
    </w:p>
    <w:p w14:paraId="5A021AF6" w14:textId="2757062E" w:rsidR="00335486" w:rsidRDefault="0007438B" w:rsidP="00EA593A">
      <w:pPr>
        <w:spacing w:after="0" w:line="240" w:lineRule="auto"/>
        <w:ind w:firstLine="720"/>
        <w:jc w:val="both"/>
        <w:rPr>
          <w:rFonts w:ascii="Times New Roman" w:hAnsi="Times New Roman" w:cs="Times New Roman"/>
          <w:color w:val="000000"/>
          <w:sz w:val="24"/>
          <w:szCs w:val="24"/>
        </w:rPr>
      </w:pPr>
      <w:r w:rsidRPr="790C4DEE">
        <w:rPr>
          <w:rFonts w:ascii="Times New Roman" w:hAnsi="Times New Roman" w:cs="Times New Roman"/>
          <w:color w:val="000000" w:themeColor="text1"/>
          <w:sz w:val="24"/>
          <w:szCs w:val="24"/>
        </w:rPr>
        <w:t>Jāatzīmē, ka visās ES dalībvalstīs izteikti lielāko daļu finansējuma NEKP pasākumu ieviešanai nodrošina tieši privātais finansējums, jo viens no būtiskajiem NEKP uzdevumiem ir veicināt ES ilgtspējīgas ekonomikas attīstību, attīstot jaunas biznesa nišas, nodrošinot attiecīgos uzņēmējdarbības vides nosacījumus.</w:t>
      </w:r>
      <w:r w:rsidR="00516681">
        <w:rPr>
          <w:rFonts w:ascii="Times New Roman" w:hAnsi="Times New Roman" w:cs="Times New Roman"/>
          <w:color w:val="000000" w:themeColor="text1"/>
          <w:sz w:val="24"/>
          <w:szCs w:val="24"/>
        </w:rPr>
        <w:t xml:space="preserve"> </w:t>
      </w:r>
      <w:r w:rsidR="001C4E2F">
        <w:rPr>
          <w:rFonts w:ascii="Times New Roman" w:hAnsi="Times New Roman" w:cs="Times New Roman"/>
          <w:sz w:val="24"/>
          <w:szCs w:val="24"/>
        </w:rPr>
        <w:t xml:space="preserve">Papildus privātajam finansējumam, kam ir būtiskākā loma ES ilgtspējīgas ekonomikas attīstībā, </w:t>
      </w:r>
      <w:r w:rsidR="670155EF">
        <w:rPr>
          <w:rFonts w:ascii="Times New Roman" w:hAnsi="Times New Roman" w:cs="Times New Roman"/>
          <w:sz w:val="24"/>
          <w:szCs w:val="24"/>
        </w:rPr>
        <w:t>NEKP</w:t>
      </w:r>
      <w:r w:rsidR="670155EF" w:rsidRPr="00460894">
        <w:rPr>
          <w:rFonts w:ascii="Times New Roman" w:hAnsi="Times New Roman" w:cs="Times New Roman"/>
          <w:sz w:val="24"/>
          <w:szCs w:val="24"/>
        </w:rPr>
        <w:t xml:space="preserve"> īstenošanai paredzēts izmantot </w:t>
      </w:r>
      <w:r w:rsidR="00EA06B2">
        <w:rPr>
          <w:rFonts w:ascii="Times New Roman" w:hAnsi="Times New Roman" w:cs="Times New Roman"/>
          <w:color w:val="000000"/>
          <w:sz w:val="24"/>
          <w:szCs w:val="24"/>
        </w:rPr>
        <w:t>arī</w:t>
      </w:r>
      <w:r w:rsidR="670155EF" w:rsidRPr="00460894">
        <w:rPr>
          <w:rFonts w:ascii="Times New Roman" w:hAnsi="Times New Roman" w:cs="Times New Roman"/>
          <w:color w:val="000000"/>
          <w:sz w:val="24"/>
          <w:szCs w:val="24"/>
        </w:rPr>
        <w:t xml:space="preserve"> valsts</w:t>
      </w:r>
      <w:r w:rsidR="670155EF">
        <w:rPr>
          <w:rFonts w:ascii="Times New Roman" w:hAnsi="Times New Roman" w:cs="Times New Roman"/>
          <w:color w:val="000000"/>
          <w:sz w:val="24"/>
          <w:szCs w:val="24"/>
        </w:rPr>
        <w:t xml:space="preserve"> un</w:t>
      </w:r>
      <w:r w:rsidR="670155EF" w:rsidRPr="00460894">
        <w:rPr>
          <w:rFonts w:ascii="Times New Roman" w:hAnsi="Times New Roman" w:cs="Times New Roman"/>
          <w:color w:val="000000"/>
          <w:sz w:val="24"/>
          <w:szCs w:val="24"/>
        </w:rPr>
        <w:t xml:space="preserve"> pašvaldību budžeta finansējumu, gan</w:t>
      </w:r>
      <w:r w:rsidR="00EA06B2">
        <w:rPr>
          <w:rFonts w:ascii="Times New Roman" w:hAnsi="Times New Roman" w:cs="Times New Roman"/>
          <w:color w:val="000000"/>
          <w:sz w:val="24"/>
          <w:szCs w:val="24"/>
        </w:rPr>
        <w:t xml:space="preserve"> arī</w:t>
      </w:r>
      <w:r w:rsidR="670155EF" w:rsidRPr="00460894">
        <w:rPr>
          <w:rFonts w:ascii="Times New Roman" w:hAnsi="Times New Roman" w:cs="Times New Roman"/>
          <w:color w:val="000000"/>
          <w:sz w:val="24"/>
          <w:szCs w:val="24"/>
        </w:rPr>
        <w:t xml:space="preserve"> piesaistīt ES finanšu vai citu finansējuma avotu līdzekļus, atkarībā no pasākuma rakstura. </w:t>
      </w:r>
      <w:r w:rsidR="670155EF">
        <w:rPr>
          <w:rFonts w:ascii="Times New Roman" w:hAnsi="Times New Roman" w:cs="Times New Roman"/>
          <w:color w:val="000000"/>
          <w:sz w:val="24"/>
          <w:szCs w:val="24"/>
        </w:rPr>
        <w:t>No nepieciešamajiem 13,</w:t>
      </w:r>
      <w:r w:rsidR="00C318A1">
        <w:rPr>
          <w:rFonts w:ascii="Times New Roman" w:hAnsi="Times New Roman" w:cs="Times New Roman"/>
          <w:color w:val="000000"/>
          <w:sz w:val="24"/>
          <w:szCs w:val="24"/>
        </w:rPr>
        <w:t>3</w:t>
      </w:r>
      <w:r w:rsidR="670155EF">
        <w:rPr>
          <w:rFonts w:ascii="Times New Roman" w:hAnsi="Times New Roman" w:cs="Times New Roman"/>
          <w:color w:val="000000"/>
          <w:sz w:val="24"/>
          <w:szCs w:val="24"/>
        </w:rPr>
        <w:t xml:space="preserve"> mljrd. </w:t>
      </w:r>
      <w:r w:rsidR="6212D0E6" w:rsidRPr="00940337">
        <w:rPr>
          <w:rFonts w:ascii="Times New Roman" w:hAnsi="Times New Roman" w:cs="Times New Roman"/>
          <w:i/>
          <w:iCs/>
          <w:color w:val="000000"/>
          <w:sz w:val="24"/>
          <w:szCs w:val="24"/>
        </w:rPr>
        <w:t>euro</w:t>
      </w:r>
      <w:r w:rsidR="670155EF">
        <w:rPr>
          <w:rFonts w:ascii="Times New Roman" w:hAnsi="Times New Roman" w:cs="Times New Roman"/>
          <w:color w:val="000000"/>
          <w:sz w:val="24"/>
          <w:szCs w:val="24"/>
        </w:rPr>
        <w:t xml:space="preserve"> līdz 2030. gadam šobrīd ir iezīmēti </w:t>
      </w:r>
      <w:r w:rsidR="00516681">
        <w:rPr>
          <w:rFonts w:ascii="Times New Roman" w:hAnsi="Times New Roman" w:cs="Times New Roman"/>
          <w:color w:val="000000"/>
          <w:sz w:val="24"/>
          <w:szCs w:val="24"/>
        </w:rPr>
        <w:t>4,0</w:t>
      </w:r>
      <w:r w:rsidR="670155EF">
        <w:rPr>
          <w:rFonts w:ascii="Times New Roman" w:hAnsi="Times New Roman" w:cs="Times New Roman"/>
          <w:color w:val="000000"/>
          <w:sz w:val="24"/>
          <w:szCs w:val="24"/>
        </w:rPr>
        <w:t xml:space="preserve"> mljrd. </w:t>
      </w:r>
      <w:r w:rsidR="085586D9" w:rsidRPr="00940337">
        <w:rPr>
          <w:rFonts w:ascii="Times New Roman" w:hAnsi="Times New Roman" w:cs="Times New Roman"/>
          <w:i/>
          <w:iCs/>
          <w:color w:val="000000"/>
          <w:sz w:val="24"/>
          <w:szCs w:val="24"/>
        </w:rPr>
        <w:t>euro</w:t>
      </w:r>
      <w:r w:rsidR="670155EF">
        <w:rPr>
          <w:rFonts w:ascii="Times New Roman" w:hAnsi="Times New Roman" w:cs="Times New Roman"/>
          <w:color w:val="000000"/>
          <w:sz w:val="24"/>
          <w:szCs w:val="24"/>
        </w:rPr>
        <w:t xml:space="preserve"> jeb </w:t>
      </w:r>
      <w:r w:rsidR="00C318A1">
        <w:rPr>
          <w:rFonts w:ascii="Times New Roman" w:hAnsi="Times New Roman" w:cs="Times New Roman"/>
          <w:color w:val="000000"/>
          <w:sz w:val="24"/>
          <w:szCs w:val="24"/>
        </w:rPr>
        <w:t>30,1</w:t>
      </w:r>
      <w:r w:rsidR="670155EF">
        <w:rPr>
          <w:rFonts w:ascii="Times New Roman" w:hAnsi="Times New Roman" w:cs="Times New Roman"/>
          <w:color w:val="000000"/>
          <w:sz w:val="24"/>
          <w:szCs w:val="24"/>
        </w:rPr>
        <w:t>%</w:t>
      </w:r>
      <w:r w:rsidR="00335486">
        <w:rPr>
          <w:rStyle w:val="FootnoteReference"/>
          <w:rFonts w:ascii="Times New Roman" w:hAnsi="Times New Roman" w:cs="Times New Roman"/>
          <w:color w:val="000000"/>
          <w:sz w:val="24"/>
          <w:szCs w:val="24"/>
        </w:rPr>
        <w:footnoteReference w:id="98"/>
      </w:r>
      <w:r w:rsidR="670155EF">
        <w:rPr>
          <w:rFonts w:ascii="Times New Roman" w:hAnsi="Times New Roman" w:cs="Times New Roman"/>
          <w:color w:val="000000"/>
          <w:sz w:val="24"/>
          <w:szCs w:val="24"/>
        </w:rPr>
        <w:t>. 5.</w:t>
      </w:r>
      <w:r w:rsidR="00C318A1">
        <w:rPr>
          <w:rFonts w:ascii="Times New Roman" w:hAnsi="Times New Roman" w:cs="Times New Roman"/>
          <w:color w:val="000000"/>
          <w:sz w:val="24"/>
          <w:szCs w:val="24"/>
        </w:rPr>
        <w:t>2.</w:t>
      </w:r>
      <w:r w:rsidR="670155EF">
        <w:rPr>
          <w:rFonts w:ascii="Times New Roman" w:hAnsi="Times New Roman" w:cs="Times New Roman"/>
          <w:color w:val="000000"/>
          <w:sz w:val="24"/>
          <w:szCs w:val="24"/>
        </w:rPr>
        <w:t xml:space="preserve">1. tabulā šie finansējuma apjomi ir sadalīti pa </w:t>
      </w:r>
      <w:r w:rsidR="670155EF" w:rsidRPr="00326D2E">
        <w:rPr>
          <w:rFonts w:ascii="Times New Roman" w:hAnsi="Times New Roman" w:cs="Times New Roman"/>
          <w:sz w:val="24"/>
          <w:szCs w:val="24"/>
        </w:rPr>
        <w:t>Eiropas enerģētikas savienības dimensij</w:t>
      </w:r>
      <w:r w:rsidR="670155EF">
        <w:rPr>
          <w:rFonts w:ascii="Times New Roman" w:hAnsi="Times New Roman" w:cs="Times New Roman"/>
          <w:sz w:val="24"/>
          <w:szCs w:val="24"/>
        </w:rPr>
        <w:t>ām (viens pasākums var ietilpt vairākās dimensijās, tādēļ kopējais nepieciešamais un iezīmētais finansējuma apjoms neatbilst 5.</w:t>
      </w:r>
      <w:r w:rsidR="00C318A1">
        <w:rPr>
          <w:rFonts w:ascii="Times New Roman" w:hAnsi="Times New Roman" w:cs="Times New Roman"/>
          <w:sz w:val="24"/>
          <w:szCs w:val="24"/>
        </w:rPr>
        <w:t>2.</w:t>
      </w:r>
      <w:r w:rsidR="670155EF">
        <w:rPr>
          <w:rFonts w:ascii="Times New Roman" w:hAnsi="Times New Roman" w:cs="Times New Roman"/>
          <w:sz w:val="24"/>
          <w:szCs w:val="24"/>
        </w:rPr>
        <w:t>1. attēlā redzamajam). Šīs tabulas dati uzrāda, ka dekarbonizācijas dimensijai ir vislielākais nepieciešamais finansējum</w:t>
      </w:r>
      <w:r w:rsidR="007B483F">
        <w:rPr>
          <w:rFonts w:ascii="Times New Roman" w:hAnsi="Times New Roman" w:cs="Times New Roman"/>
          <w:sz w:val="24"/>
          <w:szCs w:val="24"/>
        </w:rPr>
        <w:t>a apjom</w:t>
      </w:r>
      <w:r w:rsidR="670155EF">
        <w:rPr>
          <w:rFonts w:ascii="Times New Roman" w:hAnsi="Times New Roman" w:cs="Times New Roman"/>
          <w:sz w:val="24"/>
          <w:szCs w:val="24"/>
        </w:rPr>
        <w:t>s, kur kumulatīvais investīciju apjoms, kas nepieciešams līdz 2030. gadam, sasniedz 7,</w:t>
      </w:r>
      <w:r w:rsidR="007B483F">
        <w:rPr>
          <w:rFonts w:ascii="Times New Roman" w:hAnsi="Times New Roman" w:cs="Times New Roman"/>
          <w:sz w:val="24"/>
          <w:szCs w:val="24"/>
        </w:rPr>
        <w:t>6</w:t>
      </w:r>
      <w:r w:rsidR="670155EF">
        <w:rPr>
          <w:rFonts w:ascii="Times New Roman" w:hAnsi="Times New Roman" w:cs="Times New Roman"/>
          <w:sz w:val="24"/>
          <w:szCs w:val="24"/>
        </w:rPr>
        <w:t xml:space="preserve"> mljrd. </w:t>
      </w:r>
      <w:r w:rsidR="002D42D0" w:rsidRPr="00940337">
        <w:rPr>
          <w:rFonts w:ascii="Times New Roman" w:hAnsi="Times New Roman" w:cs="Times New Roman"/>
          <w:i/>
          <w:iCs/>
          <w:sz w:val="24"/>
          <w:szCs w:val="24"/>
        </w:rPr>
        <w:t>euro</w:t>
      </w:r>
      <w:r w:rsidR="670155EF">
        <w:rPr>
          <w:rFonts w:ascii="Times New Roman" w:hAnsi="Times New Roman" w:cs="Times New Roman"/>
          <w:sz w:val="24"/>
          <w:szCs w:val="24"/>
        </w:rPr>
        <w:t>, savukārt iezīmētais finansējums šobrīd ir 1,</w:t>
      </w:r>
      <w:r w:rsidR="007B483F">
        <w:rPr>
          <w:rFonts w:ascii="Times New Roman" w:hAnsi="Times New Roman" w:cs="Times New Roman"/>
          <w:sz w:val="24"/>
          <w:szCs w:val="24"/>
        </w:rPr>
        <w:t>8</w:t>
      </w:r>
      <w:r w:rsidR="670155EF">
        <w:rPr>
          <w:rFonts w:ascii="Times New Roman" w:hAnsi="Times New Roman" w:cs="Times New Roman"/>
          <w:sz w:val="24"/>
          <w:szCs w:val="24"/>
        </w:rPr>
        <w:t xml:space="preserve"> mljrd. </w:t>
      </w:r>
      <w:r w:rsidR="340CE8D0" w:rsidRPr="00940337">
        <w:rPr>
          <w:rFonts w:ascii="Times New Roman" w:hAnsi="Times New Roman" w:cs="Times New Roman"/>
          <w:i/>
          <w:iCs/>
          <w:sz w:val="24"/>
          <w:szCs w:val="24"/>
        </w:rPr>
        <w:t>euro</w:t>
      </w:r>
      <w:r w:rsidR="670155EF">
        <w:rPr>
          <w:rFonts w:ascii="Times New Roman" w:hAnsi="Times New Roman" w:cs="Times New Roman"/>
          <w:sz w:val="24"/>
          <w:szCs w:val="24"/>
        </w:rPr>
        <w:t xml:space="preserve"> jeb 2</w:t>
      </w:r>
      <w:r w:rsidR="007B483F">
        <w:rPr>
          <w:rFonts w:ascii="Times New Roman" w:hAnsi="Times New Roman" w:cs="Times New Roman"/>
          <w:sz w:val="24"/>
          <w:szCs w:val="24"/>
        </w:rPr>
        <w:t>4</w:t>
      </w:r>
      <w:r w:rsidR="670155EF">
        <w:rPr>
          <w:rFonts w:ascii="Times New Roman" w:hAnsi="Times New Roman" w:cs="Times New Roman"/>
          <w:sz w:val="24"/>
          <w:szCs w:val="24"/>
        </w:rPr>
        <w:t>,</w:t>
      </w:r>
      <w:r w:rsidR="007B483F">
        <w:rPr>
          <w:rFonts w:ascii="Times New Roman" w:hAnsi="Times New Roman" w:cs="Times New Roman"/>
          <w:sz w:val="24"/>
          <w:szCs w:val="24"/>
        </w:rPr>
        <w:t>1</w:t>
      </w:r>
      <w:r w:rsidR="670155EF">
        <w:rPr>
          <w:rFonts w:ascii="Times New Roman" w:hAnsi="Times New Roman" w:cs="Times New Roman"/>
          <w:sz w:val="24"/>
          <w:szCs w:val="24"/>
        </w:rPr>
        <w:t xml:space="preserve">%. Vismazākais iezīmētā finansējuma īpatsvars ir energoefektivitātes dimensijai. Ja kopējais nepieciešamais kumulatīvais investīciju apjoms līdz 2030. gadam ir 3,8 mljrd. </w:t>
      </w:r>
      <w:r w:rsidR="653E5731" w:rsidRPr="00940337">
        <w:rPr>
          <w:rFonts w:ascii="Times New Roman" w:hAnsi="Times New Roman" w:cs="Times New Roman"/>
          <w:i/>
          <w:iCs/>
          <w:sz w:val="24"/>
          <w:szCs w:val="24"/>
        </w:rPr>
        <w:t>euro</w:t>
      </w:r>
      <w:r w:rsidR="670155EF">
        <w:rPr>
          <w:rFonts w:ascii="Times New Roman" w:hAnsi="Times New Roman" w:cs="Times New Roman"/>
          <w:sz w:val="24"/>
          <w:szCs w:val="24"/>
        </w:rPr>
        <w:t xml:space="preserve">, tad iezīmētais finansējums ir vien 0,5 mljrd. </w:t>
      </w:r>
      <w:r w:rsidR="7CFBDA65" w:rsidRPr="00940337">
        <w:rPr>
          <w:rFonts w:ascii="Times New Roman" w:hAnsi="Times New Roman" w:cs="Times New Roman"/>
          <w:i/>
          <w:iCs/>
          <w:sz w:val="24"/>
          <w:szCs w:val="24"/>
        </w:rPr>
        <w:t>euro</w:t>
      </w:r>
      <w:r w:rsidR="670155EF">
        <w:rPr>
          <w:rFonts w:ascii="Times New Roman" w:hAnsi="Times New Roman" w:cs="Times New Roman"/>
          <w:sz w:val="24"/>
          <w:szCs w:val="24"/>
        </w:rPr>
        <w:t xml:space="preserve"> jeb 13,2 %.</w:t>
      </w:r>
    </w:p>
    <w:p w14:paraId="1DD1228B" w14:textId="77777777" w:rsidR="00335486" w:rsidRDefault="00335486" w:rsidP="00EA593A">
      <w:pPr>
        <w:spacing w:after="0" w:line="240" w:lineRule="auto"/>
        <w:ind w:firstLine="720"/>
        <w:jc w:val="both"/>
        <w:rPr>
          <w:rFonts w:ascii="Times New Roman" w:hAnsi="Times New Roman" w:cs="Times New Roman"/>
          <w:color w:val="000000"/>
          <w:sz w:val="24"/>
          <w:szCs w:val="24"/>
        </w:rPr>
      </w:pPr>
    </w:p>
    <w:p w14:paraId="7B26EA6F" w14:textId="71BB286A" w:rsidR="00335486" w:rsidRPr="000C1547" w:rsidRDefault="00335486" w:rsidP="00335486">
      <w:pPr>
        <w:jc w:val="right"/>
        <w:rPr>
          <w:rFonts w:ascii="Times New Roman" w:hAnsi="Times New Roman" w:cs="Times New Roman"/>
          <w:b/>
          <w:bCs/>
          <w:sz w:val="24"/>
          <w:szCs w:val="24"/>
        </w:rPr>
      </w:pPr>
      <w:r w:rsidRPr="008E5484">
        <w:rPr>
          <w:rFonts w:ascii="Times New Roman" w:eastAsiaTheme="minorHAnsi" w:hAnsi="Times New Roman" w:cs="Times New Roman"/>
          <w:b/>
          <w:color w:val="000000"/>
          <w:sz w:val="24"/>
          <w:szCs w:val="20"/>
        </w:rPr>
        <w:t>Tabula Nr.</w:t>
      </w:r>
      <w:r>
        <w:rPr>
          <w:rFonts w:ascii="Times New Roman" w:eastAsiaTheme="minorHAnsi" w:hAnsi="Times New Roman" w:cs="Times New Roman"/>
          <w:b/>
          <w:color w:val="000000"/>
          <w:sz w:val="24"/>
          <w:szCs w:val="20"/>
        </w:rPr>
        <w:t>5</w:t>
      </w:r>
      <w:r w:rsidRPr="008E5484">
        <w:rPr>
          <w:rFonts w:ascii="Times New Roman" w:eastAsiaTheme="minorHAnsi" w:hAnsi="Times New Roman" w:cs="Times New Roman"/>
          <w:b/>
          <w:color w:val="000000"/>
          <w:sz w:val="24"/>
          <w:szCs w:val="20"/>
        </w:rPr>
        <w:t>.</w:t>
      </w:r>
      <w:r w:rsidR="00C318A1">
        <w:rPr>
          <w:rFonts w:ascii="Times New Roman" w:eastAsiaTheme="minorHAnsi" w:hAnsi="Times New Roman" w:cs="Times New Roman"/>
          <w:b/>
          <w:color w:val="000000"/>
          <w:sz w:val="24"/>
          <w:szCs w:val="20"/>
        </w:rPr>
        <w:t>2.</w:t>
      </w:r>
      <w:r w:rsidRPr="008E5484">
        <w:rPr>
          <w:rFonts w:ascii="Times New Roman" w:eastAsiaTheme="minorHAnsi" w:hAnsi="Times New Roman" w:cs="Times New Roman"/>
          <w:b/>
          <w:color w:val="000000"/>
          <w:sz w:val="24"/>
          <w:szCs w:val="20"/>
        </w:rPr>
        <w:t>1.</w:t>
      </w:r>
      <w:r w:rsidRPr="008477C1">
        <w:rPr>
          <w:rFonts w:ascii="Times New Roman" w:hAnsi="Times New Roman" w:cs="Times New Roman"/>
          <w:sz w:val="24"/>
          <w:szCs w:val="24"/>
        </w:rPr>
        <w:t xml:space="preserve"> </w:t>
      </w:r>
      <w:r w:rsidRPr="000C1547">
        <w:rPr>
          <w:rFonts w:ascii="Times New Roman" w:hAnsi="Times New Roman" w:cs="Times New Roman"/>
          <w:b/>
          <w:bCs/>
          <w:sz w:val="24"/>
          <w:szCs w:val="24"/>
        </w:rPr>
        <w:t>Kopējais kumulatīvais investīciju apjoms, kas nepieciešams, lai īstenotu NEKP minētos pasākumus sadalījumā pa Eiropas enerģētikas savienības dimensijām</w:t>
      </w:r>
    </w:p>
    <w:tbl>
      <w:tblPr>
        <w:tblW w:w="9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1803"/>
        <w:gridCol w:w="1803"/>
        <w:gridCol w:w="1803"/>
        <w:gridCol w:w="1803"/>
      </w:tblGrid>
      <w:tr w:rsidR="006102BD" w:rsidRPr="005C1F4C" w14:paraId="39EA3A1B" w14:textId="77777777" w:rsidTr="00E252EB">
        <w:trPr>
          <w:trHeight w:val="320"/>
          <w:tblHeader/>
          <w:jc w:val="center"/>
        </w:trPr>
        <w:tc>
          <w:tcPr>
            <w:tcW w:w="1701" w:type="dxa"/>
            <w:shd w:val="clear" w:color="auto" w:fill="BDD6EE" w:themeFill="accent1" w:themeFillTint="66"/>
            <w:noWrap/>
            <w:vAlign w:val="center"/>
            <w:hideMark/>
          </w:tcPr>
          <w:p w14:paraId="5AB45F98" w14:textId="77777777" w:rsidR="006102BD" w:rsidRPr="004F5114" w:rsidRDefault="006102BD" w:rsidP="004F5114">
            <w:pPr>
              <w:spacing w:after="0" w:line="240" w:lineRule="auto"/>
              <w:jc w:val="center"/>
              <w:rPr>
                <w:rFonts w:ascii="Times New Roman" w:hAnsi="Times New Roman" w:cs="Times New Roman"/>
                <w:sz w:val="20"/>
                <w:szCs w:val="20"/>
              </w:rPr>
            </w:pPr>
          </w:p>
        </w:tc>
        <w:tc>
          <w:tcPr>
            <w:tcW w:w="1701" w:type="dxa"/>
            <w:shd w:val="clear" w:color="auto" w:fill="BDD6EE" w:themeFill="accent1" w:themeFillTint="66"/>
            <w:vAlign w:val="center"/>
          </w:tcPr>
          <w:p w14:paraId="54C42B66"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sz w:val="20"/>
                <w:szCs w:val="20"/>
              </w:rPr>
              <w:t>Kumulatīvais periods</w:t>
            </w:r>
          </w:p>
        </w:tc>
        <w:tc>
          <w:tcPr>
            <w:tcW w:w="1701" w:type="dxa"/>
            <w:shd w:val="clear" w:color="auto" w:fill="BDD6EE" w:themeFill="accent1" w:themeFillTint="66"/>
            <w:noWrap/>
            <w:vAlign w:val="center"/>
            <w:hideMark/>
          </w:tcPr>
          <w:p w14:paraId="04C1D873" w14:textId="4F8211FD" w:rsidR="006102BD" w:rsidRPr="004F5114" w:rsidRDefault="34096F28"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color w:val="000000" w:themeColor="text1"/>
                <w:sz w:val="20"/>
                <w:szCs w:val="20"/>
              </w:rPr>
              <w:t xml:space="preserve">Nepieciešamais finansējums (milj. </w:t>
            </w:r>
            <w:r w:rsidR="6A17DF76" w:rsidRPr="004F5114">
              <w:rPr>
                <w:rFonts w:ascii="Times New Roman" w:hAnsi="Times New Roman" w:cs="Times New Roman"/>
                <w:b/>
                <w:bCs/>
                <w:i/>
                <w:iCs/>
                <w:color w:val="000000" w:themeColor="text1"/>
                <w:sz w:val="20"/>
                <w:szCs w:val="20"/>
              </w:rPr>
              <w:t>euro</w:t>
            </w:r>
            <w:r w:rsidRPr="004F5114">
              <w:rPr>
                <w:rFonts w:ascii="Times New Roman" w:hAnsi="Times New Roman" w:cs="Times New Roman"/>
                <w:b/>
                <w:bCs/>
                <w:color w:val="000000" w:themeColor="text1"/>
                <w:sz w:val="20"/>
                <w:szCs w:val="20"/>
              </w:rPr>
              <w:t>)</w:t>
            </w:r>
          </w:p>
        </w:tc>
        <w:tc>
          <w:tcPr>
            <w:tcW w:w="1701" w:type="dxa"/>
            <w:shd w:val="clear" w:color="auto" w:fill="BDD6EE" w:themeFill="accent1" w:themeFillTint="66"/>
            <w:noWrap/>
            <w:vAlign w:val="center"/>
            <w:hideMark/>
          </w:tcPr>
          <w:p w14:paraId="1B9978F0" w14:textId="4BF8F937" w:rsidR="006102BD" w:rsidRPr="004F5114" w:rsidRDefault="34096F28"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color w:val="000000" w:themeColor="text1"/>
                <w:sz w:val="20"/>
                <w:szCs w:val="20"/>
              </w:rPr>
              <w:t xml:space="preserve">Iezīmētais finansējums (milj. </w:t>
            </w:r>
            <w:r w:rsidR="48DB4289" w:rsidRPr="004F5114">
              <w:rPr>
                <w:rFonts w:ascii="Times New Roman" w:hAnsi="Times New Roman" w:cs="Times New Roman"/>
                <w:b/>
                <w:bCs/>
                <w:i/>
                <w:iCs/>
                <w:color w:val="000000" w:themeColor="text1"/>
                <w:sz w:val="20"/>
                <w:szCs w:val="20"/>
              </w:rPr>
              <w:t>euro</w:t>
            </w:r>
            <w:r w:rsidRPr="004F5114">
              <w:rPr>
                <w:rFonts w:ascii="Times New Roman" w:hAnsi="Times New Roman" w:cs="Times New Roman"/>
                <w:b/>
                <w:bCs/>
                <w:color w:val="000000" w:themeColor="text1"/>
                <w:sz w:val="20"/>
                <w:szCs w:val="20"/>
              </w:rPr>
              <w:t>)</w:t>
            </w:r>
          </w:p>
        </w:tc>
        <w:tc>
          <w:tcPr>
            <w:tcW w:w="1701" w:type="dxa"/>
            <w:shd w:val="clear" w:color="auto" w:fill="BDD6EE" w:themeFill="accent1" w:themeFillTint="66"/>
            <w:noWrap/>
            <w:vAlign w:val="center"/>
            <w:hideMark/>
          </w:tcPr>
          <w:p w14:paraId="69C15BC3" w14:textId="297D98CF" w:rsidR="006102BD" w:rsidRPr="004F5114" w:rsidRDefault="34096F28"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color w:val="000000" w:themeColor="text1"/>
                <w:sz w:val="20"/>
                <w:szCs w:val="20"/>
              </w:rPr>
              <w:t xml:space="preserve">Starpība (milj. </w:t>
            </w:r>
            <w:r w:rsidR="3C00988A" w:rsidRPr="004F5114">
              <w:rPr>
                <w:rFonts w:ascii="Times New Roman" w:hAnsi="Times New Roman" w:cs="Times New Roman"/>
                <w:b/>
                <w:bCs/>
                <w:i/>
                <w:iCs/>
                <w:color w:val="000000" w:themeColor="text1"/>
                <w:sz w:val="20"/>
                <w:szCs w:val="20"/>
              </w:rPr>
              <w:t>euro</w:t>
            </w:r>
            <w:r w:rsidRPr="004F5114">
              <w:rPr>
                <w:rFonts w:ascii="Times New Roman" w:hAnsi="Times New Roman" w:cs="Times New Roman"/>
                <w:b/>
                <w:bCs/>
                <w:color w:val="000000" w:themeColor="text1"/>
                <w:sz w:val="20"/>
                <w:szCs w:val="20"/>
              </w:rPr>
              <w:t>)</w:t>
            </w:r>
          </w:p>
        </w:tc>
      </w:tr>
      <w:tr w:rsidR="006102BD" w:rsidRPr="005C1F4C" w14:paraId="72E34475" w14:textId="77777777" w:rsidTr="004F5114">
        <w:trPr>
          <w:trHeight w:val="318"/>
          <w:jc w:val="center"/>
        </w:trPr>
        <w:tc>
          <w:tcPr>
            <w:tcW w:w="1701" w:type="dxa"/>
            <w:vMerge w:val="restart"/>
            <w:vAlign w:val="center"/>
            <w:hideMark/>
          </w:tcPr>
          <w:p w14:paraId="69C3F7B8" w14:textId="585D22CA" w:rsidR="006102BD" w:rsidRPr="004F5114" w:rsidRDefault="006102BD"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color w:val="000000"/>
                <w:sz w:val="20"/>
                <w:szCs w:val="20"/>
              </w:rPr>
              <w:t>Dekarbonizācija</w:t>
            </w:r>
            <w:r w:rsidR="00C318A1">
              <w:rPr>
                <w:rStyle w:val="FootnoteReference"/>
                <w:rFonts w:ascii="Times New Roman" w:hAnsi="Times New Roman" w:cs="Times New Roman"/>
                <w:b/>
                <w:bCs/>
                <w:color w:val="000000"/>
                <w:sz w:val="20"/>
                <w:szCs w:val="20"/>
              </w:rPr>
              <w:footnoteReference w:id="99"/>
            </w:r>
          </w:p>
        </w:tc>
        <w:tc>
          <w:tcPr>
            <w:tcW w:w="1701" w:type="dxa"/>
            <w:vAlign w:val="center"/>
          </w:tcPr>
          <w:p w14:paraId="1E034CD9"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2027.g.</w:t>
            </w:r>
          </w:p>
        </w:tc>
        <w:tc>
          <w:tcPr>
            <w:tcW w:w="1701" w:type="dxa"/>
            <w:noWrap/>
            <w:vAlign w:val="center"/>
            <w:hideMark/>
          </w:tcPr>
          <w:p w14:paraId="7FA7F619"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867,35</w:t>
            </w:r>
          </w:p>
        </w:tc>
        <w:tc>
          <w:tcPr>
            <w:tcW w:w="1701" w:type="dxa"/>
            <w:noWrap/>
            <w:vAlign w:val="center"/>
            <w:hideMark/>
          </w:tcPr>
          <w:p w14:paraId="6999120B"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581,10</w:t>
            </w:r>
          </w:p>
        </w:tc>
        <w:tc>
          <w:tcPr>
            <w:tcW w:w="1701" w:type="dxa"/>
            <w:noWrap/>
            <w:vAlign w:val="center"/>
            <w:hideMark/>
          </w:tcPr>
          <w:p w14:paraId="30561EAB"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286,25</w:t>
            </w:r>
          </w:p>
        </w:tc>
      </w:tr>
      <w:tr w:rsidR="006102BD" w:rsidRPr="005C1F4C" w14:paraId="18AEA5F4" w14:textId="77777777" w:rsidTr="004F5114">
        <w:trPr>
          <w:trHeight w:val="320"/>
          <w:jc w:val="center"/>
        </w:trPr>
        <w:tc>
          <w:tcPr>
            <w:tcW w:w="1701" w:type="dxa"/>
            <w:vMerge/>
            <w:vAlign w:val="center"/>
            <w:hideMark/>
          </w:tcPr>
          <w:p w14:paraId="13C64181"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p>
        </w:tc>
        <w:tc>
          <w:tcPr>
            <w:tcW w:w="1701" w:type="dxa"/>
            <w:shd w:val="clear" w:color="auto" w:fill="DEEAF6" w:themeFill="accent1" w:themeFillTint="33"/>
            <w:vAlign w:val="center"/>
          </w:tcPr>
          <w:p w14:paraId="37CBB53A"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2030.g.</w:t>
            </w:r>
          </w:p>
        </w:tc>
        <w:tc>
          <w:tcPr>
            <w:tcW w:w="1701" w:type="dxa"/>
            <w:shd w:val="clear" w:color="auto" w:fill="DEEAF6" w:themeFill="accent1" w:themeFillTint="33"/>
            <w:noWrap/>
            <w:vAlign w:val="center"/>
            <w:hideMark/>
          </w:tcPr>
          <w:p w14:paraId="1CF430DD" w14:textId="6F1A2B92" w:rsidR="006102BD" w:rsidRPr="004F5114" w:rsidRDefault="007B483F"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7 617,65</w:t>
            </w:r>
          </w:p>
        </w:tc>
        <w:tc>
          <w:tcPr>
            <w:tcW w:w="1701" w:type="dxa"/>
            <w:shd w:val="clear" w:color="auto" w:fill="DEEAF6" w:themeFill="accent1" w:themeFillTint="33"/>
            <w:noWrap/>
            <w:vAlign w:val="center"/>
            <w:hideMark/>
          </w:tcPr>
          <w:p w14:paraId="5F034A00" w14:textId="6AEF88A5" w:rsidR="006102BD" w:rsidRPr="004F5114" w:rsidRDefault="007B483F"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1 839,66</w:t>
            </w:r>
          </w:p>
        </w:tc>
        <w:tc>
          <w:tcPr>
            <w:tcW w:w="1701" w:type="dxa"/>
            <w:shd w:val="clear" w:color="auto" w:fill="DEEAF6" w:themeFill="accent1" w:themeFillTint="33"/>
            <w:noWrap/>
            <w:vAlign w:val="center"/>
            <w:hideMark/>
          </w:tcPr>
          <w:p w14:paraId="1C3AD94A"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5 777,99</w:t>
            </w:r>
          </w:p>
        </w:tc>
      </w:tr>
      <w:tr w:rsidR="006102BD" w:rsidRPr="005C1F4C" w14:paraId="6395B606" w14:textId="77777777" w:rsidTr="004F5114">
        <w:trPr>
          <w:trHeight w:val="222"/>
          <w:jc w:val="center"/>
        </w:trPr>
        <w:tc>
          <w:tcPr>
            <w:tcW w:w="1701" w:type="dxa"/>
            <w:vMerge/>
            <w:vAlign w:val="center"/>
            <w:hideMark/>
          </w:tcPr>
          <w:p w14:paraId="7F2152B6"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p>
        </w:tc>
        <w:tc>
          <w:tcPr>
            <w:tcW w:w="1701" w:type="dxa"/>
            <w:vAlign w:val="center"/>
          </w:tcPr>
          <w:p w14:paraId="3C6EFE7D"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2040.g.</w:t>
            </w:r>
          </w:p>
        </w:tc>
        <w:tc>
          <w:tcPr>
            <w:tcW w:w="1701" w:type="dxa"/>
            <w:noWrap/>
            <w:vAlign w:val="center"/>
            <w:hideMark/>
          </w:tcPr>
          <w:p w14:paraId="0925CA52"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9 334,15</w:t>
            </w:r>
          </w:p>
        </w:tc>
        <w:tc>
          <w:tcPr>
            <w:tcW w:w="1701" w:type="dxa"/>
            <w:noWrap/>
            <w:vAlign w:val="center"/>
            <w:hideMark/>
          </w:tcPr>
          <w:p w14:paraId="09CF5527"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2 616,16</w:t>
            </w:r>
          </w:p>
        </w:tc>
        <w:tc>
          <w:tcPr>
            <w:tcW w:w="1701" w:type="dxa"/>
            <w:noWrap/>
            <w:vAlign w:val="center"/>
            <w:hideMark/>
          </w:tcPr>
          <w:p w14:paraId="720276D5"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6 717,99</w:t>
            </w:r>
          </w:p>
        </w:tc>
      </w:tr>
      <w:tr w:rsidR="006102BD" w:rsidRPr="005C1F4C" w14:paraId="68EF624B" w14:textId="77777777" w:rsidTr="004F5114">
        <w:trPr>
          <w:trHeight w:val="320"/>
          <w:jc w:val="center"/>
        </w:trPr>
        <w:tc>
          <w:tcPr>
            <w:tcW w:w="1701" w:type="dxa"/>
            <w:vMerge w:val="restart"/>
            <w:shd w:val="clear" w:color="auto" w:fill="DEEAF6" w:themeFill="accent1" w:themeFillTint="33"/>
            <w:vAlign w:val="center"/>
            <w:hideMark/>
          </w:tcPr>
          <w:p w14:paraId="0174ECB5"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color w:val="000000"/>
                <w:sz w:val="20"/>
                <w:szCs w:val="20"/>
              </w:rPr>
              <w:t>Energoefektivitāte</w:t>
            </w:r>
          </w:p>
        </w:tc>
        <w:tc>
          <w:tcPr>
            <w:tcW w:w="1701" w:type="dxa"/>
            <w:shd w:val="clear" w:color="auto" w:fill="DEEAF6" w:themeFill="accent1" w:themeFillTint="33"/>
            <w:vAlign w:val="center"/>
          </w:tcPr>
          <w:p w14:paraId="7DA99E23"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2027.g.</w:t>
            </w:r>
          </w:p>
        </w:tc>
        <w:tc>
          <w:tcPr>
            <w:tcW w:w="1701" w:type="dxa"/>
            <w:shd w:val="clear" w:color="auto" w:fill="DEEAF6" w:themeFill="accent1" w:themeFillTint="33"/>
            <w:noWrap/>
            <w:vAlign w:val="center"/>
            <w:hideMark/>
          </w:tcPr>
          <w:p w14:paraId="6F24A25E"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2,97</w:t>
            </w:r>
          </w:p>
        </w:tc>
        <w:tc>
          <w:tcPr>
            <w:tcW w:w="1701" w:type="dxa"/>
            <w:shd w:val="clear" w:color="auto" w:fill="DEEAF6" w:themeFill="accent1" w:themeFillTint="33"/>
            <w:noWrap/>
            <w:vAlign w:val="center"/>
            <w:hideMark/>
          </w:tcPr>
          <w:p w14:paraId="6B75ED0D"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1,27</w:t>
            </w:r>
          </w:p>
        </w:tc>
        <w:tc>
          <w:tcPr>
            <w:tcW w:w="1701" w:type="dxa"/>
            <w:shd w:val="clear" w:color="auto" w:fill="DEEAF6" w:themeFill="accent1" w:themeFillTint="33"/>
            <w:noWrap/>
            <w:vAlign w:val="center"/>
            <w:hideMark/>
          </w:tcPr>
          <w:p w14:paraId="26140422"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1,70</w:t>
            </w:r>
          </w:p>
        </w:tc>
      </w:tr>
      <w:tr w:rsidR="006102BD" w:rsidRPr="005C1F4C" w14:paraId="1179CB01" w14:textId="77777777" w:rsidTr="004F5114">
        <w:trPr>
          <w:trHeight w:val="320"/>
          <w:jc w:val="center"/>
        </w:trPr>
        <w:tc>
          <w:tcPr>
            <w:tcW w:w="1701" w:type="dxa"/>
            <w:vMerge/>
            <w:vAlign w:val="center"/>
            <w:hideMark/>
          </w:tcPr>
          <w:p w14:paraId="429ABE33"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p>
        </w:tc>
        <w:tc>
          <w:tcPr>
            <w:tcW w:w="1701" w:type="dxa"/>
            <w:vAlign w:val="center"/>
          </w:tcPr>
          <w:p w14:paraId="457F7408"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2030.g.</w:t>
            </w:r>
          </w:p>
        </w:tc>
        <w:tc>
          <w:tcPr>
            <w:tcW w:w="1701" w:type="dxa"/>
            <w:noWrap/>
            <w:vAlign w:val="center"/>
            <w:hideMark/>
          </w:tcPr>
          <w:p w14:paraId="45933803"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3 781,45</w:t>
            </w:r>
          </w:p>
        </w:tc>
        <w:tc>
          <w:tcPr>
            <w:tcW w:w="1701" w:type="dxa"/>
            <w:noWrap/>
            <w:vAlign w:val="center"/>
            <w:hideMark/>
          </w:tcPr>
          <w:p w14:paraId="3BD8B484"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497,78</w:t>
            </w:r>
          </w:p>
        </w:tc>
        <w:tc>
          <w:tcPr>
            <w:tcW w:w="1701" w:type="dxa"/>
            <w:noWrap/>
            <w:vAlign w:val="center"/>
            <w:hideMark/>
          </w:tcPr>
          <w:p w14:paraId="0391F53D"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3 283,67</w:t>
            </w:r>
          </w:p>
        </w:tc>
      </w:tr>
      <w:tr w:rsidR="006102BD" w:rsidRPr="005C1F4C" w14:paraId="2D38D7D6" w14:textId="77777777" w:rsidTr="004F5114">
        <w:trPr>
          <w:trHeight w:val="320"/>
          <w:jc w:val="center"/>
        </w:trPr>
        <w:tc>
          <w:tcPr>
            <w:tcW w:w="1701" w:type="dxa"/>
            <w:vMerge/>
            <w:vAlign w:val="center"/>
            <w:hideMark/>
          </w:tcPr>
          <w:p w14:paraId="086D8E6D"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p>
        </w:tc>
        <w:tc>
          <w:tcPr>
            <w:tcW w:w="1701" w:type="dxa"/>
            <w:shd w:val="clear" w:color="auto" w:fill="DEEAF6" w:themeFill="accent1" w:themeFillTint="33"/>
            <w:vAlign w:val="center"/>
          </w:tcPr>
          <w:p w14:paraId="6DFDB3C0"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2040.g.</w:t>
            </w:r>
          </w:p>
        </w:tc>
        <w:tc>
          <w:tcPr>
            <w:tcW w:w="1701" w:type="dxa"/>
            <w:shd w:val="clear" w:color="auto" w:fill="DEEAF6" w:themeFill="accent1" w:themeFillTint="33"/>
            <w:noWrap/>
            <w:vAlign w:val="center"/>
            <w:hideMark/>
          </w:tcPr>
          <w:p w14:paraId="38E5C9E2"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3 831,45</w:t>
            </w:r>
          </w:p>
        </w:tc>
        <w:tc>
          <w:tcPr>
            <w:tcW w:w="1701" w:type="dxa"/>
            <w:shd w:val="clear" w:color="auto" w:fill="DEEAF6" w:themeFill="accent1" w:themeFillTint="33"/>
            <w:noWrap/>
            <w:vAlign w:val="center"/>
            <w:hideMark/>
          </w:tcPr>
          <w:p w14:paraId="627EA3C3"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497,78</w:t>
            </w:r>
          </w:p>
        </w:tc>
        <w:tc>
          <w:tcPr>
            <w:tcW w:w="1701" w:type="dxa"/>
            <w:shd w:val="clear" w:color="auto" w:fill="DEEAF6" w:themeFill="accent1" w:themeFillTint="33"/>
            <w:noWrap/>
            <w:vAlign w:val="center"/>
            <w:hideMark/>
          </w:tcPr>
          <w:p w14:paraId="2F5D66AD"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3 333,67</w:t>
            </w:r>
          </w:p>
        </w:tc>
      </w:tr>
      <w:tr w:rsidR="006102BD" w:rsidRPr="005C1F4C" w14:paraId="3752A433" w14:textId="77777777" w:rsidTr="004F5114">
        <w:trPr>
          <w:trHeight w:val="320"/>
          <w:jc w:val="center"/>
        </w:trPr>
        <w:tc>
          <w:tcPr>
            <w:tcW w:w="1701" w:type="dxa"/>
            <w:vMerge w:val="restart"/>
            <w:vAlign w:val="center"/>
            <w:hideMark/>
          </w:tcPr>
          <w:p w14:paraId="78BCF02D"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color w:val="000000"/>
                <w:sz w:val="20"/>
                <w:szCs w:val="20"/>
              </w:rPr>
              <w:t>Enerģētiskā drošība un energoneatkarība</w:t>
            </w:r>
          </w:p>
        </w:tc>
        <w:tc>
          <w:tcPr>
            <w:tcW w:w="1701" w:type="dxa"/>
            <w:vAlign w:val="center"/>
          </w:tcPr>
          <w:p w14:paraId="0356DA79"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2027.g.</w:t>
            </w:r>
          </w:p>
        </w:tc>
        <w:tc>
          <w:tcPr>
            <w:tcW w:w="1701" w:type="dxa"/>
            <w:noWrap/>
            <w:vAlign w:val="center"/>
            <w:hideMark/>
          </w:tcPr>
          <w:p w14:paraId="36080BA1"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148,30</w:t>
            </w:r>
          </w:p>
        </w:tc>
        <w:tc>
          <w:tcPr>
            <w:tcW w:w="1701" w:type="dxa"/>
            <w:noWrap/>
            <w:vAlign w:val="center"/>
            <w:hideMark/>
          </w:tcPr>
          <w:p w14:paraId="6DB2F7C0"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148,30</w:t>
            </w:r>
          </w:p>
        </w:tc>
        <w:tc>
          <w:tcPr>
            <w:tcW w:w="1701" w:type="dxa"/>
            <w:noWrap/>
            <w:vAlign w:val="center"/>
            <w:hideMark/>
          </w:tcPr>
          <w:p w14:paraId="05D77FE8"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0,00</w:t>
            </w:r>
          </w:p>
        </w:tc>
      </w:tr>
      <w:tr w:rsidR="006102BD" w:rsidRPr="005C1F4C" w14:paraId="46EEA8DB" w14:textId="77777777" w:rsidTr="004F5114">
        <w:trPr>
          <w:trHeight w:val="320"/>
          <w:jc w:val="center"/>
        </w:trPr>
        <w:tc>
          <w:tcPr>
            <w:tcW w:w="1701" w:type="dxa"/>
            <w:vMerge/>
            <w:vAlign w:val="center"/>
            <w:hideMark/>
          </w:tcPr>
          <w:p w14:paraId="787205DA"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p>
        </w:tc>
        <w:tc>
          <w:tcPr>
            <w:tcW w:w="1701" w:type="dxa"/>
            <w:shd w:val="clear" w:color="auto" w:fill="DEEAF6" w:themeFill="accent1" w:themeFillTint="33"/>
            <w:vAlign w:val="center"/>
          </w:tcPr>
          <w:p w14:paraId="4957676B"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2030.g.</w:t>
            </w:r>
          </w:p>
        </w:tc>
        <w:tc>
          <w:tcPr>
            <w:tcW w:w="1701" w:type="dxa"/>
            <w:shd w:val="clear" w:color="auto" w:fill="DEEAF6" w:themeFill="accent1" w:themeFillTint="33"/>
            <w:noWrap/>
            <w:vAlign w:val="center"/>
            <w:hideMark/>
          </w:tcPr>
          <w:p w14:paraId="39274B03"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855,40</w:t>
            </w:r>
          </w:p>
        </w:tc>
        <w:tc>
          <w:tcPr>
            <w:tcW w:w="1701" w:type="dxa"/>
            <w:shd w:val="clear" w:color="auto" w:fill="DEEAF6" w:themeFill="accent1" w:themeFillTint="33"/>
            <w:noWrap/>
            <w:vAlign w:val="center"/>
            <w:hideMark/>
          </w:tcPr>
          <w:p w14:paraId="33759572"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795,40</w:t>
            </w:r>
          </w:p>
        </w:tc>
        <w:tc>
          <w:tcPr>
            <w:tcW w:w="1701" w:type="dxa"/>
            <w:shd w:val="clear" w:color="auto" w:fill="DEEAF6" w:themeFill="accent1" w:themeFillTint="33"/>
            <w:noWrap/>
            <w:vAlign w:val="center"/>
            <w:hideMark/>
          </w:tcPr>
          <w:p w14:paraId="40F30AB5"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60,00</w:t>
            </w:r>
          </w:p>
        </w:tc>
      </w:tr>
      <w:tr w:rsidR="006102BD" w:rsidRPr="005C1F4C" w14:paraId="7522FF51" w14:textId="77777777" w:rsidTr="004F5114">
        <w:trPr>
          <w:trHeight w:val="320"/>
          <w:jc w:val="center"/>
        </w:trPr>
        <w:tc>
          <w:tcPr>
            <w:tcW w:w="1701" w:type="dxa"/>
            <w:vMerge/>
            <w:vAlign w:val="center"/>
            <w:hideMark/>
          </w:tcPr>
          <w:p w14:paraId="4CD0B100"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p>
        </w:tc>
        <w:tc>
          <w:tcPr>
            <w:tcW w:w="1701" w:type="dxa"/>
            <w:vAlign w:val="center"/>
          </w:tcPr>
          <w:p w14:paraId="7D2325DD"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2040.g.</w:t>
            </w:r>
          </w:p>
        </w:tc>
        <w:tc>
          <w:tcPr>
            <w:tcW w:w="1701" w:type="dxa"/>
            <w:noWrap/>
            <w:vAlign w:val="center"/>
            <w:hideMark/>
          </w:tcPr>
          <w:p w14:paraId="48707975"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875,40</w:t>
            </w:r>
          </w:p>
        </w:tc>
        <w:tc>
          <w:tcPr>
            <w:tcW w:w="1701" w:type="dxa"/>
            <w:noWrap/>
            <w:vAlign w:val="center"/>
            <w:hideMark/>
          </w:tcPr>
          <w:p w14:paraId="1DF0662E"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795,40</w:t>
            </w:r>
          </w:p>
        </w:tc>
        <w:tc>
          <w:tcPr>
            <w:tcW w:w="1701" w:type="dxa"/>
            <w:noWrap/>
            <w:vAlign w:val="center"/>
            <w:hideMark/>
          </w:tcPr>
          <w:p w14:paraId="2A8CC309"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80,00</w:t>
            </w:r>
          </w:p>
        </w:tc>
      </w:tr>
      <w:tr w:rsidR="006102BD" w:rsidRPr="005C1F4C" w14:paraId="76975D79" w14:textId="77777777" w:rsidTr="004F5114">
        <w:trPr>
          <w:trHeight w:val="320"/>
          <w:jc w:val="center"/>
        </w:trPr>
        <w:tc>
          <w:tcPr>
            <w:tcW w:w="1701" w:type="dxa"/>
            <w:vMerge w:val="restart"/>
            <w:shd w:val="clear" w:color="auto" w:fill="DEEAF6" w:themeFill="accent1" w:themeFillTint="33"/>
            <w:vAlign w:val="center"/>
            <w:hideMark/>
          </w:tcPr>
          <w:p w14:paraId="5AA9B877" w14:textId="5A601E13" w:rsidR="006102BD" w:rsidRPr="004F5114" w:rsidRDefault="006102BD"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color w:val="000000"/>
                <w:sz w:val="20"/>
                <w:szCs w:val="20"/>
              </w:rPr>
              <w:t>Iekšējais enerģijas tirgus</w:t>
            </w:r>
            <w:r w:rsidR="00C318A1">
              <w:rPr>
                <w:rStyle w:val="FootnoteReference"/>
                <w:rFonts w:ascii="Times New Roman" w:hAnsi="Times New Roman" w:cs="Times New Roman"/>
                <w:b/>
                <w:bCs/>
                <w:color w:val="000000"/>
                <w:sz w:val="20"/>
                <w:szCs w:val="20"/>
              </w:rPr>
              <w:footnoteReference w:id="100"/>
            </w:r>
          </w:p>
        </w:tc>
        <w:tc>
          <w:tcPr>
            <w:tcW w:w="1701" w:type="dxa"/>
            <w:shd w:val="clear" w:color="auto" w:fill="DEEAF6" w:themeFill="accent1" w:themeFillTint="33"/>
            <w:vAlign w:val="center"/>
          </w:tcPr>
          <w:p w14:paraId="3C1698C1"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2027.g.</w:t>
            </w:r>
          </w:p>
        </w:tc>
        <w:tc>
          <w:tcPr>
            <w:tcW w:w="1701" w:type="dxa"/>
            <w:shd w:val="clear" w:color="auto" w:fill="DEEAF6" w:themeFill="accent1" w:themeFillTint="33"/>
            <w:noWrap/>
            <w:vAlign w:val="center"/>
            <w:hideMark/>
          </w:tcPr>
          <w:p w14:paraId="49EEF0B1"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304,78</w:t>
            </w:r>
          </w:p>
        </w:tc>
        <w:tc>
          <w:tcPr>
            <w:tcW w:w="1701" w:type="dxa"/>
            <w:shd w:val="clear" w:color="auto" w:fill="DEEAF6" w:themeFill="accent1" w:themeFillTint="33"/>
            <w:noWrap/>
            <w:vAlign w:val="center"/>
            <w:hideMark/>
          </w:tcPr>
          <w:p w14:paraId="6E948233"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151,78</w:t>
            </w:r>
          </w:p>
        </w:tc>
        <w:tc>
          <w:tcPr>
            <w:tcW w:w="1701" w:type="dxa"/>
            <w:shd w:val="clear" w:color="auto" w:fill="DEEAF6" w:themeFill="accent1" w:themeFillTint="33"/>
            <w:noWrap/>
            <w:vAlign w:val="center"/>
            <w:hideMark/>
          </w:tcPr>
          <w:p w14:paraId="5253DECE"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153,00</w:t>
            </w:r>
          </w:p>
        </w:tc>
      </w:tr>
      <w:tr w:rsidR="006102BD" w:rsidRPr="005C1F4C" w14:paraId="255E8369" w14:textId="77777777" w:rsidTr="004F5114">
        <w:trPr>
          <w:trHeight w:val="320"/>
          <w:jc w:val="center"/>
        </w:trPr>
        <w:tc>
          <w:tcPr>
            <w:tcW w:w="1701" w:type="dxa"/>
            <w:vMerge/>
            <w:vAlign w:val="center"/>
            <w:hideMark/>
          </w:tcPr>
          <w:p w14:paraId="27E9E697"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p>
        </w:tc>
        <w:tc>
          <w:tcPr>
            <w:tcW w:w="1701" w:type="dxa"/>
            <w:vAlign w:val="center"/>
          </w:tcPr>
          <w:p w14:paraId="533FFD9B"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2030.g.</w:t>
            </w:r>
          </w:p>
        </w:tc>
        <w:tc>
          <w:tcPr>
            <w:tcW w:w="1701" w:type="dxa"/>
            <w:noWrap/>
            <w:vAlign w:val="center"/>
            <w:hideMark/>
          </w:tcPr>
          <w:p w14:paraId="58F0F97A"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773,28</w:t>
            </w:r>
          </w:p>
        </w:tc>
        <w:tc>
          <w:tcPr>
            <w:tcW w:w="1701" w:type="dxa"/>
            <w:noWrap/>
            <w:vAlign w:val="center"/>
            <w:hideMark/>
          </w:tcPr>
          <w:p w14:paraId="2F9F92D1"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154,15</w:t>
            </w:r>
          </w:p>
        </w:tc>
        <w:tc>
          <w:tcPr>
            <w:tcW w:w="1701" w:type="dxa"/>
            <w:noWrap/>
            <w:vAlign w:val="center"/>
            <w:hideMark/>
          </w:tcPr>
          <w:p w14:paraId="17D01912"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619,13</w:t>
            </w:r>
          </w:p>
        </w:tc>
      </w:tr>
      <w:tr w:rsidR="006102BD" w:rsidRPr="005C1F4C" w14:paraId="08285CF0" w14:textId="77777777" w:rsidTr="004F5114">
        <w:trPr>
          <w:trHeight w:val="320"/>
          <w:jc w:val="center"/>
        </w:trPr>
        <w:tc>
          <w:tcPr>
            <w:tcW w:w="1701" w:type="dxa"/>
            <w:vMerge/>
            <w:vAlign w:val="center"/>
            <w:hideMark/>
          </w:tcPr>
          <w:p w14:paraId="35E40BA4"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p>
        </w:tc>
        <w:tc>
          <w:tcPr>
            <w:tcW w:w="1701" w:type="dxa"/>
            <w:shd w:val="clear" w:color="auto" w:fill="DEEAF6" w:themeFill="accent1" w:themeFillTint="33"/>
            <w:vAlign w:val="center"/>
          </w:tcPr>
          <w:p w14:paraId="089F6AC6"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2040.g.</w:t>
            </w:r>
          </w:p>
        </w:tc>
        <w:tc>
          <w:tcPr>
            <w:tcW w:w="1701" w:type="dxa"/>
            <w:shd w:val="clear" w:color="auto" w:fill="DEEAF6" w:themeFill="accent1" w:themeFillTint="33"/>
            <w:noWrap/>
            <w:vAlign w:val="center"/>
            <w:hideMark/>
          </w:tcPr>
          <w:p w14:paraId="66CFD963"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773,28</w:t>
            </w:r>
          </w:p>
        </w:tc>
        <w:tc>
          <w:tcPr>
            <w:tcW w:w="1701" w:type="dxa"/>
            <w:shd w:val="clear" w:color="auto" w:fill="DEEAF6" w:themeFill="accent1" w:themeFillTint="33"/>
            <w:noWrap/>
            <w:vAlign w:val="center"/>
            <w:hideMark/>
          </w:tcPr>
          <w:p w14:paraId="4ED3924A"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154,15</w:t>
            </w:r>
          </w:p>
        </w:tc>
        <w:tc>
          <w:tcPr>
            <w:tcW w:w="1701" w:type="dxa"/>
            <w:shd w:val="clear" w:color="auto" w:fill="DEEAF6" w:themeFill="accent1" w:themeFillTint="33"/>
            <w:noWrap/>
            <w:vAlign w:val="center"/>
            <w:hideMark/>
          </w:tcPr>
          <w:p w14:paraId="25A00D3B"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619,13</w:t>
            </w:r>
          </w:p>
        </w:tc>
      </w:tr>
      <w:tr w:rsidR="006102BD" w:rsidRPr="005C1F4C" w14:paraId="380EAD97" w14:textId="77777777" w:rsidTr="004F5114">
        <w:trPr>
          <w:trHeight w:val="320"/>
          <w:jc w:val="center"/>
        </w:trPr>
        <w:tc>
          <w:tcPr>
            <w:tcW w:w="1701" w:type="dxa"/>
            <w:vMerge w:val="restart"/>
            <w:vAlign w:val="center"/>
            <w:hideMark/>
          </w:tcPr>
          <w:p w14:paraId="0F822820" w14:textId="77777777" w:rsidR="006102BD" w:rsidRPr="004F5114" w:rsidRDefault="006102BD" w:rsidP="004F5114">
            <w:pPr>
              <w:spacing w:after="0" w:line="240" w:lineRule="auto"/>
              <w:jc w:val="center"/>
              <w:rPr>
                <w:rFonts w:ascii="Times New Roman" w:hAnsi="Times New Roman" w:cs="Times New Roman"/>
                <w:b/>
                <w:bCs/>
                <w:color w:val="000000"/>
                <w:sz w:val="20"/>
                <w:szCs w:val="20"/>
              </w:rPr>
            </w:pPr>
            <w:r w:rsidRPr="004F5114">
              <w:rPr>
                <w:rFonts w:ascii="Times New Roman" w:hAnsi="Times New Roman" w:cs="Times New Roman"/>
                <w:b/>
                <w:bCs/>
                <w:color w:val="000000"/>
                <w:sz w:val="20"/>
                <w:szCs w:val="20"/>
              </w:rPr>
              <w:t>Pētniecība, inovācija un konkurētspēja</w:t>
            </w:r>
          </w:p>
        </w:tc>
        <w:tc>
          <w:tcPr>
            <w:tcW w:w="1701" w:type="dxa"/>
            <w:vAlign w:val="center"/>
          </w:tcPr>
          <w:p w14:paraId="0F4A0B4D"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2027.g.</w:t>
            </w:r>
          </w:p>
        </w:tc>
        <w:tc>
          <w:tcPr>
            <w:tcW w:w="1701" w:type="dxa"/>
            <w:noWrap/>
            <w:vAlign w:val="center"/>
            <w:hideMark/>
          </w:tcPr>
          <w:p w14:paraId="26A03AE0"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739,03</w:t>
            </w:r>
          </w:p>
        </w:tc>
        <w:tc>
          <w:tcPr>
            <w:tcW w:w="1701" w:type="dxa"/>
            <w:noWrap/>
            <w:vAlign w:val="center"/>
            <w:hideMark/>
          </w:tcPr>
          <w:p w14:paraId="6BFF7C2A"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735,23</w:t>
            </w:r>
          </w:p>
        </w:tc>
        <w:tc>
          <w:tcPr>
            <w:tcW w:w="1701" w:type="dxa"/>
            <w:noWrap/>
            <w:vAlign w:val="center"/>
            <w:hideMark/>
          </w:tcPr>
          <w:p w14:paraId="434B3A77"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3,80</w:t>
            </w:r>
          </w:p>
        </w:tc>
      </w:tr>
      <w:tr w:rsidR="006102BD" w:rsidRPr="005C1F4C" w14:paraId="47695AFF" w14:textId="77777777" w:rsidTr="004F5114">
        <w:trPr>
          <w:trHeight w:val="320"/>
          <w:jc w:val="center"/>
        </w:trPr>
        <w:tc>
          <w:tcPr>
            <w:tcW w:w="1701" w:type="dxa"/>
            <w:vMerge/>
            <w:vAlign w:val="center"/>
            <w:hideMark/>
          </w:tcPr>
          <w:p w14:paraId="262642D6" w14:textId="77777777" w:rsidR="006102BD" w:rsidRPr="004F5114" w:rsidRDefault="006102BD" w:rsidP="004F5114">
            <w:pPr>
              <w:spacing w:after="0" w:line="240" w:lineRule="auto"/>
              <w:jc w:val="center"/>
              <w:rPr>
                <w:rFonts w:ascii="Times New Roman" w:hAnsi="Times New Roman" w:cs="Times New Roman"/>
                <w:color w:val="000000"/>
                <w:sz w:val="20"/>
                <w:szCs w:val="20"/>
              </w:rPr>
            </w:pPr>
          </w:p>
        </w:tc>
        <w:tc>
          <w:tcPr>
            <w:tcW w:w="1701" w:type="dxa"/>
            <w:shd w:val="clear" w:color="auto" w:fill="DEEAF6" w:themeFill="accent1" w:themeFillTint="33"/>
            <w:vAlign w:val="center"/>
          </w:tcPr>
          <w:p w14:paraId="24DEE270"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2030.g.</w:t>
            </w:r>
          </w:p>
        </w:tc>
        <w:tc>
          <w:tcPr>
            <w:tcW w:w="1701" w:type="dxa"/>
            <w:shd w:val="clear" w:color="auto" w:fill="DEEAF6" w:themeFill="accent1" w:themeFillTint="33"/>
            <w:noWrap/>
            <w:vAlign w:val="center"/>
            <w:hideMark/>
          </w:tcPr>
          <w:p w14:paraId="15A19C3C" w14:textId="0A22560E"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85</w:t>
            </w:r>
            <w:r w:rsidR="007B483F" w:rsidRPr="004F5114">
              <w:rPr>
                <w:rFonts w:ascii="Times New Roman" w:hAnsi="Times New Roman" w:cs="Times New Roman"/>
                <w:sz w:val="20"/>
                <w:szCs w:val="20"/>
              </w:rPr>
              <w:t>8</w:t>
            </w:r>
            <w:r w:rsidRPr="004F5114">
              <w:rPr>
                <w:rFonts w:ascii="Times New Roman" w:hAnsi="Times New Roman" w:cs="Times New Roman"/>
                <w:sz w:val="20"/>
                <w:szCs w:val="20"/>
              </w:rPr>
              <w:t>,78</w:t>
            </w:r>
          </w:p>
        </w:tc>
        <w:tc>
          <w:tcPr>
            <w:tcW w:w="1701" w:type="dxa"/>
            <w:shd w:val="clear" w:color="auto" w:fill="DEEAF6" w:themeFill="accent1" w:themeFillTint="33"/>
            <w:noWrap/>
            <w:vAlign w:val="center"/>
            <w:hideMark/>
          </w:tcPr>
          <w:p w14:paraId="73F37074"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853,98</w:t>
            </w:r>
          </w:p>
        </w:tc>
        <w:tc>
          <w:tcPr>
            <w:tcW w:w="1701" w:type="dxa"/>
            <w:shd w:val="clear" w:color="auto" w:fill="DEEAF6" w:themeFill="accent1" w:themeFillTint="33"/>
            <w:noWrap/>
            <w:vAlign w:val="center"/>
            <w:hideMark/>
          </w:tcPr>
          <w:p w14:paraId="5D2DF6FE" w14:textId="718ABD5A" w:rsidR="006102BD" w:rsidRPr="004F5114" w:rsidRDefault="00CB1CD3" w:rsidP="004F511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006102BD" w:rsidRPr="004F5114">
              <w:rPr>
                <w:rFonts w:ascii="Times New Roman" w:hAnsi="Times New Roman" w:cs="Times New Roman"/>
                <w:sz w:val="20"/>
                <w:szCs w:val="20"/>
              </w:rPr>
              <w:t>,80</w:t>
            </w:r>
          </w:p>
        </w:tc>
      </w:tr>
      <w:tr w:rsidR="006102BD" w:rsidRPr="005C1F4C" w14:paraId="6B30CA00" w14:textId="77777777" w:rsidTr="004F5114">
        <w:trPr>
          <w:trHeight w:val="320"/>
          <w:jc w:val="center"/>
        </w:trPr>
        <w:tc>
          <w:tcPr>
            <w:tcW w:w="1701" w:type="dxa"/>
            <w:vMerge/>
            <w:vAlign w:val="center"/>
            <w:hideMark/>
          </w:tcPr>
          <w:p w14:paraId="2FD4B19E" w14:textId="77777777" w:rsidR="006102BD" w:rsidRPr="004F5114" w:rsidRDefault="006102BD" w:rsidP="004F5114">
            <w:pPr>
              <w:spacing w:after="0" w:line="240" w:lineRule="auto"/>
              <w:jc w:val="center"/>
              <w:rPr>
                <w:rFonts w:ascii="Times New Roman" w:hAnsi="Times New Roman" w:cs="Times New Roman"/>
                <w:color w:val="000000"/>
                <w:sz w:val="20"/>
                <w:szCs w:val="20"/>
              </w:rPr>
            </w:pPr>
          </w:p>
        </w:tc>
        <w:tc>
          <w:tcPr>
            <w:tcW w:w="1701" w:type="dxa"/>
            <w:vAlign w:val="center"/>
          </w:tcPr>
          <w:p w14:paraId="0DAED118"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Līdz 2040.g.</w:t>
            </w:r>
          </w:p>
        </w:tc>
        <w:tc>
          <w:tcPr>
            <w:tcW w:w="1701" w:type="dxa"/>
            <w:noWrap/>
            <w:vAlign w:val="center"/>
            <w:hideMark/>
          </w:tcPr>
          <w:p w14:paraId="06983F44" w14:textId="14F1A642"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85</w:t>
            </w:r>
            <w:r w:rsidR="007B483F" w:rsidRPr="004F5114">
              <w:rPr>
                <w:rFonts w:ascii="Times New Roman" w:hAnsi="Times New Roman" w:cs="Times New Roman"/>
                <w:sz w:val="20"/>
                <w:szCs w:val="20"/>
              </w:rPr>
              <w:t>8</w:t>
            </w:r>
            <w:r w:rsidRPr="004F5114">
              <w:rPr>
                <w:rFonts w:ascii="Times New Roman" w:hAnsi="Times New Roman" w:cs="Times New Roman"/>
                <w:sz w:val="20"/>
                <w:szCs w:val="20"/>
              </w:rPr>
              <w:t>,78</w:t>
            </w:r>
          </w:p>
        </w:tc>
        <w:tc>
          <w:tcPr>
            <w:tcW w:w="1701" w:type="dxa"/>
            <w:noWrap/>
            <w:vAlign w:val="center"/>
            <w:hideMark/>
          </w:tcPr>
          <w:p w14:paraId="19BFDA5D" w14:textId="77777777" w:rsidR="006102BD" w:rsidRPr="004F5114" w:rsidRDefault="006102BD" w:rsidP="004F5114">
            <w:pPr>
              <w:spacing w:after="0" w:line="240" w:lineRule="auto"/>
              <w:jc w:val="center"/>
              <w:rPr>
                <w:rFonts w:ascii="Times New Roman" w:hAnsi="Times New Roman" w:cs="Times New Roman"/>
                <w:sz w:val="20"/>
                <w:szCs w:val="20"/>
              </w:rPr>
            </w:pPr>
            <w:r w:rsidRPr="004F5114">
              <w:rPr>
                <w:rFonts w:ascii="Times New Roman" w:hAnsi="Times New Roman" w:cs="Times New Roman"/>
                <w:sz w:val="20"/>
                <w:szCs w:val="20"/>
              </w:rPr>
              <w:t>853,98</w:t>
            </w:r>
          </w:p>
        </w:tc>
        <w:tc>
          <w:tcPr>
            <w:tcW w:w="1701" w:type="dxa"/>
            <w:noWrap/>
            <w:vAlign w:val="center"/>
            <w:hideMark/>
          </w:tcPr>
          <w:p w14:paraId="7028E046" w14:textId="11F317B7" w:rsidR="006102BD" w:rsidRPr="004F5114" w:rsidRDefault="00CB1CD3" w:rsidP="004F511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006102BD" w:rsidRPr="004F5114">
              <w:rPr>
                <w:rFonts w:ascii="Times New Roman" w:hAnsi="Times New Roman" w:cs="Times New Roman"/>
                <w:sz w:val="20"/>
                <w:szCs w:val="20"/>
              </w:rPr>
              <w:t>,80</w:t>
            </w:r>
          </w:p>
        </w:tc>
      </w:tr>
    </w:tbl>
    <w:p w14:paraId="49C2437B" w14:textId="77777777" w:rsidR="006102BD" w:rsidRDefault="006102BD" w:rsidP="006102BD">
      <w:pPr>
        <w:spacing w:after="0" w:line="240" w:lineRule="auto"/>
        <w:ind w:firstLine="720"/>
        <w:jc w:val="both"/>
        <w:rPr>
          <w:rFonts w:ascii="Times New Roman" w:hAnsi="Times New Roman" w:cs="Times New Roman"/>
          <w:color w:val="000000"/>
          <w:sz w:val="24"/>
          <w:szCs w:val="24"/>
        </w:rPr>
      </w:pPr>
    </w:p>
    <w:p w14:paraId="3CA3ABA9" w14:textId="4BE74F8E" w:rsidR="006102BD" w:rsidRDefault="34096F28" w:rsidP="469479B5">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5.</w:t>
      </w:r>
      <w:r w:rsidR="00C318A1">
        <w:rPr>
          <w:rFonts w:ascii="Times New Roman" w:hAnsi="Times New Roman" w:cs="Times New Roman"/>
          <w:color w:val="000000" w:themeColor="text1"/>
          <w:sz w:val="24"/>
          <w:szCs w:val="24"/>
        </w:rPr>
        <w:t>2.</w:t>
      </w:r>
      <w:r w:rsidRPr="469479B5">
        <w:rPr>
          <w:rFonts w:ascii="Times New Roman" w:hAnsi="Times New Roman" w:cs="Times New Roman"/>
          <w:color w:val="000000" w:themeColor="text1"/>
          <w:sz w:val="24"/>
          <w:szCs w:val="24"/>
        </w:rPr>
        <w:t>1. attēlā un 5.</w:t>
      </w:r>
      <w:r w:rsidR="00C318A1">
        <w:rPr>
          <w:rFonts w:ascii="Times New Roman" w:hAnsi="Times New Roman" w:cs="Times New Roman"/>
          <w:color w:val="000000" w:themeColor="text1"/>
          <w:sz w:val="24"/>
          <w:szCs w:val="24"/>
        </w:rPr>
        <w:t>2.</w:t>
      </w:r>
      <w:r w:rsidRPr="469479B5">
        <w:rPr>
          <w:rFonts w:ascii="Times New Roman" w:hAnsi="Times New Roman" w:cs="Times New Roman"/>
          <w:color w:val="000000" w:themeColor="text1"/>
          <w:sz w:val="24"/>
          <w:szCs w:val="24"/>
        </w:rPr>
        <w:t>1. tabulā redzamais finansējums ir sadalīts periodos atbilstoši pasākumu izpildes termiņa beigām. Tas nozīmē, ka pasākuma finansējuma apjoms, kura izpildes termiņš ir 202</w:t>
      </w:r>
      <w:r w:rsidR="0017334C">
        <w:rPr>
          <w:rFonts w:ascii="Times New Roman" w:hAnsi="Times New Roman" w:cs="Times New Roman"/>
          <w:color w:val="000000" w:themeColor="text1"/>
          <w:sz w:val="24"/>
          <w:szCs w:val="24"/>
        </w:rPr>
        <w:t>7</w:t>
      </w:r>
      <w:r w:rsidRPr="469479B5">
        <w:rPr>
          <w:rFonts w:ascii="Times New Roman" w:hAnsi="Times New Roman" w:cs="Times New Roman"/>
          <w:color w:val="000000" w:themeColor="text1"/>
          <w:sz w:val="24"/>
          <w:szCs w:val="24"/>
        </w:rPr>
        <w:t>.</w:t>
      </w:r>
      <w:r w:rsidR="33988275"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gads, ietilpst visos laika period</w:t>
      </w:r>
      <w:r w:rsidR="670155EF" w:rsidRPr="469479B5">
        <w:rPr>
          <w:rFonts w:ascii="Times New Roman" w:hAnsi="Times New Roman" w:cs="Times New Roman"/>
          <w:color w:val="000000" w:themeColor="text1"/>
          <w:sz w:val="24"/>
          <w:szCs w:val="24"/>
        </w:rPr>
        <w:t>o</w:t>
      </w:r>
      <w:r w:rsidRPr="469479B5">
        <w:rPr>
          <w:rFonts w:ascii="Times New Roman" w:hAnsi="Times New Roman" w:cs="Times New Roman"/>
          <w:color w:val="000000" w:themeColor="text1"/>
          <w:sz w:val="24"/>
          <w:szCs w:val="24"/>
        </w:rPr>
        <w:t>s, bet pasākumam nepieciešamais finansējums, kura izpildes termiņš ir 2030. gads ietilpst laika periodos līdz 2030. gadam un līdz 2040. gadam. Tomēr tas neizslēdz varbūtību, ka daļa no nepieciešamā finansējuma priekš šī pasākuma īstenošanas būs vajadzīga jau periodā līdz 2027. gadam. Kā iepriekš tika minēts,</w:t>
      </w:r>
      <w:r>
        <w:t xml:space="preserve"> </w:t>
      </w:r>
      <w:r w:rsidR="007B483F" w:rsidRPr="00E04AEF">
        <w:rPr>
          <w:rFonts w:ascii="Times New Roman" w:hAnsi="Times New Roman" w:cs="Times New Roman"/>
          <w:sz w:val="24"/>
          <w:szCs w:val="24"/>
        </w:rPr>
        <w:t>NEKP</w:t>
      </w:r>
      <w:r w:rsidR="007B483F" w:rsidRPr="00E04AEF">
        <w:rPr>
          <w:rFonts w:ascii="Times New Roman" w:hAnsi="Times New Roman" w:cs="Times New Roman"/>
          <w:color w:val="000000" w:themeColor="text1"/>
          <w:sz w:val="24"/>
          <w:szCs w:val="24"/>
        </w:rPr>
        <w:t xml:space="preserve"> vairākiem pasākumiem nav datu par nepieciešamo un iezīmēto finansējumu.</w:t>
      </w:r>
      <w:r w:rsidR="00934C8B">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 xml:space="preserve">Kopumā piecu </w:t>
      </w:r>
      <w:r w:rsidRPr="469479B5">
        <w:rPr>
          <w:rFonts w:ascii="Times New Roman" w:hAnsi="Times New Roman" w:cs="Times New Roman"/>
          <w:sz w:val="24"/>
          <w:szCs w:val="24"/>
        </w:rPr>
        <w:t>Eiropas enerģētikas savienības dimensiju ietvaros</w:t>
      </w:r>
      <w:r w:rsidRPr="469479B5">
        <w:rPr>
          <w:rFonts w:ascii="Times New Roman" w:hAnsi="Times New Roman" w:cs="Times New Roman"/>
          <w:color w:val="000000" w:themeColor="text1"/>
          <w:sz w:val="24"/>
          <w:szCs w:val="24"/>
        </w:rPr>
        <w:t xml:space="preserve"> nav datu par </w:t>
      </w:r>
      <w:r w:rsidR="00EA06B2" w:rsidRPr="00E04AEF">
        <w:rPr>
          <w:rFonts w:ascii="Times New Roman" w:hAnsi="Times New Roman" w:cs="Times New Roman"/>
          <w:color w:val="000000" w:themeColor="text1"/>
          <w:sz w:val="24"/>
          <w:szCs w:val="24"/>
        </w:rPr>
        <w:t xml:space="preserve">papildu publiskā finansējuma nepieciešamību un pieejamību </w:t>
      </w:r>
      <w:r w:rsidR="0033307C">
        <w:rPr>
          <w:rFonts w:ascii="Times New Roman" w:hAnsi="Times New Roman" w:cs="Times New Roman"/>
          <w:color w:val="000000" w:themeColor="text1"/>
          <w:sz w:val="24"/>
          <w:szCs w:val="24"/>
        </w:rPr>
        <w:t>23</w:t>
      </w:r>
      <w:r w:rsidR="00FD1CCE">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pasākumiem (</w:t>
      </w:r>
      <w:r w:rsidR="0033307C" w:rsidRPr="009E1160">
        <w:rPr>
          <w:rFonts w:ascii="Times New Roman" w:hAnsi="Times New Roman" w:cs="Times New Roman"/>
          <w:color w:val="000000" w:themeColor="text1"/>
          <w:sz w:val="24"/>
          <w:szCs w:val="24"/>
        </w:rPr>
        <w:t>pieci dekarbonizācijas, divi</w:t>
      </w:r>
      <w:r w:rsidR="0033307C" w:rsidRPr="00687FA5">
        <w:rPr>
          <w:rFonts w:ascii="Times New Roman" w:hAnsi="Times New Roman" w:cs="Times New Roman"/>
        </w:rPr>
        <w:t xml:space="preserve"> </w:t>
      </w:r>
      <w:r w:rsidR="0033307C" w:rsidRPr="009E1160">
        <w:rPr>
          <w:rFonts w:ascii="Times New Roman" w:hAnsi="Times New Roman" w:cs="Times New Roman"/>
          <w:sz w:val="24"/>
          <w:szCs w:val="24"/>
        </w:rPr>
        <w:t>e</w:t>
      </w:r>
      <w:r w:rsidR="0033307C" w:rsidRPr="009E1160">
        <w:rPr>
          <w:rFonts w:ascii="Times New Roman" w:hAnsi="Times New Roman" w:cs="Times New Roman"/>
          <w:color w:val="000000" w:themeColor="text1"/>
          <w:sz w:val="24"/>
          <w:szCs w:val="24"/>
        </w:rPr>
        <w:t>nergoefektivitātes, nulle enerģētiskās drošības un energoneatkarības, divpadsmit iekšējā enerģijas tirgus un četri pētniecības, inovācijas un konkurētspējas dimensijā</w:t>
      </w:r>
      <w:r w:rsidRPr="469479B5">
        <w:rPr>
          <w:rFonts w:ascii="Times New Roman" w:hAnsi="Times New Roman" w:cs="Times New Roman"/>
          <w:color w:val="000000" w:themeColor="text1"/>
          <w:sz w:val="24"/>
          <w:szCs w:val="24"/>
        </w:rPr>
        <w:t xml:space="preserve">), kā arī nav datu par nepieciešamo finansējumu priekš pielāgošanās klimata pārmaiņām. </w:t>
      </w:r>
      <w:r w:rsidR="007B483F" w:rsidRPr="00E04AEF">
        <w:rPr>
          <w:rFonts w:ascii="Times New Roman" w:hAnsi="Times New Roman" w:cs="Times New Roman"/>
          <w:color w:val="000000" w:themeColor="text1"/>
          <w:sz w:val="24"/>
          <w:szCs w:val="24"/>
        </w:rPr>
        <w:t>Tas nozīmē, ka pastāv iespēja kopējam papildus nepieciešamajam investīciju apjomam palielināties.</w:t>
      </w:r>
    </w:p>
    <w:p w14:paraId="56A334CA" w14:textId="0504271D" w:rsidR="0033307C" w:rsidRPr="009E1160" w:rsidRDefault="0033307C" w:rsidP="0033307C">
      <w:pPr>
        <w:spacing w:after="0" w:line="240" w:lineRule="auto"/>
        <w:ind w:firstLine="720"/>
        <w:jc w:val="both"/>
        <w:rPr>
          <w:rFonts w:ascii="Times New Roman" w:hAnsi="Times New Roman" w:cs="Times New Roman"/>
          <w:color w:val="000000"/>
          <w:sz w:val="24"/>
          <w:szCs w:val="24"/>
        </w:rPr>
      </w:pPr>
      <w:r w:rsidRPr="009E1160">
        <w:rPr>
          <w:rFonts w:ascii="Times New Roman" w:hAnsi="Times New Roman" w:cs="Times New Roman"/>
          <w:color w:val="000000"/>
          <w:sz w:val="24"/>
          <w:szCs w:val="24"/>
        </w:rPr>
        <w:t xml:space="preserve">Vienlaicīgi vēlamies uzsvērt, ka ir jābūt ļoti uzmanīgiem ar NEKP redzamās starpības interpretēšanu starp </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nepieciešamo papildus finansējumu</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 xml:space="preserve"> un </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iezīmēto finansējumu</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 xml:space="preserve"> apjomiem. Kā jau tekstā iepriekš tika minēts </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zaļajā</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 xml:space="preserve"> pārejā lielāko finansējuma īpatsvaru veidos tieši privātais finansējums, kura iezīmēšana ir ļoti apgrūtināta, ja vispār iespējama. Piemēram, privātais finansējums būs galvenais finansējuma avots, lai īstenotu tādus finansiāli ļoti apjomīgus NEKP pasākumus, kā 3.1.1.7 </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Palielināt bezemisiju vieglo pasažieru transportlīdzekļu skaitu</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 xml:space="preserve">, 3.1.6.11. </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Koksnes ķīmiskās pārstrādes/koksnes šķiedras rūpnīcas būvniecība</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 xml:space="preserve">, 3.1.6.14. </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Skaidu plātņu rūpnīcas izveidošana</w:t>
      </w:r>
      <w:r w:rsidR="00FD1CCE">
        <w:rPr>
          <w:rFonts w:ascii="Times New Roman" w:hAnsi="Times New Roman" w:cs="Times New Roman"/>
          <w:color w:val="000000"/>
          <w:sz w:val="24"/>
          <w:szCs w:val="24"/>
        </w:rPr>
        <w:t>”</w:t>
      </w:r>
      <w:r w:rsidRPr="009E1160">
        <w:rPr>
          <w:rFonts w:ascii="Times New Roman" w:hAnsi="Times New Roman" w:cs="Times New Roman"/>
          <w:color w:val="000000"/>
          <w:sz w:val="24"/>
          <w:szCs w:val="24"/>
        </w:rPr>
        <w:t xml:space="preserve"> utt. </w:t>
      </w:r>
    </w:p>
    <w:p w14:paraId="7B1055DA" w14:textId="5A67E112" w:rsidR="0033307C" w:rsidRDefault="0033307C" w:rsidP="0033307C">
      <w:pPr>
        <w:spacing w:after="0" w:line="240" w:lineRule="auto"/>
        <w:ind w:firstLine="720"/>
        <w:jc w:val="both"/>
        <w:rPr>
          <w:rFonts w:ascii="Times New Roman" w:hAnsi="Times New Roman" w:cs="Times New Roman"/>
          <w:color w:val="000000"/>
          <w:sz w:val="24"/>
          <w:szCs w:val="24"/>
        </w:rPr>
      </w:pPr>
      <w:r w:rsidRPr="009E1160">
        <w:rPr>
          <w:rFonts w:ascii="Times New Roman" w:hAnsi="Times New Roman" w:cs="Times New Roman"/>
          <w:color w:val="000000"/>
          <w:sz w:val="24"/>
          <w:szCs w:val="24"/>
        </w:rPr>
        <w:t>Savukārt, būtisku daļu no potenciāli pieejamā publiskā finansējuma objektīvu iemeslu dēļ NEKP izstrādes ietvaros bija ļoti grūti iezīmēt. Piemēram, Emisijas kvotu izsolīšanas instrumenta (turpmāk – EKII) un Modernizācijas fonda (turpmāk – MF) pieejamais finansējums būs ļoti cieši saistīts ar CO2 emisijas kvotu cenām, kuras ir svārstīgas un grūti prognozējamas, jo ETS sistēma darbojas brīvā tirgus režīmā. NEKP ir minēts, ka EKII ietvaros 2021.</w:t>
      </w:r>
      <w:r w:rsidR="009C2E1C">
        <w:rPr>
          <w:rFonts w:ascii="Times New Roman" w:hAnsi="Times New Roman" w:cs="Times New Roman"/>
          <w:color w:val="000000"/>
          <w:sz w:val="24"/>
          <w:szCs w:val="24"/>
        </w:rPr>
        <w:t xml:space="preserve"> – 2030</w:t>
      </w:r>
      <w:r w:rsidRPr="009E1160">
        <w:rPr>
          <w:rFonts w:ascii="Times New Roman" w:hAnsi="Times New Roman" w:cs="Times New Roman"/>
          <w:color w:val="000000"/>
          <w:sz w:val="24"/>
          <w:szCs w:val="24"/>
        </w:rPr>
        <w:t xml:space="preserve">. gadu periodā pieejamais finansējums varētu sasniegt apmēram 820 milj. </w:t>
      </w:r>
      <w:r w:rsidRPr="009E1160">
        <w:rPr>
          <w:rFonts w:ascii="Times New Roman" w:hAnsi="Times New Roman" w:cs="Times New Roman"/>
          <w:i/>
          <w:iCs/>
          <w:color w:val="000000"/>
          <w:sz w:val="24"/>
          <w:szCs w:val="24"/>
        </w:rPr>
        <w:t>euro</w:t>
      </w:r>
      <w:r w:rsidRPr="009E1160">
        <w:rPr>
          <w:rFonts w:ascii="Times New Roman" w:hAnsi="Times New Roman" w:cs="Times New Roman"/>
          <w:color w:val="000000"/>
          <w:sz w:val="24"/>
          <w:szCs w:val="24"/>
        </w:rPr>
        <w:t xml:space="preserve"> un pie vidējās emisijas kvotu cenas 70 - 80 </w:t>
      </w:r>
      <w:r w:rsidRPr="009E1160">
        <w:rPr>
          <w:rFonts w:ascii="Times New Roman" w:hAnsi="Times New Roman" w:cs="Times New Roman"/>
          <w:i/>
          <w:iCs/>
          <w:color w:val="000000"/>
          <w:sz w:val="24"/>
          <w:szCs w:val="24"/>
        </w:rPr>
        <w:t>euro</w:t>
      </w:r>
      <w:r w:rsidRPr="009E1160">
        <w:rPr>
          <w:rFonts w:ascii="Times New Roman" w:hAnsi="Times New Roman" w:cs="Times New Roman"/>
          <w:color w:val="000000"/>
          <w:sz w:val="24"/>
          <w:szCs w:val="24"/>
        </w:rPr>
        <w:t xml:space="preserve">, periodā līdz 2030. gadam. Latvijai pieejamais finansējums </w:t>
      </w:r>
      <w:r>
        <w:rPr>
          <w:rFonts w:ascii="Times New Roman" w:hAnsi="Times New Roman" w:cs="Times New Roman"/>
          <w:color w:val="000000"/>
          <w:sz w:val="24"/>
          <w:szCs w:val="24"/>
        </w:rPr>
        <w:t xml:space="preserve">MF </w:t>
      </w:r>
      <w:r w:rsidRPr="009E1160">
        <w:rPr>
          <w:rFonts w:ascii="Times New Roman" w:hAnsi="Times New Roman" w:cs="Times New Roman"/>
          <w:color w:val="000000"/>
          <w:sz w:val="24"/>
          <w:szCs w:val="24"/>
        </w:rPr>
        <w:t xml:space="preserve">ietvaros kopsummā varētu veidot apmēram 350 milj. </w:t>
      </w:r>
      <w:r w:rsidRPr="009E1160">
        <w:rPr>
          <w:rFonts w:ascii="Times New Roman" w:hAnsi="Times New Roman" w:cs="Times New Roman"/>
          <w:i/>
          <w:iCs/>
          <w:color w:val="000000"/>
          <w:sz w:val="24"/>
          <w:szCs w:val="24"/>
        </w:rPr>
        <w:t>euro</w:t>
      </w:r>
      <w:r w:rsidRPr="009E1160">
        <w:rPr>
          <w:rFonts w:ascii="Times New Roman" w:hAnsi="Times New Roman" w:cs="Times New Roman"/>
          <w:color w:val="000000"/>
          <w:sz w:val="24"/>
          <w:szCs w:val="24"/>
        </w:rPr>
        <w:t xml:space="preserve">, bet NEKP sagatavošanas laikā nebija skaidrības arī par Sociālā klimata fonda (turpmāk </w:t>
      </w:r>
      <w:r w:rsidR="009C2E1C">
        <w:rPr>
          <w:rFonts w:ascii="Times New Roman" w:hAnsi="Times New Roman" w:cs="Times New Roman"/>
          <w:color w:val="000000"/>
          <w:sz w:val="24"/>
          <w:szCs w:val="24"/>
        </w:rPr>
        <w:t>– SKF</w:t>
      </w:r>
      <w:r w:rsidRPr="009E1160">
        <w:rPr>
          <w:rFonts w:ascii="Times New Roman" w:hAnsi="Times New Roman" w:cs="Times New Roman"/>
          <w:color w:val="000000"/>
          <w:sz w:val="24"/>
          <w:szCs w:val="24"/>
        </w:rPr>
        <w:t xml:space="preserve">) finansējuma sadali (atbilstoši </w:t>
      </w:r>
      <w:r w:rsidR="00F5301D" w:rsidRPr="009E1160">
        <w:rPr>
          <w:rFonts w:ascii="Times New Roman" w:hAnsi="Times New Roman" w:cs="Times New Roman"/>
          <w:color w:val="000000"/>
          <w:sz w:val="24"/>
          <w:szCs w:val="24"/>
        </w:rPr>
        <w:t>E</w:t>
      </w:r>
      <w:r w:rsidR="00F5301D">
        <w:rPr>
          <w:rFonts w:ascii="Times New Roman" w:hAnsi="Times New Roman" w:cs="Times New Roman"/>
          <w:color w:val="000000"/>
          <w:sz w:val="24"/>
          <w:szCs w:val="24"/>
        </w:rPr>
        <w:t>iropas</w:t>
      </w:r>
      <w:r w:rsidR="00F5301D" w:rsidRPr="009E1160">
        <w:rPr>
          <w:rFonts w:ascii="Times New Roman" w:hAnsi="Times New Roman" w:cs="Times New Roman"/>
          <w:color w:val="000000"/>
          <w:sz w:val="24"/>
          <w:szCs w:val="24"/>
        </w:rPr>
        <w:t xml:space="preserve"> P</w:t>
      </w:r>
      <w:r w:rsidR="00F5301D">
        <w:rPr>
          <w:rFonts w:ascii="Times New Roman" w:hAnsi="Times New Roman" w:cs="Times New Roman"/>
          <w:color w:val="000000"/>
          <w:sz w:val="24"/>
          <w:szCs w:val="24"/>
        </w:rPr>
        <w:t>arlamenta</w:t>
      </w:r>
      <w:r w:rsidR="00F5301D" w:rsidRPr="009E1160">
        <w:rPr>
          <w:rFonts w:ascii="Times New Roman" w:hAnsi="Times New Roman" w:cs="Times New Roman"/>
          <w:color w:val="000000"/>
          <w:sz w:val="24"/>
          <w:szCs w:val="24"/>
        </w:rPr>
        <w:t xml:space="preserve"> </w:t>
      </w:r>
      <w:r w:rsidR="00F5301D">
        <w:rPr>
          <w:rFonts w:ascii="Times New Roman" w:hAnsi="Times New Roman" w:cs="Times New Roman"/>
          <w:color w:val="000000"/>
          <w:sz w:val="24"/>
          <w:szCs w:val="24"/>
        </w:rPr>
        <w:t>un</w:t>
      </w:r>
      <w:r w:rsidR="00F5301D" w:rsidRPr="009E1160">
        <w:rPr>
          <w:rFonts w:ascii="Times New Roman" w:hAnsi="Times New Roman" w:cs="Times New Roman"/>
          <w:color w:val="000000"/>
          <w:sz w:val="24"/>
          <w:szCs w:val="24"/>
        </w:rPr>
        <w:t xml:space="preserve"> P</w:t>
      </w:r>
      <w:r w:rsidR="00F5301D">
        <w:rPr>
          <w:rFonts w:ascii="Times New Roman" w:hAnsi="Times New Roman" w:cs="Times New Roman"/>
          <w:color w:val="000000"/>
          <w:sz w:val="24"/>
          <w:szCs w:val="24"/>
        </w:rPr>
        <w:t>adomes</w:t>
      </w:r>
      <w:r w:rsidR="00F5301D" w:rsidRPr="009E1160">
        <w:rPr>
          <w:rFonts w:ascii="Times New Roman" w:hAnsi="Times New Roman" w:cs="Times New Roman"/>
          <w:color w:val="000000"/>
          <w:sz w:val="24"/>
          <w:szCs w:val="24"/>
        </w:rPr>
        <w:t xml:space="preserve"> R</w:t>
      </w:r>
      <w:r w:rsidR="00F5301D">
        <w:rPr>
          <w:rFonts w:ascii="Times New Roman" w:hAnsi="Times New Roman" w:cs="Times New Roman"/>
          <w:color w:val="000000"/>
          <w:sz w:val="24"/>
          <w:szCs w:val="24"/>
        </w:rPr>
        <w:t>egula</w:t>
      </w:r>
      <w:r w:rsidR="00F5301D" w:rsidRPr="009E1160">
        <w:rPr>
          <w:rFonts w:ascii="Times New Roman" w:hAnsi="Times New Roman" w:cs="Times New Roman"/>
          <w:color w:val="000000"/>
          <w:sz w:val="24"/>
          <w:szCs w:val="24"/>
        </w:rPr>
        <w:t xml:space="preserve"> </w:t>
      </w:r>
      <w:r w:rsidRPr="009E1160">
        <w:rPr>
          <w:rFonts w:ascii="Times New Roman" w:hAnsi="Times New Roman" w:cs="Times New Roman"/>
          <w:color w:val="000000"/>
          <w:sz w:val="24"/>
          <w:szCs w:val="24"/>
        </w:rPr>
        <w:t xml:space="preserve">(ES) 2023/955, ar ko izveido Sociālo klimata fondu un groza Regulu (ES) 2021/1060 nosacījumiem, pašreiz tiek plānots, ka Latvijai SKF ietvaros būs pieejami 463,67 milj. </w:t>
      </w:r>
      <w:r w:rsidRPr="009E1160">
        <w:rPr>
          <w:rFonts w:ascii="Times New Roman" w:hAnsi="Times New Roman" w:cs="Times New Roman"/>
          <w:i/>
          <w:iCs/>
          <w:color w:val="000000"/>
          <w:sz w:val="24"/>
          <w:szCs w:val="24"/>
        </w:rPr>
        <w:t>euro</w:t>
      </w:r>
      <w:r w:rsidRPr="009E1160">
        <w:rPr>
          <w:rFonts w:ascii="Times New Roman" w:hAnsi="Times New Roman" w:cs="Times New Roman"/>
          <w:color w:val="000000"/>
          <w:sz w:val="24"/>
          <w:szCs w:val="24"/>
        </w:rPr>
        <w:t xml:space="preserve"> 2026.</w:t>
      </w:r>
      <w:r w:rsidR="009C2E1C">
        <w:rPr>
          <w:rFonts w:ascii="Times New Roman" w:hAnsi="Times New Roman" w:cs="Times New Roman"/>
          <w:color w:val="000000"/>
          <w:sz w:val="24"/>
          <w:szCs w:val="24"/>
        </w:rPr>
        <w:t xml:space="preserve"> – 2032</w:t>
      </w:r>
      <w:r w:rsidRPr="009E1160">
        <w:rPr>
          <w:rFonts w:ascii="Times New Roman" w:hAnsi="Times New Roman" w:cs="Times New Roman"/>
          <w:color w:val="000000"/>
          <w:sz w:val="24"/>
          <w:szCs w:val="24"/>
        </w:rPr>
        <w:t xml:space="preserve">. gada periodā, kā arī Latvijai būs jānodrošina līdzfinansējums vismaz 154,56 milj. </w:t>
      </w:r>
      <w:r w:rsidRPr="009E1160">
        <w:rPr>
          <w:rFonts w:ascii="Times New Roman" w:hAnsi="Times New Roman" w:cs="Times New Roman"/>
          <w:i/>
          <w:iCs/>
          <w:color w:val="000000"/>
          <w:sz w:val="24"/>
          <w:szCs w:val="24"/>
        </w:rPr>
        <w:t>euro</w:t>
      </w:r>
      <w:r w:rsidRPr="009E1160">
        <w:rPr>
          <w:rFonts w:ascii="Times New Roman" w:hAnsi="Times New Roman" w:cs="Times New Roman"/>
          <w:color w:val="000000"/>
          <w:sz w:val="24"/>
          <w:szCs w:val="24"/>
        </w:rPr>
        <w:t xml:space="preserve"> apmērā), jo Sociālais klimata plāns (turpmāk-SKP) tika apstiprināts MK tikai </w:t>
      </w:r>
      <w:r w:rsidR="00F5301D">
        <w:rPr>
          <w:rFonts w:ascii="Times New Roman" w:hAnsi="Times New Roman" w:cs="Times New Roman"/>
          <w:color w:val="000000"/>
          <w:sz w:val="24"/>
          <w:szCs w:val="24"/>
        </w:rPr>
        <w:t>2025. gada 1. jūlija</w:t>
      </w:r>
      <w:r w:rsidRPr="009E1160">
        <w:rPr>
          <w:rFonts w:ascii="Times New Roman" w:hAnsi="Times New Roman" w:cs="Times New Roman"/>
          <w:color w:val="000000"/>
          <w:sz w:val="24"/>
          <w:szCs w:val="24"/>
        </w:rPr>
        <w:t xml:space="preserve"> sēdē (tiek gaidīts vēl </w:t>
      </w:r>
      <w:r w:rsidR="00F5301D">
        <w:rPr>
          <w:rFonts w:ascii="Times New Roman" w:hAnsi="Times New Roman" w:cs="Times New Roman"/>
          <w:color w:val="000000"/>
          <w:sz w:val="24"/>
          <w:szCs w:val="24"/>
        </w:rPr>
        <w:t>EK</w:t>
      </w:r>
      <w:r w:rsidRPr="009E1160">
        <w:rPr>
          <w:rFonts w:ascii="Times New Roman" w:hAnsi="Times New Roman" w:cs="Times New Roman"/>
          <w:color w:val="000000"/>
          <w:sz w:val="24"/>
          <w:szCs w:val="24"/>
        </w:rPr>
        <w:t xml:space="preserve"> apstiprinājums). Savukārt tikai </w:t>
      </w:r>
      <w:r w:rsidR="00F5301D">
        <w:rPr>
          <w:rFonts w:ascii="Times New Roman" w:hAnsi="Times New Roman" w:cs="Times New Roman"/>
          <w:color w:val="000000"/>
          <w:sz w:val="24"/>
          <w:szCs w:val="24"/>
        </w:rPr>
        <w:t>2025. gada</w:t>
      </w:r>
      <w:r w:rsidRPr="009E1160">
        <w:rPr>
          <w:rFonts w:ascii="Times New Roman" w:hAnsi="Times New Roman" w:cs="Times New Roman"/>
          <w:color w:val="000000"/>
          <w:sz w:val="24"/>
          <w:szCs w:val="24"/>
        </w:rPr>
        <w:t xml:space="preserve"> 16. jūlijā tika publicēts </w:t>
      </w:r>
      <w:r w:rsidR="00F5301D">
        <w:rPr>
          <w:rFonts w:ascii="Times New Roman" w:hAnsi="Times New Roman" w:cs="Times New Roman"/>
          <w:color w:val="000000"/>
          <w:sz w:val="24"/>
          <w:szCs w:val="24"/>
        </w:rPr>
        <w:t>EK</w:t>
      </w:r>
      <w:r w:rsidRPr="009E1160">
        <w:rPr>
          <w:rFonts w:ascii="Times New Roman" w:hAnsi="Times New Roman" w:cs="Times New Roman"/>
          <w:color w:val="000000"/>
          <w:sz w:val="24"/>
          <w:szCs w:val="24"/>
        </w:rPr>
        <w:t xml:space="preserve"> priekšlikums jaunajam ES daudzgadu budžetam (turpmāk</w:t>
      </w:r>
      <w:r w:rsidR="009C2E1C">
        <w:rPr>
          <w:rFonts w:ascii="Times New Roman" w:hAnsi="Times New Roman" w:cs="Times New Roman"/>
          <w:color w:val="000000"/>
          <w:sz w:val="24"/>
          <w:szCs w:val="24"/>
        </w:rPr>
        <w:t xml:space="preserve"> – MFF</w:t>
      </w:r>
      <w:r w:rsidRPr="009E1160">
        <w:rPr>
          <w:rFonts w:ascii="Times New Roman" w:hAnsi="Times New Roman" w:cs="Times New Roman"/>
          <w:color w:val="000000"/>
          <w:sz w:val="24"/>
          <w:szCs w:val="24"/>
        </w:rPr>
        <w:t>) 2028.</w:t>
      </w:r>
      <w:r w:rsidR="009C2E1C">
        <w:rPr>
          <w:rFonts w:ascii="Times New Roman" w:hAnsi="Times New Roman" w:cs="Times New Roman"/>
          <w:color w:val="000000"/>
          <w:sz w:val="24"/>
          <w:szCs w:val="24"/>
        </w:rPr>
        <w:t xml:space="preserve"> – 2034.</w:t>
      </w:r>
      <w:r w:rsidRPr="009E1160">
        <w:rPr>
          <w:rFonts w:ascii="Times New Roman" w:hAnsi="Times New Roman" w:cs="Times New Roman"/>
          <w:color w:val="000000"/>
          <w:sz w:val="24"/>
          <w:szCs w:val="24"/>
        </w:rPr>
        <w:t xml:space="preserve"> gadam EK piedāvātais budžeta projekts vēl tiks apspriests, ir jāpanāk vienprātība dalībvalstu vidū un savus grozījumus var piedāvāt arī Eiropas Parlaments. Paredzams, ka sarunas par to ilgs vairāk kā gadu. Pašlaik tiek padziļināti vērtēts sākotnējais priekšlikums. 2025. gada beigās varētu būt lielāka skaidrība par to cik daudz un kādiem pasākumiem pietrūkst publiskais finansējums, jo KEM līdz 2025. gada 1. oktobrim ir jānodrošina EKII darbības stratēģijas sagatavošana, Latvijas SKP varētu būt jau apstiprināts, kā ar</w:t>
      </w:r>
      <w:r>
        <w:rPr>
          <w:rFonts w:ascii="Times New Roman" w:hAnsi="Times New Roman" w:cs="Times New Roman"/>
          <w:color w:val="000000"/>
          <w:sz w:val="24"/>
          <w:szCs w:val="24"/>
        </w:rPr>
        <w:t>ī</w:t>
      </w:r>
      <w:r w:rsidRPr="009E1160">
        <w:rPr>
          <w:rFonts w:ascii="Times New Roman" w:hAnsi="Times New Roman" w:cs="Times New Roman"/>
          <w:color w:val="000000"/>
          <w:sz w:val="24"/>
          <w:szCs w:val="24"/>
        </w:rPr>
        <w:t xml:space="preserve"> būs attīstījušās diskusijas par jauno MFF.</w:t>
      </w:r>
    </w:p>
    <w:p w14:paraId="694896F3" w14:textId="297D877F" w:rsidR="00F14321" w:rsidRDefault="008F5B79" w:rsidP="002601DB">
      <w:pPr>
        <w:spacing w:after="0" w:line="240" w:lineRule="auto"/>
        <w:ind w:firstLine="720"/>
        <w:jc w:val="both"/>
        <w:rPr>
          <w:rFonts w:ascii="Times New Roman" w:hAnsi="Times New Roman" w:cs="Times New Roman"/>
          <w:color w:val="000000"/>
          <w:sz w:val="24"/>
          <w:szCs w:val="24"/>
        </w:rPr>
      </w:pPr>
      <w:r w:rsidRPr="004611AD">
        <w:rPr>
          <w:rFonts w:ascii="Times New Roman" w:hAnsi="Times New Roman" w:cs="Times New Roman"/>
          <w:color w:val="000000"/>
          <w:sz w:val="24"/>
          <w:szCs w:val="24"/>
        </w:rPr>
        <w:t xml:space="preserve">Kā minēts iepriekš, klimata pārmaiņu ietekme ekonomikas subjektiem rada ne tikai nepieciešamību pēc papildu investīciju īstenošanas (ar investīcijām deklarācijas </w:t>
      </w:r>
      <w:r w:rsidR="007904FC" w:rsidRPr="004611AD">
        <w:rPr>
          <w:rFonts w:ascii="Times New Roman" w:hAnsi="Times New Roman" w:cs="Times New Roman"/>
          <w:color w:val="000000"/>
          <w:sz w:val="24"/>
          <w:szCs w:val="24"/>
        </w:rPr>
        <w:t>ietvaros</w:t>
      </w:r>
      <w:r w:rsidRPr="004611AD">
        <w:rPr>
          <w:rFonts w:ascii="Times New Roman" w:hAnsi="Times New Roman" w:cs="Times New Roman"/>
          <w:color w:val="000000"/>
          <w:sz w:val="24"/>
          <w:szCs w:val="24"/>
        </w:rPr>
        <w:t xml:space="preserve"> tiek saprastas ne tikai izmaksas, bet ieguldījumi, kas nākotnē nesīs finansiālo un/vai sociālekonomisko atdevi), bet sniedz jaunas un iepriekš neesošas iespējas, piemēram, piesaistot </w:t>
      </w:r>
      <w:r w:rsidR="000A725C" w:rsidRPr="004611AD">
        <w:rPr>
          <w:rFonts w:ascii="Times New Roman" w:hAnsi="Times New Roman" w:cs="Times New Roman"/>
          <w:color w:val="000000"/>
          <w:sz w:val="24"/>
          <w:szCs w:val="24"/>
        </w:rPr>
        <w:t xml:space="preserve">attīstībai vajadzīgo </w:t>
      </w:r>
      <w:r w:rsidRPr="004611AD">
        <w:rPr>
          <w:rFonts w:ascii="Times New Roman" w:hAnsi="Times New Roman" w:cs="Times New Roman"/>
          <w:color w:val="000000"/>
          <w:sz w:val="24"/>
          <w:szCs w:val="24"/>
        </w:rPr>
        <w:t>finansējum</w:t>
      </w:r>
      <w:r w:rsidR="000A725C" w:rsidRPr="004611AD">
        <w:rPr>
          <w:rFonts w:ascii="Times New Roman" w:hAnsi="Times New Roman" w:cs="Times New Roman"/>
          <w:color w:val="000000"/>
          <w:sz w:val="24"/>
          <w:szCs w:val="24"/>
        </w:rPr>
        <w:t>u</w:t>
      </w:r>
      <w:r w:rsidRPr="004611AD">
        <w:rPr>
          <w:rFonts w:ascii="Times New Roman" w:hAnsi="Times New Roman" w:cs="Times New Roman"/>
          <w:color w:val="000000"/>
          <w:sz w:val="24"/>
          <w:szCs w:val="24"/>
        </w:rPr>
        <w:t xml:space="preserve"> </w:t>
      </w:r>
      <w:r w:rsidR="000A725C" w:rsidRPr="004611AD">
        <w:rPr>
          <w:rFonts w:ascii="Times New Roman" w:hAnsi="Times New Roman" w:cs="Times New Roman"/>
          <w:color w:val="000000"/>
          <w:sz w:val="24"/>
          <w:szCs w:val="24"/>
        </w:rPr>
        <w:t>uz</w:t>
      </w:r>
      <w:r w:rsidRPr="004611AD">
        <w:rPr>
          <w:rFonts w:ascii="Times New Roman" w:hAnsi="Times New Roman" w:cs="Times New Roman"/>
          <w:color w:val="000000"/>
          <w:sz w:val="24"/>
          <w:szCs w:val="24"/>
        </w:rPr>
        <w:t xml:space="preserve"> izdevīg</w:t>
      </w:r>
      <w:r w:rsidR="000A725C" w:rsidRPr="004611AD">
        <w:rPr>
          <w:rFonts w:ascii="Times New Roman" w:hAnsi="Times New Roman" w:cs="Times New Roman"/>
          <w:color w:val="000000"/>
          <w:sz w:val="24"/>
          <w:szCs w:val="24"/>
        </w:rPr>
        <w:t>ākiem</w:t>
      </w:r>
      <w:r w:rsidRPr="004611AD">
        <w:rPr>
          <w:rFonts w:ascii="Times New Roman" w:hAnsi="Times New Roman" w:cs="Times New Roman"/>
          <w:color w:val="000000"/>
          <w:sz w:val="24"/>
          <w:szCs w:val="24"/>
        </w:rPr>
        <w:t xml:space="preserve"> nosacījumiem.</w:t>
      </w:r>
      <w:r w:rsidR="0033307C">
        <w:rPr>
          <w:rFonts w:ascii="Times New Roman" w:hAnsi="Times New Roman" w:cs="Times New Roman"/>
          <w:color w:val="000000"/>
          <w:sz w:val="24"/>
          <w:szCs w:val="24"/>
        </w:rPr>
        <w:t xml:space="preserve"> </w:t>
      </w:r>
      <w:r w:rsidR="0033307C" w:rsidRPr="009E1160">
        <w:rPr>
          <w:rFonts w:ascii="Times New Roman" w:hAnsi="Times New Roman" w:cs="Times New Roman"/>
          <w:sz w:val="24"/>
          <w:szCs w:val="24"/>
        </w:rPr>
        <w:t>Līdzīgi kā arī citās ES dalībvalstīs NEKP pasākumi ir veidoti tā, lai ne tikai nodrošinātu starptautisko klimata mērķu saistību izpildi, bet lai veicinātu vietējās ilgtspējīgas ekonomikas attīstību, publiskajam finansējumam sniedzot atbalstošu lomu šīs pārejas nodrošināšanā.</w:t>
      </w:r>
    </w:p>
    <w:bookmarkEnd w:id="355"/>
    <w:p w14:paraId="24F206F6" w14:textId="4EE4F15D" w:rsidR="004471C9" w:rsidRDefault="0023223D" w:rsidP="002E49B0">
      <w:pPr>
        <w:rPr>
          <w:rFonts w:ascii="Times New Roman" w:hAnsi="Times New Roman" w:cs="Times New Roman"/>
          <w:color w:val="000000"/>
          <w:sz w:val="24"/>
          <w:szCs w:val="24"/>
        </w:rPr>
      </w:pPr>
      <w:r>
        <w:rPr>
          <w:rFonts w:ascii="Times New Roman" w:hAnsi="Times New Roman" w:cs="Times New Roman"/>
          <w:color w:val="000000"/>
          <w:sz w:val="24"/>
          <w:szCs w:val="24"/>
        </w:rPr>
        <w:br w:type="page"/>
      </w:r>
      <w:bookmarkEnd w:id="356"/>
    </w:p>
    <w:p w14:paraId="3AF3B59E" w14:textId="1D596151" w:rsidR="00F151DD" w:rsidRPr="00F80585" w:rsidRDefault="00B4409C" w:rsidP="00F80585">
      <w:pPr>
        <w:pStyle w:val="Heading1"/>
        <w:numPr>
          <w:ilvl w:val="0"/>
          <w:numId w:val="0"/>
        </w:numPr>
        <w:jc w:val="center"/>
        <w:rPr>
          <w:rFonts w:ascii="Times New Roman" w:hAnsi="Times New Roman" w:cs="Times New Roman"/>
        </w:rPr>
      </w:pPr>
      <w:bookmarkStart w:id="360" w:name="_Toc205554438"/>
      <w:bookmarkEnd w:id="357"/>
      <w:r w:rsidRPr="00F80585">
        <w:rPr>
          <w:rFonts w:ascii="Times New Roman" w:hAnsi="Times New Roman" w:cs="Times New Roman"/>
        </w:rPr>
        <w:t xml:space="preserve">6. </w:t>
      </w:r>
      <w:r w:rsidR="00F151DD" w:rsidRPr="00F80585">
        <w:rPr>
          <w:rFonts w:ascii="Times New Roman" w:hAnsi="Times New Roman" w:cs="Times New Roman"/>
        </w:rPr>
        <w:t>“Zaļais budžets”</w:t>
      </w:r>
      <w:bookmarkEnd w:id="360"/>
    </w:p>
    <w:p w14:paraId="16B6DAA0" w14:textId="0B8F1D17" w:rsidR="00F151DD" w:rsidRDefault="4D451623" w:rsidP="009B5706">
      <w:pPr>
        <w:pStyle w:val="Heading2"/>
        <w:numPr>
          <w:ilvl w:val="0"/>
          <w:numId w:val="0"/>
        </w:numPr>
        <w:rPr>
          <w:rFonts w:cs="Times New Roman"/>
          <w:szCs w:val="24"/>
        </w:rPr>
      </w:pPr>
      <w:bookmarkStart w:id="361" w:name="_Toc205554439"/>
      <w:r w:rsidRPr="00945DC6">
        <w:rPr>
          <w:rFonts w:cs="Times New Roman"/>
          <w:szCs w:val="24"/>
        </w:rPr>
        <w:t>6.1. “Zaļā budžeta</w:t>
      </w:r>
      <w:r w:rsidR="00FD79C5" w:rsidRPr="00945DC6">
        <w:rPr>
          <w:rFonts w:cs="Times New Roman"/>
          <w:szCs w:val="24"/>
        </w:rPr>
        <w:t>”</w:t>
      </w:r>
      <w:r w:rsidRPr="00945DC6">
        <w:rPr>
          <w:rFonts w:cs="Times New Roman"/>
          <w:szCs w:val="24"/>
        </w:rPr>
        <w:t xml:space="preserve"> instrumenti</w:t>
      </w:r>
      <w:bookmarkEnd w:id="361"/>
    </w:p>
    <w:p w14:paraId="7FEDE8BD" w14:textId="77777777" w:rsidR="00F151DD" w:rsidRPr="005468CA" w:rsidRDefault="00F151DD" w:rsidP="00F151DD"/>
    <w:p w14:paraId="650698D6" w14:textId="2F9CA662" w:rsidR="00F151DD" w:rsidRDefault="4D451623" w:rsidP="00F151DD">
      <w:pPr>
        <w:pStyle w:val="Default"/>
        <w:ind w:firstLine="720"/>
        <w:jc w:val="both"/>
        <w:rPr>
          <w:rFonts w:ascii="Times New Roman" w:hAnsi="Times New Roman" w:cs="Times New Roman"/>
        </w:rPr>
      </w:pPr>
      <w:bookmarkStart w:id="362" w:name="_Hlk172204455"/>
      <w:r w:rsidRPr="007104BB">
        <w:rPr>
          <w:rFonts w:ascii="Times New Roman" w:hAnsi="Times New Roman" w:cs="Times New Roman"/>
        </w:rPr>
        <w:t>“</w:t>
      </w:r>
      <w:r>
        <w:rPr>
          <w:rFonts w:ascii="Times New Roman" w:hAnsi="Times New Roman" w:cs="Times New Roman"/>
        </w:rPr>
        <w:t>Z</w:t>
      </w:r>
      <w:r w:rsidRPr="007104BB">
        <w:rPr>
          <w:rFonts w:ascii="Times New Roman" w:hAnsi="Times New Roman" w:cs="Times New Roman"/>
        </w:rPr>
        <w:t>aļā budžeta” plānošana nozīmē budžeta pārvaldības instrumentu izmantošanu, lai saskaņotu izdevumu un ieņēmumu plānošanu ar klimata un vides mērķiem, sistemātiski izskatot esošos un iespējamos fiskālos pasākumus un politikas, integrējot uz klimatneitralitāti un vides aizsardzību vērstu pieeju valsts budžeta plānošanā un fiskālajā sistēmā</w:t>
      </w:r>
      <w:r w:rsidR="00F151DD">
        <w:rPr>
          <w:rStyle w:val="FootnoteReference"/>
          <w:rFonts w:ascii="Times New Roman" w:hAnsi="Times New Roman" w:cs="Times New Roman"/>
        </w:rPr>
        <w:footnoteReference w:id="101"/>
      </w:r>
      <w:r w:rsidR="002579A8">
        <w:rPr>
          <w:rFonts w:ascii="Times New Roman" w:hAnsi="Times New Roman" w:cs="Times New Roman"/>
        </w:rPr>
        <w:t>.</w:t>
      </w:r>
    </w:p>
    <w:p w14:paraId="49224573" w14:textId="0BAEFD45" w:rsidR="00F151DD" w:rsidRPr="008477C1" w:rsidRDefault="4D451623">
      <w:pPr>
        <w:pStyle w:val="Default"/>
        <w:ind w:firstLine="720"/>
        <w:jc w:val="both"/>
        <w:rPr>
          <w:rFonts w:ascii="Times New Roman" w:hAnsi="Times New Roman" w:cs="Times New Roman"/>
        </w:rPr>
      </w:pPr>
      <w:r w:rsidRPr="008477C1">
        <w:rPr>
          <w:rFonts w:ascii="Times New Roman" w:hAnsi="Times New Roman" w:cs="Times New Roman"/>
          <w:color w:val="auto"/>
        </w:rPr>
        <w:t>2019. gada 11. decembrī EK nāca klajā ar paziņojumu “Eiropas Zaļais kurss”</w:t>
      </w:r>
      <w:r w:rsidR="00F151DD" w:rsidRPr="008477C1">
        <w:rPr>
          <w:rStyle w:val="FootnoteReference"/>
          <w:rFonts w:ascii="Times New Roman" w:hAnsi="Times New Roman" w:cs="Times New Roman"/>
          <w:color w:val="auto"/>
        </w:rPr>
        <w:footnoteReference w:id="102"/>
      </w:r>
      <w:r w:rsidRPr="008477C1">
        <w:rPr>
          <w:rFonts w:ascii="Times New Roman" w:hAnsi="Times New Roman" w:cs="Times New Roman"/>
        </w:rPr>
        <w:t>,</w:t>
      </w:r>
      <w:r w:rsidR="00FD79C5">
        <w:rPr>
          <w:rFonts w:ascii="Times New Roman" w:hAnsi="Times New Roman" w:cs="Times New Roman"/>
        </w:rPr>
        <w:t xml:space="preserve"> </w:t>
      </w:r>
      <w:r w:rsidRPr="008477C1">
        <w:rPr>
          <w:rFonts w:ascii="Times New Roman" w:hAnsi="Times New Roman" w:cs="Times New Roman"/>
        </w:rPr>
        <w:t>kurā ir uzsvērts, ka “</w:t>
      </w:r>
      <w:r w:rsidRPr="008477C1">
        <w:rPr>
          <w:rFonts w:ascii="Times New Roman" w:hAnsi="Times New Roman" w:cs="Times New Roman"/>
          <w:color w:val="auto"/>
        </w:rPr>
        <w:t>ja “zaļā budžeta” plānošanas instrumenti tiks izmantoti prasmīgāk, publiskās investīcijas, patēriņu un</w:t>
      </w:r>
      <w:r w:rsidR="44D3ACC1">
        <w:rPr>
          <w:rFonts w:ascii="Times New Roman" w:hAnsi="Times New Roman" w:cs="Times New Roman"/>
          <w:color w:val="auto"/>
        </w:rPr>
        <w:t xml:space="preserve"> </w:t>
      </w:r>
      <w:r w:rsidRPr="008477C1">
        <w:rPr>
          <w:rFonts w:ascii="Times New Roman" w:hAnsi="Times New Roman" w:cs="Times New Roman"/>
          <w:color w:val="auto"/>
        </w:rPr>
        <w:t>nodokļus varēs sekmīgāk novirzīt zaļajām prioritātēm un atteikties no kaitīgām subsīdijām”</w:t>
      </w:r>
      <w:bookmarkStart w:id="363" w:name="_Hlk163638246"/>
      <w:r>
        <w:rPr>
          <w:rFonts w:ascii="Times New Roman" w:hAnsi="Times New Roman" w:cs="Times New Roman"/>
          <w:color w:val="auto"/>
        </w:rPr>
        <w:t>.</w:t>
      </w:r>
      <w:r w:rsidRPr="008477C1">
        <w:rPr>
          <w:rFonts w:ascii="Times New Roman" w:hAnsi="Times New Roman" w:cs="Times New Roman"/>
          <w:color w:val="auto"/>
        </w:rPr>
        <w:t xml:space="preserve"> Kā viens no risinājumiem starptautisko klimata un vides mērķu sasniegšanai tika saskatīts valsts rīcībā esošo budžeta instrumentu izmantošana, </w:t>
      </w:r>
      <w:r w:rsidRPr="002C3F23">
        <w:rPr>
          <w:rFonts w:ascii="Times New Roman" w:hAnsi="Times New Roman" w:cs="Times New Roman"/>
          <w:color w:val="auto"/>
        </w:rPr>
        <w:t>tādēļ</w:t>
      </w:r>
      <w:r w:rsidRPr="008477C1">
        <w:rPr>
          <w:rFonts w:ascii="Times New Roman" w:hAnsi="Times New Roman" w:cs="Times New Roman"/>
          <w:color w:val="auto"/>
        </w:rPr>
        <w:t xml:space="preserve"> </w:t>
      </w:r>
      <w:r w:rsidR="00B55F93" w:rsidRPr="00B55F93">
        <w:rPr>
          <w:rFonts w:ascii="Times New Roman" w:hAnsi="Times New Roman" w:cs="Times New Roman"/>
          <w:color w:val="auto"/>
        </w:rPr>
        <w:t>ESAO</w:t>
      </w:r>
      <w:r w:rsidRPr="008477C1">
        <w:rPr>
          <w:rFonts w:ascii="Times New Roman" w:hAnsi="Times New Roman" w:cs="Times New Roman"/>
          <w:color w:val="auto"/>
        </w:rPr>
        <w:t xml:space="preserve"> 2017. gada nogalē nāca klajā ar “zaļā budžeta” ietvara koncepciju.</w:t>
      </w:r>
      <w:bookmarkEnd w:id="363"/>
    </w:p>
    <w:p w14:paraId="1F657472" w14:textId="56BD44D5" w:rsidR="00F151DD" w:rsidRPr="002C3F23" w:rsidRDefault="00B55F93" w:rsidP="003231C6">
      <w:pPr>
        <w:pStyle w:val="Default"/>
        <w:ind w:firstLine="720"/>
        <w:jc w:val="both"/>
        <w:rPr>
          <w:rFonts w:ascii="Times New Roman" w:hAnsi="Times New Roman" w:cs="Times New Roman"/>
        </w:rPr>
      </w:pPr>
      <w:r w:rsidRPr="00B55F93">
        <w:rPr>
          <w:rFonts w:ascii="Times New Roman" w:hAnsi="Times New Roman" w:cs="Times New Roman"/>
        </w:rPr>
        <w:t>ESAO</w:t>
      </w:r>
      <w:r w:rsidR="00F151DD" w:rsidRPr="002C3F23">
        <w:rPr>
          <w:rFonts w:ascii="Times New Roman" w:hAnsi="Times New Roman" w:cs="Times New Roman"/>
        </w:rPr>
        <w:t xml:space="preserve"> 202</w:t>
      </w:r>
      <w:r w:rsidR="006C1972">
        <w:rPr>
          <w:rFonts w:ascii="Times New Roman" w:hAnsi="Times New Roman" w:cs="Times New Roman"/>
        </w:rPr>
        <w:t>4</w:t>
      </w:r>
      <w:r w:rsidR="00F151DD" w:rsidRPr="002C3F23">
        <w:rPr>
          <w:rFonts w:ascii="Times New Roman" w:hAnsi="Times New Roman" w:cs="Times New Roman"/>
        </w:rPr>
        <w:t>. gad</w:t>
      </w:r>
      <w:r w:rsidR="006C1972">
        <w:rPr>
          <w:rFonts w:ascii="Times New Roman" w:hAnsi="Times New Roman" w:cs="Times New Roman"/>
        </w:rPr>
        <w:t>ā publicētajā</w:t>
      </w:r>
      <w:r w:rsidR="00F151DD" w:rsidRPr="002C3F23">
        <w:rPr>
          <w:rFonts w:ascii="Times New Roman" w:hAnsi="Times New Roman" w:cs="Times New Roman"/>
        </w:rPr>
        <w:t xml:space="preserve"> aptaujā identificēti </w:t>
      </w:r>
      <w:r w:rsidR="00440C2F">
        <w:rPr>
          <w:rFonts w:ascii="Times New Roman" w:hAnsi="Times New Roman" w:cs="Times New Roman"/>
        </w:rPr>
        <w:t>divpadsmit</w:t>
      </w:r>
      <w:r w:rsidR="00440C2F" w:rsidRPr="002C3F23">
        <w:rPr>
          <w:rFonts w:ascii="Times New Roman" w:hAnsi="Times New Roman" w:cs="Times New Roman"/>
        </w:rPr>
        <w:t xml:space="preserve"> </w:t>
      </w:r>
      <w:r w:rsidR="00F151DD" w:rsidRPr="002C3F23">
        <w:rPr>
          <w:rFonts w:ascii="Times New Roman" w:hAnsi="Times New Roman" w:cs="Times New Roman"/>
        </w:rPr>
        <w:t xml:space="preserve">instrumenti, ko </w:t>
      </w:r>
      <w:r w:rsidRPr="00B55F93">
        <w:rPr>
          <w:rFonts w:ascii="Times New Roman" w:hAnsi="Times New Roman" w:cs="Times New Roman"/>
        </w:rPr>
        <w:t>ESAO</w:t>
      </w:r>
      <w:r w:rsidR="00F151DD" w:rsidRPr="002C3F23">
        <w:rPr>
          <w:rFonts w:ascii="Times New Roman" w:hAnsi="Times New Roman" w:cs="Times New Roman"/>
        </w:rPr>
        <w:t xml:space="preserve"> dalībvalstis pielieto “zaļā budžeta” veidošanā:</w:t>
      </w:r>
    </w:p>
    <w:p w14:paraId="7AA09120"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Ietekmes uz vidi novērtējums;</w:t>
      </w:r>
    </w:p>
    <w:p w14:paraId="161DD7C4" w14:textId="77777777" w:rsidR="00F151DD" w:rsidRPr="002C3F23" w:rsidRDefault="00F151DD" w:rsidP="00F151DD">
      <w:pPr>
        <w:pStyle w:val="Default"/>
        <w:numPr>
          <w:ilvl w:val="0"/>
          <w:numId w:val="58"/>
        </w:numPr>
        <w:jc w:val="both"/>
        <w:rPr>
          <w:rFonts w:ascii="Times New Roman" w:hAnsi="Times New Roman" w:cs="Times New Roman"/>
          <w:u w:val="single"/>
        </w:rPr>
      </w:pPr>
      <w:r w:rsidRPr="002C3F23">
        <w:rPr>
          <w:rFonts w:ascii="Times New Roman" w:hAnsi="Times New Roman" w:cs="Times New Roman"/>
          <w:u w:val="single"/>
        </w:rPr>
        <w:t>Zaļā budžeta marķēšana;</w:t>
      </w:r>
    </w:p>
    <w:p w14:paraId="11EB24B1"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Pārskats par kaitīgiem nodokļu izdevumiem;</w:t>
      </w:r>
    </w:p>
    <w:p w14:paraId="04EB4D68" w14:textId="77777777" w:rsidR="00F151DD"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Vides izmaksu un ieguvumu analīze;</w:t>
      </w:r>
    </w:p>
    <w:p w14:paraId="178351B7" w14:textId="420FBE9E" w:rsidR="00440C2F" w:rsidRPr="004D574E" w:rsidRDefault="00440C2F" w:rsidP="00440C2F">
      <w:pPr>
        <w:pStyle w:val="Default"/>
        <w:numPr>
          <w:ilvl w:val="0"/>
          <w:numId w:val="58"/>
        </w:numPr>
        <w:jc w:val="both"/>
        <w:rPr>
          <w:rFonts w:ascii="Times New Roman" w:hAnsi="Times New Roman" w:cs="Times New Roman"/>
        </w:rPr>
      </w:pPr>
      <w:r w:rsidRPr="004D574E">
        <w:rPr>
          <w:rFonts w:ascii="Times New Roman" w:hAnsi="Times New Roman" w:cs="Times New Roman"/>
        </w:rPr>
        <w:t>Budžeta pasākumu oglekļa emisiju novērtējums</w:t>
      </w:r>
      <w:r w:rsidR="006C1972">
        <w:rPr>
          <w:rFonts w:ascii="Times New Roman" w:hAnsi="Times New Roman" w:cs="Times New Roman"/>
        </w:rPr>
        <w:t>;</w:t>
      </w:r>
    </w:p>
    <w:p w14:paraId="3842727E" w14:textId="12230179" w:rsidR="00440C2F" w:rsidRPr="002C3F23" w:rsidRDefault="00440C2F" w:rsidP="00440C2F">
      <w:pPr>
        <w:pStyle w:val="Default"/>
        <w:numPr>
          <w:ilvl w:val="0"/>
          <w:numId w:val="58"/>
        </w:numPr>
        <w:jc w:val="both"/>
        <w:rPr>
          <w:rFonts w:ascii="Times New Roman" w:hAnsi="Times New Roman" w:cs="Times New Roman"/>
        </w:rPr>
      </w:pPr>
      <w:r w:rsidRPr="00403F05">
        <w:rPr>
          <w:rFonts w:ascii="Times New Roman" w:hAnsi="Times New Roman" w:cs="Times New Roman"/>
        </w:rPr>
        <w:t xml:space="preserve">Oglekļa emisiju </w:t>
      </w:r>
      <w:r>
        <w:rPr>
          <w:rFonts w:ascii="Times New Roman" w:hAnsi="Times New Roman" w:cs="Times New Roman"/>
        </w:rPr>
        <w:t>“</w:t>
      </w:r>
      <w:r w:rsidRPr="00403F05">
        <w:rPr>
          <w:rFonts w:ascii="Times New Roman" w:hAnsi="Times New Roman" w:cs="Times New Roman"/>
        </w:rPr>
        <w:t>ēnu</w:t>
      </w:r>
      <w:r>
        <w:rPr>
          <w:rFonts w:ascii="Times New Roman" w:hAnsi="Times New Roman" w:cs="Times New Roman"/>
        </w:rPr>
        <w:t>”</w:t>
      </w:r>
      <w:r w:rsidRPr="00403F05">
        <w:rPr>
          <w:rFonts w:ascii="Times New Roman" w:hAnsi="Times New Roman" w:cs="Times New Roman"/>
        </w:rPr>
        <w:t xml:space="preserve"> cena</w:t>
      </w:r>
      <w:r w:rsidR="006C1972">
        <w:rPr>
          <w:rFonts w:ascii="Times New Roman" w:hAnsi="Times New Roman" w:cs="Times New Roman"/>
        </w:rPr>
        <w:t>;</w:t>
      </w:r>
    </w:p>
    <w:p w14:paraId="31DB3259" w14:textId="054DA1A0" w:rsidR="00440C2F" w:rsidRDefault="00440C2F" w:rsidP="00F151DD">
      <w:pPr>
        <w:pStyle w:val="Default"/>
        <w:numPr>
          <w:ilvl w:val="0"/>
          <w:numId w:val="58"/>
        </w:numPr>
        <w:jc w:val="both"/>
        <w:rPr>
          <w:rFonts w:ascii="Times New Roman" w:hAnsi="Times New Roman" w:cs="Times New Roman"/>
        </w:rPr>
      </w:pPr>
      <w:r>
        <w:rPr>
          <w:rFonts w:ascii="Times New Roman" w:hAnsi="Times New Roman" w:cs="Times New Roman"/>
        </w:rPr>
        <w:t>Zaļā pieeja daudzgadu budžetos</w:t>
      </w:r>
      <w:r w:rsidR="006C1972">
        <w:rPr>
          <w:rFonts w:ascii="Times New Roman" w:hAnsi="Times New Roman" w:cs="Times New Roman"/>
        </w:rPr>
        <w:t>;</w:t>
      </w:r>
    </w:p>
    <w:p w14:paraId="275D94D9" w14:textId="215863BB" w:rsidR="00440C2F" w:rsidRDefault="00440C2F" w:rsidP="00440C2F">
      <w:pPr>
        <w:pStyle w:val="Default"/>
        <w:numPr>
          <w:ilvl w:val="0"/>
          <w:numId w:val="58"/>
        </w:numPr>
        <w:jc w:val="both"/>
        <w:rPr>
          <w:rFonts w:ascii="Times New Roman" w:hAnsi="Times New Roman" w:cs="Times New Roman"/>
        </w:rPr>
      </w:pPr>
      <w:r w:rsidRPr="00403F05">
        <w:rPr>
          <w:rFonts w:ascii="Times New Roman" w:hAnsi="Times New Roman" w:cs="Times New Roman"/>
        </w:rPr>
        <w:t>Zaļā perspektīva izdevumu pārskatā</w:t>
      </w:r>
      <w:r w:rsidR="006C1972">
        <w:rPr>
          <w:rFonts w:ascii="Times New Roman" w:hAnsi="Times New Roman" w:cs="Times New Roman"/>
        </w:rPr>
        <w:t>;</w:t>
      </w:r>
    </w:p>
    <w:p w14:paraId="5A4C4191" w14:textId="42639FF8" w:rsidR="00440C2F" w:rsidRDefault="00440C2F" w:rsidP="00440C2F">
      <w:pPr>
        <w:pStyle w:val="Default"/>
        <w:numPr>
          <w:ilvl w:val="0"/>
          <w:numId w:val="58"/>
        </w:numPr>
        <w:jc w:val="both"/>
        <w:rPr>
          <w:rFonts w:ascii="Times New Roman" w:hAnsi="Times New Roman" w:cs="Times New Roman"/>
        </w:rPr>
      </w:pPr>
      <w:r w:rsidRPr="00403F05">
        <w:rPr>
          <w:rFonts w:ascii="Times New Roman" w:hAnsi="Times New Roman" w:cs="Times New Roman"/>
        </w:rPr>
        <w:t>Metrika, kas jāpiemēro konsekventi visās nodaļās</w:t>
      </w:r>
      <w:r w:rsidR="006C1972">
        <w:rPr>
          <w:rFonts w:ascii="Times New Roman" w:hAnsi="Times New Roman" w:cs="Times New Roman"/>
        </w:rPr>
        <w:t>;</w:t>
      </w:r>
    </w:p>
    <w:p w14:paraId="04C1024D" w14:textId="0D283900" w:rsidR="00440C2F" w:rsidRDefault="00440C2F" w:rsidP="00440C2F">
      <w:pPr>
        <w:pStyle w:val="Default"/>
        <w:numPr>
          <w:ilvl w:val="0"/>
          <w:numId w:val="58"/>
        </w:numPr>
        <w:jc w:val="both"/>
        <w:rPr>
          <w:rFonts w:ascii="Times New Roman" w:hAnsi="Times New Roman" w:cs="Times New Roman"/>
        </w:rPr>
      </w:pPr>
      <w:r>
        <w:rPr>
          <w:rFonts w:ascii="Times New Roman" w:hAnsi="Times New Roman" w:cs="Times New Roman"/>
        </w:rPr>
        <w:t>Oglekļa budžeti</w:t>
      </w:r>
      <w:r w:rsidR="006C1972">
        <w:rPr>
          <w:rFonts w:ascii="Times New Roman" w:hAnsi="Times New Roman" w:cs="Times New Roman"/>
        </w:rPr>
        <w:t>;</w:t>
      </w:r>
    </w:p>
    <w:p w14:paraId="21758E03" w14:textId="5667E120" w:rsidR="00440C2F" w:rsidRDefault="00440C2F" w:rsidP="00440C2F">
      <w:pPr>
        <w:pStyle w:val="Default"/>
        <w:numPr>
          <w:ilvl w:val="0"/>
          <w:numId w:val="58"/>
        </w:numPr>
        <w:jc w:val="both"/>
        <w:rPr>
          <w:rFonts w:ascii="Times New Roman" w:hAnsi="Times New Roman" w:cs="Times New Roman"/>
        </w:rPr>
      </w:pPr>
      <w:r w:rsidRPr="00403F05">
        <w:rPr>
          <w:rFonts w:ascii="Times New Roman" w:hAnsi="Times New Roman" w:cs="Times New Roman"/>
        </w:rPr>
        <w:t>Zaļā pieeja makro fiskālajās prognozēs</w:t>
      </w:r>
      <w:r w:rsidR="006C1972">
        <w:rPr>
          <w:rFonts w:ascii="Times New Roman" w:hAnsi="Times New Roman" w:cs="Times New Roman"/>
        </w:rPr>
        <w:t>;</w:t>
      </w:r>
    </w:p>
    <w:p w14:paraId="789C236A" w14:textId="05794BAA" w:rsidR="00440C2F" w:rsidRPr="002C3F23" w:rsidRDefault="00440C2F" w:rsidP="00440C2F">
      <w:pPr>
        <w:pStyle w:val="Default"/>
        <w:numPr>
          <w:ilvl w:val="0"/>
          <w:numId w:val="58"/>
        </w:numPr>
        <w:jc w:val="both"/>
        <w:rPr>
          <w:rFonts w:ascii="Times New Roman" w:hAnsi="Times New Roman" w:cs="Times New Roman"/>
        </w:rPr>
      </w:pPr>
      <w:r w:rsidRPr="00403F05">
        <w:rPr>
          <w:rFonts w:ascii="Times New Roman" w:hAnsi="Times New Roman" w:cs="Times New Roman"/>
        </w:rPr>
        <w:t>Zaļā pieeja riska analīzē</w:t>
      </w:r>
      <w:r w:rsidRPr="002C3F23">
        <w:rPr>
          <w:rFonts w:ascii="Times New Roman" w:hAnsi="Times New Roman" w:cs="Times New Roman"/>
        </w:rPr>
        <w:t>.</w:t>
      </w:r>
      <w:r w:rsidR="006C1972" w:rsidRPr="002C3F23">
        <w:rPr>
          <w:rStyle w:val="FootnoteReference"/>
          <w:rFonts w:ascii="Times New Roman" w:hAnsi="Times New Roman" w:cs="Times New Roman"/>
        </w:rPr>
        <w:footnoteReference w:id="103"/>
      </w:r>
    </w:p>
    <w:p w14:paraId="13333CFB" w14:textId="77777777" w:rsidR="00440C2F" w:rsidRDefault="00440C2F" w:rsidP="0039468E">
      <w:pPr>
        <w:spacing w:after="0" w:line="240" w:lineRule="auto"/>
        <w:jc w:val="both"/>
        <w:rPr>
          <w:rFonts w:ascii="Times New Roman" w:eastAsia="Calibri" w:hAnsi="Times New Roman" w:cs="Times New Roman"/>
          <w:sz w:val="24"/>
          <w:szCs w:val="24"/>
        </w:rPr>
      </w:pPr>
    </w:p>
    <w:p w14:paraId="3293CBB4" w14:textId="1D0FCC96" w:rsidR="00F151DD" w:rsidRPr="007D4529" w:rsidRDefault="4D451623" w:rsidP="00F151DD">
      <w:pPr>
        <w:spacing w:after="0" w:line="240" w:lineRule="auto"/>
        <w:ind w:firstLine="720"/>
        <w:jc w:val="both"/>
        <w:rPr>
          <w:rFonts w:ascii="Times New Roman" w:eastAsia="Calibri" w:hAnsi="Times New Roman" w:cs="Times New Roman"/>
        </w:rPr>
      </w:pPr>
      <w:r w:rsidRPr="00A55049">
        <w:rPr>
          <w:rFonts w:ascii="Times New Roman" w:eastAsia="Calibri" w:hAnsi="Times New Roman" w:cs="Times New Roman"/>
          <w:sz w:val="24"/>
          <w:szCs w:val="24"/>
        </w:rPr>
        <w:t xml:space="preserve">“Zaļā budžeta” marķēšana </w:t>
      </w:r>
      <w:r w:rsidRPr="469479B5">
        <w:rPr>
          <w:rFonts w:ascii="Times New Roman" w:eastAsia="Calibri" w:hAnsi="Times New Roman" w:cs="Times New Roman"/>
          <w:i/>
          <w:iCs/>
          <w:sz w:val="24"/>
          <w:szCs w:val="24"/>
        </w:rPr>
        <w:t xml:space="preserve">(tagging) </w:t>
      </w:r>
      <w:r w:rsidRPr="00A55049">
        <w:rPr>
          <w:rFonts w:ascii="Times New Roman" w:eastAsia="Calibri" w:hAnsi="Times New Roman" w:cs="Times New Roman"/>
          <w:sz w:val="24"/>
          <w:szCs w:val="24"/>
        </w:rPr>
        <w:t>ir viens no populārākajiem “zaļā budžeta” instrumentiem, tomēr šobrīd nepastāv vienotas sistēmas šī uzdevuma veikšanā, katrai valstij attīstot sev piemērotu pieeju un risinājumu</w:t>
      </w:r>
      <w:r w:rsidRPr="008477C1">
        <w:rPr>
          <w:rFonts w:ascii="Times New Roman" w:eastAsia="Calibri" w:hAnsi="Times New Roman" w:cs="Times New Roman"/>
          <w:sz w:val="24"/>
          <w:szCs w:val="24"/>
        </w:rPr>
        <w:t xml:space="preserve">. </w:t>
      </w:r>
      <w:r w:rsidRPr="00A55049">
        <w:rPr>
          <w:rFonts w:ascii="Times New Roman" w:eastAsia="Calibri" w:hAnsi="Times New Roman" w:cs="Times New Roman"/>
          <w:sz w:val="24"/>
          <w:szCs w:val="24"/>
        </w:rPr>
        <w:t>Atšķirības</w:t>
      </w:r>
      <w:r w:rsidRPr="008477C1">
        <w:rPr>
          <w:rFonts w:ascii="Times New Roman" w:eastAsia="Calibri" w:hAnsi="Times New Roman" w:cs="Times New Roman"/>
          <w:sz w:val="24"/>
          <w:szCs w:val="24"/>
        </w:rPr>
        <w:t>, galvenokārt, ir novērojamas, jo var būt</w:t>
      </w:r>
      <w:r>
        <w:rPr>
          <w:rFonts w:ascii="Times New Roman" w:eastAsia="Calibri" w:hAnsi="Times New Roman" w:cs="Times New Roman"/>
          <w:sz w:val="24"/>
          <w:szCs w:val="24"/>
        </w:rPr>
        <w:t>:</w:t>
      </w:r>
      <w:r w:rsidRPr="008477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w:t>
      </w:r>
      <w:r w:rsidRPr="00A55049">
        <w:rPr>
          <w:rFonts w:ascii="Times New Roman" w:eastAsia="Calibri" w:hAnsi="Times New Roman" w:cs="Times New Roman"/>
          <w:sz w:val="24"/>
          <w:szCs w:val="24"/>
        </w:rPr>
        <w:t>dažādas budžeta shēmas, saskaņā ar kurām tiek veikta “zaļā budžeta” plānošana</w:t>
      </w:r>
      <w:r>
        <w:rPr>
          <w:rFonts w:ascii="Times New Roman" w:eastAsia="Calibri" w:hAnsi="Times New Roman" w:cs="Times New Roman"/>
          <w:sz w:val="24"/>
          <w:szCs w:val="24"/>
        </w:rPr>
        <w:t>;</w:t>
      </w:r>
      <w:r w:rsidRPr="00A550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 </w:t>
      </w:r>
      <w:r w:rsidRPr="00A55049">
        <w:rPr>
          <w:rFonts w:ascii="Times New Roman" w:eastAsia="Calibri" w:hAnsi="Times New Roman" w:cs="Times New Roman"/>
          <w:sz w:val="24"/>
          <w:szCs w:val="24"/>
        </w:rPr>
        <w:t>dažādas definīcijas tam, kas ir “zaļš”, dažādas valsts “zaļās” programmas un saistības, kas var būt par pamatu valstij raksturīga</w:t>
      </w:r>
      <w:r>
        <w:rPr>
          <w:rFonts w:ascii="Times New Roman" w:eastAsia="Calibri" w:hAnsi="Times New Roman" w:cs="Times New Roman"/>
          <w:sz w:val="24"/>
          <w:szCs w:val="24"/>
        </w:rPr>
        <w:t>i</w:t>
      </w:r>
      <w:r w:rsidRPr="00A55049">
        <w:rPr>
          <w:rFonts w:ascii="Times New Roman" w:eastAsia="Calibri" w:hAnsi="Times New Roman" w:cs="Times New Roman"/>
          <w:sz w:val="24"/>
          <w:szCs w:val="24"/>
        </w:rPr>
        <w:t xml:space="preserve"> “zaļ</w:t>
      </w:r>
      <w:r>
        <w:rPr>
          <w:rFonts w:ascii="Times New Roman" w:eastAsia="Calibri" w:hAnsi="Times New Roman" w:cs="Times New Roman"/>
          <w:sz w:val="24"/>
          <w:szCs w:val="24"/>
        </w:rPr>
        <w:t>š</w:t>
      </w:r>
      <w:r w:rsidRPr="00A55049">
        <w:rPr>
          <w:rFonts w:ascii="Times New Roman" w:eastAsia="Calibri" w:hAnsi="Times New Roman" w:cs="Times New Roman"/>
          <w:sz w:val="24"/>
          <w:szCs w:val="24"/>
        </w:rPr>
        <w:t>” definīcija</w:t>
      </w:r>
      <w:r>
        <w:rPr>
          <w:rFonts w:ascii="Times New Roman" w:eastAsia="Calibri" w:hAnsi="Times New Roman" w:cs="Times New Roman"/>
          <w:sz w:val="24"/>
          <w:szCs w:val="24"/>
        </w:rPr>
        <w:t>i; c)</w:t>
      </w:r>
      <w:r w:rsidRPr="00A55049">
        <w:rPr>
          <w:rFonts w:ascii="Times New Roman" w:eastAsia="Calibri" w:hAnsi="Times New Roman" w:cs="Times New Roman"/>
          <w:sz w:val="24"/>
          <w:szCs w:val="24"/>
        </w:rPr>
        <w:t xml:space="preserve"> atšķirīga administratīvā kapacitāte un politiskais atbalsts</w:t>
      </w:r>
      <w:r w:rsidRPr="009C5B4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C7356" w:rsidRPr="007C7356">
        <w:rPr>
          <w:rFonts w:ascii="Times New Roman" w:eastAsia="Calibri" w:hAnsi="Times New Roman" w:cs="Times New Roman"/>
          <w:sz w:val="24"/>
          <w:szCs w:val="24"/>
        </w:rPr>
        <w:t>ESAO</w:t>
      </w:r>
      <w:r w:rsidRPr="009C5B47">
        <w:rPr>
          <w:rFonts w:ascii="Times New Roman" w:eastAsia="Calibri" w:hAnsi="Times New Roman" w:cs="Times New Roman"/>
          <w:sz w:val="24"/>
          <w:szCs w:val="24"/>
        </w:rPr>
        <w:t xml:space="preserve"> uzskata, ka “zaļā budžeta” marķēšanas ieviešana, visticamāk, ir reforma, kas prasīs vairākus budžeta ciklus.</w:t>
      </w:r>
      <w:r w:rsidRPr="009C5B47">
        <w:rPr>
          <w:rFonts w:ascii="Times New Roman" w:hAnsi="Times New Roman" w:cs="Times New Roman"/>
        </w:rPr>
        <w:t xml:space="preserve"> “</w:t>
      </w:r>
      <w:r w:rsidRPr="009C5B47">
        <w:rPr>
          <w:rFonts w:ascii="Times New Roman" w:eastAsia="Calibri" w:hAnsi="Times New Roman" w:cs="Times New Roman"/>
          <w:sz w:val="24"/>
          <w:szCs w:val="24"/>
        </w:rPr>
        <w:t>Zaļā budžeta” marķēšanas pirmie gadi var būt īpaši izaicinoši. Turklāt tieši šajos pirmajos gados pieejas efektivitāte joprojām tiek pārbaudīta un pilnveidota</w:t>
      </w:r>
      <w:r w:rsidR="00F151DD" w:rsidRPr="009C5B47">
        <w:rPr>
          <w:rStyle w:val="FootnoteReference"/>
          <w:rFonts w:ascii="Times New Roman" w:eastAsia="Calibri" w:hAnsi="Times New Roman" w:cs="Times New Roman"/>
          <w:sz w:val="24"/>
          <w:szCs w:val="24"/>
        </w:rPr>
        <w:footnoteReference w:id="104"/>
      </w:r>
      <w:r w:rsidRPr="009C5B47">
        <w:rPr>
          <w:rFonts w:ascii="Times New Roman" w:eastAsia="Calibri" w:hAnsi="Times New Roman" w:cs="Times New Roman"/>
          <w:sz w:val="24"/>
          <w:szCs w:val="24"/>
        </w:rPr>
        <w:t>.</w:t>
      </w:r>
      <w:r>
        <w:rPr>
          <w:rFonts w:ascii="Times New Roman" w:eastAsia="Calibri" w:hAnsi="Times New Roman" w:cs="Times New Roman"/>
        </w:rPr>
        <w:t xml:space="preserve"> </w:t>
      </w:r>
    </w:p>
    <w:p w14:paraId="6AFA8FFB" w14:textId="12CC5C51" w:rsidR="00F151DD" w:rsidRPr="002132BB" w:rsidRDefault="4D451623" w:rsidP="00F151DD">
      <w:pPr>
        <w:pStyle w:val="Default"/>
        <w:ind w:firstLine="720"/>
        <w:jc w:val="both"/>
        <w:rPr>
          <w:rFonts w:ascii="Times New Roman" w:hAnsi="Times New Roman" w:cs="Times New Roman"/>
          <w:color w:val="212529"/>
          <w:sz w:val="23"/>
          <w:szCs w:val="23"/>
          <w:shd w:val="clear" w:color="auto" w:fill="FFFFFF"/>
        </w:rPr>
      </w:pPr>
      <w:r w:rsidRPr="00953B57">
        <w:t xml:space="preserve"> </w:t>
      </w:r>
      <w:r w:rsidRPr="00953B57">
        <w:rPr>
          <w:rFonts w:ascii="Times New Roman" w:hAnsi="Times New Roman" w:cs="Times New Roman"/>
          <w:color w:val="212529"/>
          <w:shd w:val="clear" w:color="auto" w:fill="FFFFFF"/>
        </w:rPr>
        <w:t xml:space="preserve">“Zaļā budžeta” </w:t>
      </w:r>
      <w:r w:rsidR="00440C2F">
        <w:rPr>
          <w:rFonts w:ascii="Times New Roman" w:hAnsi="Times New Roman" w:cs="Times New Roman"/>
          <w:color w:val="212529"/>
          <w:shd w:val="clear" w:color="auto" w:fill="FFFFFF"/>
        </w:rPr>
        <w:t xml:space="preserve">marķēšanas </w:t>
      </w:r>
      <w:r w:rsidRPr="00953B57">
        <w:rPr>
          <w:rFonts w:ascii="Times New Roman" w:hAnsi="Times New Roman" w:cs="Times New Roman"/>
          <w:color w:val="212529"/>
          <w:shd w:val="clear" w:color="auto" w:fill="FFFFFF"/>
        </w:rPr>
        <w:t xml:space="preserve">veidošanai nav universālas pieejas. Jebkurai pieejai būtu jābalstās uz valsts esošo publisko finanšu pārvaldības sistēmu, tādēļ tai jābūt saskaņotai ar esošā budžeta veidošanas procesa stiprajām pusēm un ierobežojumiem. Lai gan pati par sevi “zaļā budžeta” </w:t>
      </w:r>
      <w:r w:rsidR="00440C2F">
        <w:rPr>
          <w:rFonts w:ascii="Times New Roman" w:hAnsi="Times New Roman" w:cs="Times New Roman"/>
          <w:color w:val="212529"/>
          <w:shd w:val="clear" w:color="auto" w:fill="FFFFFF"/>
        </w:rPr>
        <w:t xml:space="preserve">marķēšanas </w:t>
      </w:r>
      <w:r w:rsidRPr="00953B57">
        <w:rPr>
          <w:rFonts w:ascii="Times New Roman" w:hAnsi="Times New Roman" w:cs="Times New Roman"/>
          <w:color w:val="212529"/>
          <w:shd w:val="clear" w:color="auto" w:fill="FFFFFF"/>
        </w:rPr>
        <w:t xml:space="preserve">veidošana nemaina esošās politikas, tā sniedz lēmumu pieņēmējiem skaidrāku izpratni par budžeta izdevumu vispārējo ietekmi uz vidi un klimatu. </w:t>
      </w:r>
      <w:bookmarkStart w:id="364" w:name="_Hlk172205259"/>
      <w:r>
        <w:rPr>
          <w:rFonts w:ascii="Times New Roman" w:hAnsi="Times New Roman" w:cs="Times New Roman"/>
          <w:color w:val="212529"/>
          <w:shd w:val="clear" w:color="auto" w:fill="FFFFFF"/>
        </w:rPr>
        <w:t>“</w:t>
      </w:r>
      <w:r w:rsidRPr="005468CA">
        <w:rPr>
          <w:rStyle w:val="cf01"/>
          <w:rFonts w:ascii="Times New Roman" w:hAnsi="Times New Roman" w:cs="Times New Roman"/>
          <w:sz w:val="24"/>
          <w:szCs w:val="24"/>
        </w:rPr>
        <w:t xml:space="preserve">Zaļā budžeta” marķēšana ļaus izzināt valsts budžeta </w:t>
      </w:r>
      <w:r w:rsidRPr="008D6DCF">
        <w:rPr>
          <w:rStyle w:val="cf01"/>
          <w:rFonts w:ascii="Times New Roman" w:hAnsi="Times New Roman" w:cs="Times New Roman"/>
          <w:i/>
          <w:iCs/>
          <w:sz w:val="24"/>
          <w:szCs w:val="24"/>
        </w:rPr>
        <w:t>status quo</w:t>
      </w:r>
      <w:r w:rsidRPr="005468CA">
        <w:rPr>
          <w:rStyle w:val="cf01"/>
          <w:rFonts w:ascii="Times New Roman" w:hAnsi="Times New Roman" w:cs="Times New Roman"/>
          <w:sz w:val="24"/>
          <w:szCs w:val="24"/>
        </w:rPr>
        <w:t xml:space="preserve"> attiecībā pret “zaļajām” un “brūnajām” budžeta pozīcijām</w:t>
      </w:r>
      <w:r w:rsidRPr="00125DF1">
        <w:rPr>
          <w:rFonts w:ascii="Times New Roman" w:hAnsi="Times New Roman" w:cs="Times New Roman"/>
        </w:rPr>
        <w:t xml:space="preserve">. </w:t>
      </w:r>
      <w:bookmarkEnd w:id="364"/>
    </w:p>
    <w:p w14:paraId="297276FD" w14:textId="05800125" w:rsidR="00F151DD" w:rsidRDefault="4D451623" w:rsidP="00F151DD">
      <w:pPr>
        <w:pStyle w:val="Heading2"/>
        <w:numPr>
          <w:ilvl w:val="0"/>
          <w:numId w:val="0"/>
        </w:numPr>
        <w:rPr>
          <w:rFonts w:cs="Times New Roman"/>
          <w:szCs w:val="24"/>
        </w:rPr>
      </w:pPr>
      <w:bookmarkStart w:id="365" w:name="_Hlk172204532"/>
      <w:bookmarkStart w:id="366" w:name="_Toc205554440"/>
      <w:bookmarkEnd w:id="362"/>
      <w:r w:rsidRPr="00467A45">
        <w:rPr>
          <w:rFonts w:cs="Times New Roman"/>
          <w:szCs w:val="24"/>
        </w:rPr>
        <w:t>6.2. “Zaļā budžeta” marķēšana Latvijā</w:t>
      </w:r>
      <w:bookmarkEnd w:id="365"/>
      <w:bookmarkEnd w:id="366"/>
    </w:p>
    <w:p w14:paraId="5C3B4502" w14:textId="42901619" w:rsidR="00FD1CCE" w:rsidRDefault="00F151DD" w:rsidP="008A74D1">
      <w:pPr>
        <w:pStyle w:val="Heading3"/>
        <w:numPr>
          <w:ilvl w:val="0"/>
          <w:numId w:val="0"/>
        </w:numPr>
        <w:jc w:val="center"/>
        <w:rPr>
          <w:rFonts w:ascii="Times New Roman" w:hAnsi="Times New Roman" w:cs="Times New Roman"/>
          <w:sz w:val="24"/>
          <w:szCs w:val="24"/>
        </w:rPr>
      </w:pPr>
      <w:bookmarkStart w:id="367" w:name="_Hlk172204555"/>
      <w:bookmarkStart w:id="368" w:name="_Toc205554441"/>
      <w:r w:rsidRPr="00945DC6">
        <w:rPr>
          <w:rFonts w:ascii="Times New Roman" w:hAnsi="Times New Roman" w:cs="Times New Roman"/>
          <w:sz w:val="24"/>
          <w:szCs w:val="24"/>
        </w:rPr>
        <w:t>6.2.1</w:t>
      </w:r>
      <w:r w:rsidR="005A3FF5">
        <w:rPr>
          <w:rFonts w:ascii="Times New Roman" w:hAnsi="Times New Roman" w:cs="Times New Roman"/>
          <w:sz w:val="24"/>
          <w:szCs w:val="24"/>
        </w:rPr>
        <w:t>.</w:t>
      </w:r>
      <w:r w:rsidRPr="00945DC6">
        <w:rPr>
          <w:rFonts w:ascii="Times New Roman" w:hAnsi="Times New Roman" w:cs="Times New Roman"/>
          <w:sz w:val="24"/>
          <w:szCs w:val="24"/>
        </w:rPr>
        <w:t xml:space="preserve"> “Zaļā budžeta” marķēšanas ieviešana Latvijā</w:t>
      </w:r>
      <w:bookmarkEnd w:id="367"/>
      <w:bookmarkEnd w:id="368"/>
    </w:p>
    <w:p w14:paraId="72CDBCEC" w14:textId="77777777" w:rsidR="008A74D1" w:rsidRPr="008A74D1" w:rsidRDefault="008A74D1" w:rsidP="008A74D1"/>
    <w:p w14:paraId="0B1D0C91" w14:textId="675F35B7" w:rsidR="00ED0AD5" w:rsidRDefault="44D3ACC1" w:rsidP="00ED0AD5">
      <w:pPr>
        <w:pStyle w:val="Default"/>
        <w:ind w:firstLine="720"/>
        <w:jc w:val="both"/>
        <w:rPr>
          <w:rFonts w:ascii="Times New Roman" w:eastAsia="Calibri" w:hAnsi="Times New Roman" w:cs="Times New Roman"/>
        </w:rPr>
      </w:pPr>
      <w:r w:rsidRPr="469479B5">
        <w:rPr>
          <w:rFonts w:ascii="Times New Roman" w:eastAsia="Calibri" w:hAnsi="Times New Roman" w:cs="Times New Roman"/>
        </w:rPr>
        <w:t>Latvijā “</w:t>
      </w:r>
      <w:r w:rsidR="00A65DED">
        <w:rPr>
          <w:rFonts w:ascii="Times New Roman" w:eastAsia="Calibri" w:hAnsi="Times New Roman" w:cs="Times New Roman"/>
        </w:rPr>
        <w:t>z</w:t>
      </w:r>
      <w:r w:rsidR="00A65DED" w:rsidRPr="469479B5">
        <w:rPr>
          <w:rFonts w:ascii="Times New Roman" w:eastAsia="Calibri" w:hAnsi="Times New Roman" w:cs="Times New Roman"/>
        </w:rPr>
        <w:t xml:space="preserve">aļā </w:t>
      </w:r>
      <w:r w:rsidRPr="469479B5">
        <w:rPr>
          <w:rFonts w:ascii="Times New Roman" w:eastAsia="Calibri" w:hAnsi="Times New Roman" w:cs="Times New Roman"/>
        </w:rPr>
        <w:t xml:space="preserve">budžeta” marķēšana tiks ieviesta pakāpeniski. Sākotnēji ir izstrādāti metodoloģijas pamatprincipi un </w:t>
      </w:r>
      <w:r w:rsidR="00E77721">
        <w:rPr>
          <w:rFonts w:ascii="Times New Roman" w:eastAsia="Calibri" w:hAnsi="Times New Roman" w:cs="Times New Roman"/>
        </w:rPr>
        <w:t xml:space="preserve">2024. gadā tika </w:t>
      </w:r>
      <w:r w:rsidRPr="469479B5">
        <w:rPr>
          <w:rFonts w:ascii="Times New Roman" w:eastAsia="Calibri" w:hAnsi="Times New Roman" w:cs="Times New Roman"/>
        </w:rPr>
        <w:t xml:space="preserve">veikts marķēšanas novērtējums </w:t>
      </w:r>
      <w:r w:rsidR="36C7D32D" w:rsidRPr="469479B5">
        <w:rPr>
          <w:rFonts w:ascii="Times New Roman" w:eastAsia="Times New Roman" w:hAnsi="Times New Roman"/>
        </w:rPr>
        <w:t>FM</w:t>
      </w:r>
      <w:r w:rsidR="36C7D32D" w:rsidRPr="469479B5">
        <w:rPr>
          <w:rFonts w:ascii="Times New Roman" w:eastAsia="Calibri" w:hAnsi="Times New Roman" w:cs="Times New Roman"/>
        </w:rPr>
        <w:t xml:space="preserve"> </w:t>
      </w:r>
      <w:r w:rsidRPr="469479B5">
        <w:rPr>
          <w:rFonts w:ascii="Times New Roman" w:eastAsia="Calibri" w:hAnsi="Times New Roman" w:cs="Times New Roman"/>
        </w:rPr>
        <w:t>iepriekšējā gada (2023.</w:t>
      </w:r>
      <w:r w:rsidR="5EAB06EC" w:rsidRPr="469479B5">
        <w:rPr>
          <w:rFonts w:ascii="Times New Roman" w:eastAsia="Calibri" w:hAnsi="Times New Roman" w:cs="Times New Roman"/>
        </w:rPr>
        <w:t xml:space="preserve"> </w:t>
      </w:r>
      <w:r w:rsidRPr="469479B5">
        <w:rPr>
          <w:rFonts w:ascii="Times New Roman" w:eastAsia="Calibri" w:hAnsi="Times New Roman" w:cs="Times New Roman"/>
        </w:rPr>
        <w:t xml:space="preserve">gada) izdevumiem saskaņā ar Eiropas Parlamenta un Padomes 2020. gada 18. jūnija Regulas (ES) 2020/852 par regulējuma izveidi ilgtspējīgu ieguldījumu veicināšanai (turpmāk </w:t>
      </w:r>
      <w:r w:rsidR="00597FA9" w:rsidRPr="469479B5">
        <w:rPr>
          <w:rFonts w:ascii="Times New Roman" w:hAnsi="Times New Roman" w:cs="Times New Roman"/>
          <w:color w:val="000000" w:themeColor="text1"/>
        </w:rPr>
        <w:t>–</w:t>
      </w:r>
      <w:r w:rsidRPr="469479B5">
        <w:rPr>
          <w:rFonts w:ascii="Times New Roman" w:eastAsia="Calibri" w:hAnsi="Times New Roman" w:cs="Times New Roman"/>
        </w:rPr>
        <w:t xml:space="preserve"> Taksonomijas regula) 10., 11., 12., 13., 14., 15. pantā noteiktajām darbībām, izņemot tehniskajiem pārbaudes kritērijiem</w:t>
      </w:r>
      <w:r w:rsidR="00E77721">
        <w:rPr>
          <w:rFonts w:ascii="Times New Roman" w:eastAsia="Calibri" w:hAnsi="Times New Roman" w:cs="Times New Roman"/>
        </w:rPr>
        <w:t>.</w:t>
      </w:r>
      <w:r w:rsidRPr="469479B5">
        <w:rPr>
          <w:rFonts w:ascii="Times New Roman" w:eastAsia="Calibri" w:hAnsi="Times New Roman" w:cs="Times New Roman"/>
        </w:rPr>
        <w:t xml:space="preserve"> </w:t>
      </w:r>
      <w:r w:rsidR="00E77721">
        <w:rPr>
          <w:rFonts w:ascii="Times New Roman" w:eastAsia="Calibri" w:hAnsi="Times New Roman" w:cs="Times New Roman"/>
        </w:rPr>
        <w:t>Šogad tika precizēti metodoloģijas pamatprincipi un paplašināts marķēšanas tvērums, marķējot visu valsts pamatbudžetu.</w:t>
      </w:r>
    </w:p>
    <w:p w14:paraId="7477BF22" w14:textId="4BC458C6" w:rsidR="00ED0AD5" w:rsidRDefault="44D3ACC1">
      <w:pPr>
        <w:pStyle w:val="Default"/>
        <w:ind w:firstLine="720"/>
        <w:jc w:val="both"/>
        <w:rPr>
          <w:rFonts w:ascii="Times New Roman" w:eastAsia="Calibri" w:hAnsi="Times New Roman" w:cs="Times New Roman"/>
        </w:rPr>
      </w:pPr>
      <w:bookmarkStart w:id="369" w:name="_Hlk204091132"/>
      <w:r w:rsidRPr="469479B5">
        <w:rPr>
          <w:rFonts w:ascii="Times New Roman" w:eastAsia="Calibri" w:hAnsi="Times New Roman" w:cs="Times New Roman"/>
        </w:rPr>
        <w:t xml:space="preserve">Pēc metodoloģijas apstiprināšanas </w:t>
      </w:r>
      <w:r w:rsidR="36C7D32D" w:rsidRPr="469479B5">
        <w:rPr>
          <w:rFonts w:ascii="Times New Roman" w:eastAsia="Times New Roman" w:hAnsi="Times New Roman"/>
        </w:rPr>
        <w:t>FM</w:t>
      </w:r>
      <w:r w:rsidR="36C7D32D" w:rsidRPr="469479B5">
        <w:rPr>
          <w:rFonts w:ascii="Times New Roman" w:eastAsia="Calibri" w:hAnsi="Times New Roman" w:cs="Times New Roman"/>
        </w:rPr>
        <w:t xml:space="preserve"> </w:t>
      </w:r>
      <w:r w:rsidRPr="469479B5">
        <w:rPr>
          <w:rFonts w:ascii="Times New Roman" w:eastAsia="Calibri" w:hAnsi="Times New Roman" w:cs="Times New Roman"/>
        </w:rPr>
        <w:t xml:space="preserve">veiks novērtējumu kārtējā gadā par iepriekšējo gadu un iekļaus </w:t>
      </w:r>
      <w:r w:rsidR="008D6DCF">
        <w:rPr>
          <w:rFonts w:ascii="Times New Roman" w:eastAsia="Calibri" w:hAnsi="Times New Roman" w:cs="Times New Roman"/>
        </w:rPr>
        <w:t>“</w:t>
      </w:r>
      <w:r w:rsidR="008D6DCF" w:rsidRPr="469479B5">
        <w:rPr>
          <w:rFonts w:ascii="Times New Roman" w:eastAsia="Calibri" w:hAnsi="Times New Roman" w:cs="Times New Roman"/>
        </w:rPr>
        <w:t>Klimata deklarācijā</w:t>
      </w:r>
      <w:r w:rsidR="008D6DCF">
        <w:rPr>
          <w:rFonts w:ascii="Times New Roman" w:eastAsia="Calibri" w:hAnsi="Times New Roman" w:cs="Times New Roman"/>
        </w:rPr>
        <w:t>”</w:t>
      </w:r>
      <w:r w:rsidRPr="469479B5">
        <w:rPr>
          <w:rFonts w:ascii="Times New Roman" w:eastAsia="Calibri" w:hAnsi="Times New Roman" w:cs="Times New Roman"/>
        </w:rPr>
        <w:t xml:space="preserve">, kas tiks pievienota nākamā gada </w:t>
      </w:r>
      <w:r w:rsidR="001141AD">
        <w:rPr>
          <w:rFonts w:ascii="Times New Roman" w:eastAsia="Calibri" w:hAnsi="Times New Roman" w:cs="Times New Roman"/>
        </w:rPr>
        <w:t>l</w:t>
      </w:r>
      <w:r w:rsidR="001141AD" w:rsidRPr="469479B5">
        <w:rPr>
          <w:rFonts w:ascii="Times New Roman" w:eastAsia="Calibri" w:hAnsi="Times New Roman" w:cs="Times New Roman"/>
        </w:rPr>
        <w:t xml:space="preserve">ikumam </w:t>
      </w:r>
      <w:r w:rsidRPr="469479B5">
        <w:rPr>
          <w:rFonts w:ascii="Times New Roman" w:eastAsia="Calibri" w:hAnsi="Times New Roman" w:cs="Times New Roman"/>
        </w:rPr>
        <w:t>par valsts budžetu kārtējam gadam un vidēja termiņa budžeta ietvaru</w:t>
      </w:r>
      <w:bookmarkEnd w:id="369"/>
      <w:r w:rsidRPr="469479B5">
        <w:rPr>
          <w:rFonts w:ascii="Times New Roman" w:eastAsia="Calibri" w:hAnsi="Times New Roman" w:cs="Times New Roman"/>
        </w:rPr>
        <w:t>. Novērtējuma metodoloģij</w:t>
      </w:r>
      <w:r w:rsidR="00E77721">
        <w:rPr>
          <w:rFonts w:ascii="Times New Roman" w:eastAsia="Calibri" w:hAnsi="Times New Roman" w:cs="Times New Roman"/>
        </w:rPr>
        <w:t>u</w:t>
      </w:r>
      <w:r w:rsidRPr="469479B5">
        <w:rPr>
          <w:rFonts w:ascii="Times New Roman" w:eastAsia="Calibri" w:hAnsi="Times New Roman" w:cs="Times New Roman"/>
        </w:rPr>
        <w:t xml:space="preserve"> plānots apstiprināt līdz 2026.</w:t>
      </w:r>
      <w:r w:rsidR="3716D56E" w:rsidRPr="469479B5">
        <w:rPr>
          <w:rFonts w:ascii="Times New Roman" w:hAnsi="Times New Roman" w:cs="Times New Roman"/>
          <w:b/>
          <w:bCs/>
        </w:rPr>
        <w:t xml:space="preserve"> </w:t>
      </w:r>
      <w:r w:rsidRPr="469479B5">
        <w:rPr>
          <w:rFonts w:ascii="Times New Roman" w:eastAsia="Calibri" w:hAnsi="Times New Roman" w:cs="Times New Roman"/>
        </w:rPr>
        <w:t xml:space="preserve">gada </w:t>
      </w:r>
      <w:r w:rsidR="00E77721">
        <w:rPr>
          <w:rFonts w:ascii="Times New Roman" w:eastAsia="Calibri" w:hAnsi="Times New Roman" w:cs="Times New Roman"/>
        </w:rPr>
        <w:t>1. jūlijam.</w:t>
      </w:r>
      <w:r w:rsidRPr="469479B5">
        <w:rPr>
          <w:rFonts w:ascii="Times New Roman" w:eastAsia="Calibri" w:hAnsi="Times New Roman" w:cs="Times New Roman"/>
        </w:rPr>
        <w:t xml:space="preserve"> Līdz tam laikam novērtējums tiks iekļauts šajā </w:t>
      </w:r>
      <w:r w:rsidR="00FD1CCE">
        <w:rPr>
          <w:rFonts w:ascii="Times New Roman" w:eastAsia="Calibri" w:hAnsi="Times New Roman" w:cs="Times New Roman"/>
        </w:rPr>
        <w:t>d</w:t>
      </w:r>
      <w:r w:rsidRPr="469479B5">
        <w:rPr>
          <w:rFonts w:ascii="Times New Roman" w:eastAsia="Calibri" w:hAnsi="Times New Roman" w:cs="Times New Roman"/>
        </w:rPr>
        <w:t>eklarācijā. Šī procesa īstenošanā</w:t>
      </w:r>
      <w:r w:rsidR="36C7D32D" w:rsidRPr="469479B5">
        <w:rPr>
          <w:rFonts w:ascii="Times New Roman" w:eastAsia="Times New Roman" w:hAnsi="Times New Roman"/>
        </w:rPr>
        <w:t xml:space="preserve"> FM</w:t>
      </w:r>
      <w:r w:rsidR="36C7D32D" w:rsidRPr="469479B5">
        <w:rPr>
          <w:rFonts w:ascii="Times New Roman" w:eastAsia="Calibri" w:hAnsi="Times New Roman" w:cs="Times New Roman"/>
        </w:rPr>
        <w:t xml:space="preserve"> </w:t>
      </w:r>
      <w:r w:rsidRPr="469479B5">
        <w:rPr>
          <w:rFonts w:ascii="Times New Roman" w:eastAsia="Calibri" w:hAnsi="Times New Roman" w:cs="Times New Roman"/>
        </w:rPr>
        <w:t>ir paredzama vadošā, bet KEM un VARAM konsultatīvā loma.</w:t>
      </w:r>
    </w:p>
    <w:p w14:paraId="422484BF" w14:textId="77777777" w:rsidR="00EC597C" w:rsidRDefault="00EC597C" w:rsidP="00ED0AD5">
      <w:pPr>
        <w:pStyle w:val="Default"/>
        <w:ind w:firstLine="720"/>
        <w:jc w:val="both"/>
        <w:rPr>
          <w:rFonts w:ascii="Times New Roman" w:eastAsia="Calibri" w:hAnsi="Times New Roman" w:cs="Times New Roman"/>
        </w:rPr>
      </w:pPr>
    </w:p>
    <w:p w14:paraId="4DD6D26F" w14:textId="246E1A5B" w:rsidR="00F151DD" w:rsidRPr="008477C1" w:rsidRDefault="00F151DD" w:rsidP="00EC597C">
      <w:pPr>
        <w:pStyle w:val="Heading3"/>
        <w:numPr>
          <w:ilvl w:val="0"/>
          <w:numId w:val="0"/>
        </w:numPr>
        <w:spacing w:after="240"/>
        <w:jc w:val="center"/>
        <w:rPr>
          <w:rFonts w:ascii="Times New Roman" w:hAnsi="Times New Roman" w:cs="Times New Roman"/>
        </w:rPr>
      </w:pPr>
      <w:bookmarkStart w:id="370" w:name="_Toc205554442"/>
      <w:r w:rsidRPr="00945DC6">
        <w:rPr>
          <w:rFonts w:ascii="Times New Roman" w:hAnsi="Times New Roman" w:cs="Times New Roman"/>
          <w:sz w:val="24"/>
          <w:szCs w:val="24"/>
        </w:rPr>
        <w:t>6.2.2</w:t>
      </w:r>
      <w:r w:rsidR="005A3FF5">
        <w:rPr>
          <w:rFonts w:ascii="Times New Roman" w:hAnsi="Times New Roman" w:cs="Times New Roman"/>
          <w:sz w:val="24"/>
          <w:szCs w:val="24"/>
        </w:rPr>
        <w:t>.</w:t>
      </w:r>
      <w:r w:rsidRPr="00945DC6">
        <w:rPr>
          <w:rFonts w:ascii="Times New Roman" w:hAnsi="Times New Roman" w:cs="Times New Roman"/>
          <w:sz w:val="24"/>
          <w:szCs w:val="24"/>
        </w:rPr>
        <w:t xml:space="preserve"> Izdevumu klasifikācijas pamatprincipi</w:t>
      </w:r>
      <w:bookmarkEnd w:id="370"/>
    </w:p>
    <w:p w14:paraId="4553BB60" w14:textId="01CCE4AC" w:rsidR="00F151DD" w:rsidRDefault="00A6076F" w:rsidP="00EC597C">
      <w:pPr>
        <w:pStyle w:val="tv213"/>
        <w:shd w:val="clear" w:color="auto" w:fill="FFFFFF"/>
        <w:spacing w:before="0" w:beforeAutospacing="0" w:after="0" w:afterAutospacing="0"/>
        <w:ind w:firstLine="720"/>
        <w:jc w:val="both"/>
      </w:pPr>
      <w:r>
        <w:t>“</w:t>
      </w:r>
      <w:r w:rsidR="00F151DD">
        <w:t>Zaļā budžeta</w:t>
      </w:r>
      <w:r>
        <w:t>”</w:t>
      </w:r>
      <w:r w:rsidR="00F151DD">
        <w:t xml:space="preserve"> marķēšanas pamatā tiek izmantota Taksonomijas regula, kurā ir aprakstītas kādas darbības būtiski veicina vai būtiski kaitē kādam no sešiem vides mērķiem, kas ir minēti šajā regulā, </w:t>
      </w:r>
      <w:r w:rsidR="00F151DD" w:rsidRPr="00E245DD">
        <w:t>a) klimata pārmaiņu mazināšana; b) pielāgošanās klimata pārmaiņām; c) ilgtspējīga ūdens un jūras resursu izmantošana un aizsardzība; d) pāreja uz aprites ekonomiku; e) piesārņojuma novēršana un kontrole; f) bioloģiskās daudzveidības un ekosistēmu aizsardzība un atjaunošana</w:t>
      </w:r>
      <w:r w:rsidR="00F151DD">
        <w:t>, un pielāgotā versijā tiek pielietota Latvijas pamatbudžeta izdevumu klasifikācijai.</w:t>
      </w:r>
    </w:p>
    <w:p w14:paraId="38481D8E" w14:textId="69E7F510" w:rsidR="00F151DD" w:rsidRDefault="00F151DD" w:rsidP="00962A15">
      <w:pPr>
        <w:pStyle w:val="tv213"/>
        <w:shd w:val="clear" w:color="auto" w:fill="FFFFFF"/>
        <w:spacing w:before="0" w:beforeAutospacing="0" w:after="0" w:afterAutospacing="0"/>
        <w:ind w:firstLine="720"/>
        <w:jc w:val="both"/>
      </w:pPr>
      <w:r>
        <w:t>Izdevumi</w:t>
      </w:r>
      <w:r w:rsidR="00B51093">
        <w:t>, galvenokārt,</w:t>
      </w:r>
      <w:r w:rsidRPr="00E245DD">
        <w:t xml:space="preserve"> </w:t>
      </w:r>
      <w:r w:rsidRPr="008477C1">
        <w:t>tiek marķēti</w:t>
      </w:r>
      <w:r w:rsidRPr="00E245DD">
        <w:t xml:space="preserve"> finansēšanas plān</w:t>
      </w:r>
      <w:r w:rsidRPr="008477C1">
        <w:t>u līmenī (izņēmumu gadījumos detalizētāk)</w:t>
      </w:r>
      <w:r w:rsidRPr="00E245DD">
        <w:t>, papildus precizējošo informāciju iegūstot no budžeta izpildes dokumentiem un komunikācijā ar iestādēm</w:t>
      </w:r>
      <w:r w:rsidR="00B51093">
        <w:rPr>
          <w:rStyle w:val="FootnoteReference"/>
        </w:rPr>
        <w:footnoteReference w:id="105"/>
      </w:r>
      <w:r w:rsidRPr="00E245DD">
        <w:t xml:space="preserve">. Pēc informācijas apkopošanas, izdevumi tiek </w:t>
      </w:r>
      <w:r>
        <w:t>klasificēti</w:t>
      </w:r>
      <w:r w:rsidRPr="00E245DD">
        <w:t xml:space="preserve"> at</w:t>
      </w:r>
      <w:r>
        <w:t xml:space="preserve">bilstoši piecām kategorijām: </w:t>
      </w:r>
    </w:p>
    <w:p w14:paraId="41A29598" w14:textId="2ABC5E25"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Labvēlīgi</w:t>
      </w:r>
      <w:r w:rsidR="00066409">
        <w:rPr>
          <w:b/>
          <w:bCs/>
        </w:rPr>
        <w:t>e</w:t>
      </w:r>
      <w:r>
        <w:rPr>
          <w:b/>
          <w:bCs/>
        </w:rPr>
        <w:t>”</w:t>
      </w:r>
      <w:r w:rsidR="00F151DD">
        <w:t>–</w:t>
      </w:r>
      <w:r w:rsidR="00F151DD" w:rsidRPr="00CF664A">
        <w:t xml:space="preserve"> </w:t>
      </w:r>
      <w:r w:rsidR="00ED0AD5">
        <w:t>i</w:t>
      </w:r>
      <w:r w:rsidR="00F151DD">
        <w:t>zdevumi</w:t>
      </w:r>
      <w:r w:rsidR="00F151DD" w:rsidRPr="00CF664A">
        <w:t xml:space="preserve"> būtiski sekmē vienu vai vairākus vides mērķ</w:t>
      </w:r>
      <w:r w:rsidR="00F151DD">
        <w:t>us, vienlaicīgi</w:t>
      </w:r>
      <w:r w:rsidR="00F151DD" w:rsidRPr="00484354">
        <w:t xml:space="preserve"> nerad</w:t>
      </w:r>
      <w:r w:rsidR="00F151DD">
        <w:t>ot</w:t>
      </w:r>
      <w:r w:rsidR="00F151DD" w:rsidRPr="00484354">
        <w:t xml:space="preserve"> būtisku kaitējumu nevienam </w:t>
      </w:r>
      <w:r w:rsidR="00F151DD">
        <w:t>no</w:t>
      </w:r>
      <w:r w:rsidR="00F151DD" w:rsidRPr="00484354">
        <w:t xml:space="preserve"> vides mērķiem</w:t>
      </w:r>
      <w:r w:rsidR="00F151DD">
        <w:t>;</w:t>
      </w:r>
    </w:p>
    <w:p w14:paraId="1551CD3A" w14:textId="56D60F73"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Nelabvēlīgi</w:t>
      </w:r>
      <w:r w:rsidR="00066409">
        <w:rPr>
          <w:b/>
          <w:bCs/>
        </w:rPr>
        <w:t>e</w:t>
      </w:r>
      <w:r>
        <w:rPr>
          <w:b/>
          <w:bCs/>
        </w:rPr>
        <w:t>”</w:t>
      </w:r>
      <w:r w:rsidR="00597FA9" w:rsidRPr="469479B5">
        <w:rPr>
          <w:color w:val="000000" w:themeColor="text1"/>
        </w:rPr>
        <w:t>–</w:t>
      </w:r>
      <w:r w:rsidR="00F151DD">
        <w:t xml:space="preserve"> </w:t>
      </w:r>
      <w:r w:rsidR="00ED0AD5">
        <w:t>i</w:t>
      </w:r>
      <w:r w:rsidR="00F151DD">
        <w:t>zdevumi</w:t>
      </w:r>
      <w:r w:rsidR="00F151DD" w:rsidRPr="00CF664A">
        <w:t xml:space="preserve"> būtiski </w:t>
      </w:r>
      <w:r w:rsidR="00F151DD">
        <w:t>kaitē</w:t>
      </w:r>
      <w:r w:rsidR="00F151DD" w:rsidRPr="00CF664A">
        <w:t xml:space="preserve"> vien</w:t>
      </w:r>
      <w:r w:rsidR="00F151DD">
        <w:t>am</w:t>
      </w:r>
      <w:r w:rsidR="00F151DD" w:rsidRPr="00CF664A">
        <w:t xml:space="preserve"> vai vairāk</w:t>
      </w:r>
      <w:r w:rsidR="00F151DD">
        <w:t>iem</w:t>
      </w:r>
      <w:r w:rsidR="00F151DD" w:rsidRPr="00CF664A">
        <w:t xml:space="preserve"> vides mērķ</w:t>
      </w:r>
      <w:r w:rsidR="00F151DD">
        <w:t>iem, vienlaicīgi būtiski</w:t>
      </w:r>
      <w:r w:rsidR="00F151DD" w:rsidRPr="00484354">
        <w:t xml:space="preserve"> ne</w:t>
      </w:r>
      <w:r w:rsidR="00F151DD">
        <w:t>sekmējot</w:t>
      </w:r>
      <w:r w:rsidR="00F151DD" w:rsidRPr="00484354">
        <w:t xml:space="preserve"> nevien</w:t>
      </w:r>
      <w:r w:rsidR="00F151DD">
        <w:t>u</w:t>
      </w:r>
      <w:r w:rsidR="00F151DD" w:rsidRPr="00484354">
        <w:t xml:space="preserve"> </w:t>
      </w:r>
      <w:r w:rsidR="00F151DD">
        <w:t>no</w:t>
      </w:r>
      <w:r w:rsidR="00F151DD" w:rsidRPr="00484354">
        <w:t xml:space="preserve"> vides mērķiem</w:t>
      </w:r>
      <w:r w:rsidR="00F151DD">
        <w:t>;</w:t>
      </w:r>
    </w:p>
    <w:p w14:paraId="7E3AD7D9" w14:textId="6CB69EFC"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Jaukti</w:t>
      </w:r>
      <w:r w:rsidR="00066409">
        <w:rPr>
          <w:b/>
          <w:bCs/>
        </w:rPr>
        <w:t>e</w:t>
      </w:r>
      <w:r>
        <w:rPr>
          <w:b/>
          <w:bCs/>
        </w:rPr>
        <w:t>”</w:t>
      </w:r>
      <w:r w:rsidR="00F151DD">
        <w:t xml:space="preserve">– </w:t>
      </w:r>
      <w:r w:rsidR="00ED0AD5">
        <w:t>i</w:t>
      </w:r>
      <w:r w:rsidR="00F151DD">
        <w:t>zdevumi vienlaicīgi gan</w:t>
      </w:r>
      <w:r w:rsidR="00F151DD" w:rsidRPr="00CF664A">
        <w:t xml:space="preserve"> būtiski sekmē vienu vai vairākus vides mērķ</w:t>
      </w:r>
      <w:r w:rsidR="00F151DD">
        <w:t>us, gan rada būtisku kaitējumu vienam vai vairākiem vides mērķiem;</w:t>
      </w:r>
    </w:p>
    <w:p w14:paraId="32779F5C" w14:textId="7DC851A6"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Neitrāl</w:t>
      </w:r>
      <w:r w:rsidR="00B51093">
        <w:rPr>
          <w:b/>
          <w:bCs/>
        </w:rPr>
        <w:t>i</w:t>
      </w:r>
      <w:r w:rsidR="00066409">
        <w:rPr>
          <w:b/>
          <w:bCs/>
        </w:rPr>
        <w:t>e</w:t>
      </w:r>
      <w:r>
        <w:rPr>
          <w:b/>
          <w:bCs/>
        </w:rPr>
        <w:t>”</w:t>
      </w:r>
      <w:r w:rsidR="00F151DD">
        <w:t xml:space="preserve">– </w:t>
      </w:r>
      <w:r w:rsidR="00ED0AD5">
        <w:t>i</w:t>
      </w:r>
      <w:r w:rsidR="00F151DD">
        <w:t>zdevumiem nav novērojama būtiska ietekme uz kādu no vides mērķiem;</w:t>
      </w:r>
    </w:p>
    <w:p w14:paraId="32296C42" w14:textId="2B5FAF99"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Neskaidr</w:t>
      </w:r>
      <w:r w:rsidR="00B51093">
        <w:rPr>
          <w:b/>
          <w:bCs/>
        </w:rPr>
        <w:t>i</w:t>
      </w:r>
      <w:r w:rsidR="00066409">
        <w:rPr>
          <w:b/>
          <w:bCs/>
        </w:rPr>
        <w:t>e</w:t>
      </w:r>
      <w:r>
        <w:rPr>
          <w:b/>
          <w:bCs/>
        </w:rPr>
        <w:t>”</w:t>
      </w:r>
      <w:r w:rsidR="00F151DD">
        <w:t xml:space="preserve">– </w:t>
      </w:r>
      <w:r w:rsidR="00ED0AD5">
        <w:t>n</w:t>
      </w:r>
      <w:r w:rsidR="00F151DD">
        <w:t>av pietiekošas informācijas, lai novērtētu izdevumu ietekmi uz visiem vides mērķiem</w:t>
      </w:r>
      <w:r w:rsidR="00B51093">
        <w:t>.</w:t>
      </w:r>
    </w:p>
    <w:p w14:paraId="7A2ADFAA" w14:textId="77777777" w:rsidR="00F151DD" w:rsidRDefault="00F151DD" w:rsidP="00962A15">
      <w:pPr>
        <w:pStyle w:val="tv213"/>
        <w:shd w:val="clear" w:color="auto" w:fill="FFFFFF"/>
        <w:spacing w:before="0" w:beforeAutospacing="0" w:after="0" w:afterAutospacing="0"/>
        <w:ind w:firstLine="720"/>
        <w:jc w:val="both"/>
      </w:pPr>
      <w:r w:rsidRPr="008477C1">
        <w:rPr>
          <w:b/>
          <w:bCs/>
        </w:rPr>
        <w:t>Izdevumi būtiski sekmē</w:t>
      </w:r>
      <w:r>
        <w:rPr>
          <w:b/>
          <w:bCs/>
        </w:rPr>
        <w:t>,</w:t>
      </w:r>
      <w:r>
        <w:t xml:space="preserve"> kādu no vides mērķiem, ja tie veicina vai atbilst kādai no darbībām (izņemot tehniskajiem pārbaudes kritērijiem), kas norādītas 10. panta 1. un 2. punktā, 11. panta 1. punktā, 12. panta 1. punktā, 13. panta 1. punktā, 14. panta 1. punktā un 15. panta 1. punktā. </w:t>
      </w:r>
      <w:r w:rsidRPr="008477C1">
        <w:rPr>
          <w:b/>
          <w:bCs/>
        </w:rPr>
        <w:t>Izdevumi būtiski kaitē</w:t>
      </w:r>
      <w:r>
        <w:rPr>
          <w:b/>
          <w:bCs/>
        </w:rPr>
        <w:t>,</w:t>
      </w:r>
      <w:r>
        <w:t xml:space="preserve"> kādam no vides mērķiem, ja izdevumu radītais kaitējums atbilst kādam no 17. panta 1. punkta a); b); c); d); e); f) apakšpunktiem (izņemot tehniskajiem pārbaudes kritērijiem).</w:t>
      </w:r>
    </w:p>
    <w:p w14:paraId="59D365BB" w14:textId="10E05C26" w:rsidR="00F151DD" w:rsidRDefault="00F151DD" w:rsidP="008959CF">
      <w:pPr>
        <w:pStyle w:val="Heading3"/>
        <w:numPr>
          <w:ilvl w:val="0"/>
          <w:numId w:val="0"/>
        </w:numPr>
        <w:spacing w:after="240"/>
        <w:jc w:val="center"/>
        <w:rPr>
          <w:rFonts w:ascii="Times New Roman" w:hAnsi="Times New Roman" w:cs="Times New Roman"/>
          <w:sz w:val="24"/>
          <w:szCs w:val="24"/>
        </w:rPr>
      </w:pPr>
      <w:bookmarkStart w:id="371" w:name="_Toc205554443"/>
      <w:r w:rsidRPr="00945DC6">
        <w:rPr>
          <w:rFonts w:ascii="Times New Roman" w:hAnsi="Times New Roman" w:cs="Times New Roman"/>
          <w:sz w:val="24"/>
          <w:szCs w:val="24"/>
        </w:rPr>
        <w:t xml:space="preserve">6.2.3. </w:t>
      </w:r>
      <w:r w:rsidR="00F10E8F" w:rsidRPr="00945DC6">
        <w:rPr>
          <w:rFonts w:ascii="Times New Roman" w:hAnsi="Times New Roman" w:cs="Times New Roman"/>
          <w:sz w:val="24"/>
          <w:szCs w:val="24"/>
        </w:rPr>
        <w:t>Valsts pamatbudžeta izdevumu</w:t>
      </w:r>
      <w:r w:rsidRPr="00945DC6">
        <w:rPr>
          <w:rFonts w:ascii="Times New Roman" w:hAnsi="Times New Roman" w:cs="Times New Roman"/>
          <w:sz w:val="24"/>
          <w:szCs w:val="24"/>
        </w:rPr>
        <w:t xml:space="preserve"> “zaļais budžets”</w:t>
      </w:r>
      <w:bookmarkEnd w:id="371"/>
    </w:p>
    <w:p w14:paraId="0754FE64" w14:textId="370E6042" w:rsidR="00EB2103" w:rsidRDefault="0083210C" w:rsidP="00F455BF">
      <w:pPr>
        <w:spacing w:after="0"/>
        <w:ind w:firstLine="720"/>
        <w:jc w:val="both"/>
        <w:rPr>
          <w:rFonts w:ascii="Times New Roman" w:hAnsi="Times New Roman" w:cs="Times New Roman"/>
          <w:sz w:val="24"/>
          <w:szCs w:val="24"/>
        </w:rPr>
      </w:pPr>
      <w:r>
        <w:rPr>
          <w:rFonts w:ascii="Times New Roman" w:hAnsi="Times New Roman" w:cs="Times New Roman"/>
          <w:sz w:val="24"/>
          <w:szCs w:val="24"/>
        </w:rPr>
        <w:t>Šajā d</w:t>
      </w:r>
      <w:r w:rsidR="29F882B4">
        <w:rPr>
          <w:rFonts w:ascii="Times New Roman" w:hAnsi="Times New Roman" w:cs="Times New Roman"/>
          <w:sz w:val="24"/>
          <w:szCs w:val="24"/>
        </w:rPr>
        <w:t xml:space="preserve">eklarācijā tiek analizēti tikai 2023. gada </w:t>
      </w:r>
      <w:r w:rsidR="00081D2D">
        <w:rPr>
          <w:rFonts w:ascii="Times New Roman" w:hAnsi="Times New Roman" w:cs="Times New Roman"/>
          <w:sz w:val="24"/>
          <w:szCs w:val="24"/>
        </w:rPr>
        <w:t>valsts pamatbudžeta</w:t>
      </w:r>
      <w:r w:rsidR="36C7D32D">
        <w:rPr>
          <w:rFonts w:ascii="Times New Roman" w:hAnsi="Times New Roman" w:cs="Times New Roman"/>
          <w:sz w:val="24"/>
          <w:szCs w:val="24"/>
        </w:rPr>
        <w:t xml:space="preserve"> </w:t>
      </w:r>
      <w:r w:rsidR="29F882B4">
        <w:rPr>
          <w:rFonts w:ascii="Times New Roman" w:hAnsi="Times New Roman" w:cs="Times New Roman"/>
          <w:sz w:val="24"/>
          <w:szCs w:val="24"/>
        </w:rPr>
        <w:t xml:space="preserve">izdevumi, kas tika marķēti neformālās </w:t>
      </w:r>
      <w:r w:rsidR="005408AF">
        <w:rPr>
          <w:rFonts w:ascii="Times New Roman" w:hAnsi="Times New Roman" w:cs="Times New Roman"/>
          <w:sz w:val="24"/>
          <w:szCs w:val="24"/>
        </w:rPr>
        <w:t xml:space="preserve">darba </w:t>
      </w:r>
      <w:r w:rsidR="29F882B4">
        <w:rPr>
          <w:rFonts w:ascii="Times New Roman" w:hAnsi="Times New Roman" w:cs="Times New Roman"/>
          <w:sz w:val="24"/>
          <w:szCs w:val="24"/>
        </w:rPr>
        <w:t xml:space="preserve">grupas ietvarā, </w:t>
      </w:r>
      <w:r w:rsidR="36C7D32D">
        <w:rPr>
          <w:rFonts w:ascii="Times New Roman" w:eastAsia="Times New Roman" w:hAnsi="Times New Roman"/>
          <w:sz w:val="24"/>
          <w:szCs w:val="24"/>
        </w:rPr>
        <w:t>FM</w:t>
      </w:r>
      <w:r w:rsidR="36C7D32D">
        <w:rPr>
          <w:rFonts w:ascii="Times New Roman" w:hAnsi="Times New Roman" w:cs="Times New Roman"/>
          <w:sz w:val="24"/>
          <w:szCs w:val="24"/>
        </w:rPr>
        <w:t xml:space="preserve"> </w:t>
      </w:r>
      <w:r w:rsidR="29F882B4">
        <w:rPr>
          <w:rFonts w:ascii="Times New Roman" w:hAnsi="Times New Roman" w:cs="Times New Roman"/>
          <w:sz w:val="24"/>
          <w:szCs w:val="24"/>
        </w:rPr>
        <w:t>pārstāvjiem sadarbojoties ar KEM, kā arī VARAM pārstāvjiem. Kopumā tika marķēti izdevumi</w:t>
      </w:r>
      <w:r w:rsidR="00081D2D">
        <w:rPr>
          <w:rFonts w:ascii="Times New Roman" w:hAnsi="Times New Roman" w:cs="Times New Roman"/>
          <w:sz w:val="24"/>
          <w:szCs w:val="24"/>
        </w:rPr>
        <w:t xml:space="preserve"> 10 571,33</w:t>
      </w:r>
      <w:r w:rsidR="29F882B4">
        <w:rPr>
          <w:rFonts w:ascii="Times New Roman" w:hAnsi="Times New Roman" w:cs="Times New Roman"/>
          <w:sz w:val="24"/>
          <w:szCs w:val="24"/>
        </w:rPr>
        <w:t xml:space="preserve"> milj. </w:t>
      </w:r>
      <w:r w:rsidR="29F882B4" w:rsidRPr="469479B5">
        <w:rPr>
          <w:rFonts w:ascii="Times New Roman" w:hAnsi="Times New Roman" w:cs="Times New Roman"/>
          <w:i/>
          <w:iCs/>
          <w:sz w:val="24"/>
          <w:szCs w:val="24"/>
        </w:rPr>
        <w:t>euro</w:t>
      </w:r>
      <w:r w:rsidR="29F882B4">
        <w:rPr>
          <w:rFonts w:ascii="Times New Roman" w:hAnsi="Times New Roman" w:cs="Times New Roman"/>
          <w:sz w:val="24"/>
          <w:szCs w:val="24"/>
        </w:rPr>
        <w:t xml:space="preserve"> apmērā. L</w:t>
      </w:r>
      <w:r w:rsidR="29F882B4" w:rsidRPr="006E7755">
        <w:rPr>
          <w:rFonts w:ascii="Times New Roman" w:hAnsi="Times New Roman" w:cs="Times New Roman"/>
          <w:sz w:val="24"/>
          <w:szCs w:val="24"/>
        </w:rPr>
        <w:t>ai izvairītos no dubultas finansējuma uzskaites</w:t>
      </w:r>
      <w:r w:rsidR="005226AA">
        <w:rPr>
          <w:rFonts w:ascii="Times New Roman" w:hAnsi="Times New Roman" w:cs="Times New Roman"/>
          <w:sz w:val="24"/>
          <w:szCs w:val="24"/>
        </w:rPr>
        <w:t>,</w:t>
      </w:r>
      <w:r w:rsidR="29F882B4">
        <w:rPr>
          <w:rFonts w:ascii="Times New Roman" w:hAnsi="Times New Roman" w:cs="Times New Roman"/>
          <w:sz w:val="24"/>
          <w:szCs w:val="24"/>
        </w:rPr>
        <w:t xml:space="preserve"> netika marķēti izdevumi, kuri ietilpst EKK </w:t>
      </w:r>
      <w:r w:rsidR="29F882B4" w:rsidRPr="00A3283F">
        <w:rPr>
          <w:rFonts w:ascii="Times New Roman" w:hAnsi="Times New Roman" w:cs="Times New Roman"/>
          <w:sz w:val="24"/>
          <w:szCs w:val="24"/>
        </w:rPr>
        <w:t>7</w:t>
      </w:r>
      <w:r w:rsidR="00081D2D">
        <w:rPr>
          <w:rFonts w:ascii="Times New Roman" w:hAnsi="Times New Roman" w:cs="Times New Roman"/>
          <w:sz w:val="24"/>
          <w:szCs w:val="24"/>
        </w:rPr>
        <w:t>5</w:t>
      </w:r>
      <w:r w:rsidR="29F882B4" w:rsidRPr="00A3283F">
        <w:rPr>
          <w:rFonts w:ascii="Times New Roman" w:hAnsi="Times New Roman" w:cs="Times New Roman"/>
          <w:sz w:val="24"/>
          <w:szCs w:val="24"/>
        </w:rPr>
        <w:t>00</w:t>
      </w:r>
      <w:r w:rsidR="008D2EEE">
        <w:rPr>
          <w:rFonts w:ascii="Times New Roman" w:hAnsi="Times New Roman" w:cs="Times New Roman"/>
          <w:sz w:val="24"/>
          <w:szCs w:val="24"/>
        </w:rPr>
        <w:t xml:space="preserve"> </w:t>
      </w:r>
      <w:r w:rsidR="00081D2D">
        <w:rPr>
          <w:rFonts w:ascii="Times New Roman" w:hAnsi="Times New Roman" w:cs="Times New Roman"/>
          <w:sz w:val="24"/>
          <w:szCs w:val="24"/>
        </w:rPr>
        <w:t>“</w:t>
      </w:r>
      <w:r w:rsidR="00081D2D" w:rsidRPr="00265D51">
        <w:rPr>
          <w:rFonts w:ascii="Times New Roman" w:hAnsi="Times New Roman" w:cs="Times New Roman"/>
          <w:sz w:val="24"/>
          <w:szCs w:val="24"/>
        </w:rPr>
        <w:t>Atmaksa valsts budžetā par veiktajiem izdevumiem</w:t>
      </w:r>
      <w:r w:rsidR="00081D2D">
        <w:rPr>
          <w:rFonts w:ascii="Times New Roman" w:hAnsi="Times New Roman" w:cs="Times New Roman"/>
          <w:sz w:val="24"/>
          <w:szCs w:val="24"/>
        </w:rPr>
        <w:t>”</w:t>
      </w:r>
      <w:r w:rsidR="29F882B4">
        <w:rPr>
          <w:rFonts w:ascii="Times New Roman" w:hAnsi="Times New Roman" w:cs="Times New Roman"/>
          <w:sz w:val="24"/>
          <w:szCs w:val="24"/>
        </w:rPr>
        <w:t xml:space="preserve"> un </w:t>
      </w:r>
      <w:r w:rsidR="29F882B4" w:rsidRPr="0055562B">
        <w:rPr>
          <w:rFonts w:ascii="Times New Roman" w:hAnsi="Times New Roman" w:cs="Times New Roman"/>
          <w:sz w:val="24"/>
          <w:szCs w:val="24"/>
        </w:rPr>
        <w:t>7130</w:t>
      </w:r>
      <w:r w:rsidR="29F882B4">
        <w:rPr>
          <w:rFonts w:ascii="Times New Roman" w:hAnsi="Times New Roman" w:cs="Times New Roman"/>
          <w:sz w:val="24"/>
          <w:szCs w:val="24"/>
        </w:rPr>
        <w:t xml:space="preserve"> “</w:t>
      </w:r>
      <w:r w:rsidR="29F882B4" w:rsidRPr="0055562B">
        <w:rPr>
          <w:rFonts w:ascii="Times New Roman" w:hAnsi="Times New Roman" w:cs="Times New Roman"/>
          <w:sz w:val="24"/>
          <w:szCs w:val="24"/>
        </w:rPr>
        <w:t>Valsts budžeta transferti no valsts pamatbudžeta uz valsts pamatbudžetu</w:t>
      </w:r>
      <w:r w:rsidR="29F882B4">
        <w:rPr>
          <w:rFonts w:ascii="Times New Roman" w:hAnsi="Times New Roman" w:cs="Times New Roman"/>
          <w:sz w:val="24"/>
          <w:szCs w:val="24"/>
        </w:rPr>
        <w:t>”</w:t>
      </w:r>
      <w:r w:rsidR="00081D2D">
        <w:rPr>
          <w:rFonts w:ascii="Times New Roman" w:hAnsi="Times New Roman" w:cs="Times New Roman"/>
          <w:sz w:val="24"/>
          <w:szCs w:val="24"/>
        </w:rPr>
        <w:t>.</w:t>
      </w:r>
    </w:p>
    <w:p w14:paraId="338BD15A" w14:textId="09635E2E" w:rsidR="00F151DD" w:rsidRPr="00945DC6" w:rsidRDefault="008D2EEE" w:rsidP="00945DC6">
      <w:pPr>
        <w:ind w:firstLine="720"/>
        <w:jc w:val="both"/>
        <w:rPr>
          <w:noProof/>
        </w:rPr>
      </w:pPr>
      <w:r>
        <w:rPr>
          <w:rFonts w:ascii="Times New Roman" w:hAnsi="Times New Roman" w:cs="Times New Roman"/>
          <w:sz w:val="24"/>
          <w:szCs w:val="24"/>
        </w:rPr>
        <w:t xml:space="preserve">Lielākā daļa </w:t>
      </w:r>
      <w:r w:rsidR="00081D2D">
        <w:rPr>
          <w:rFonts w:ascii="Times New Roman" w:hAnsi="Times New Roman" w:cs="Times New Roman"/>
          <w:sz w:val="24"/>
          <w:szCs w:val="24"/>
        </w:rPr>
        <w:t xml:space="preserve">valsts pamatbudžeta izdevumu </w:t>
      </w:r>
      <w:r>
        <w:rPr>
          <w:rFonts w:ascii="Times New Roman" w:hAnsi="Times New Roman" w:cs="Times New Roman"/>
          <w:sz w:val="24"/>
          <w:szCs w:val="24"/>
        </w:rPr>
        <w:t xml:space="preserve">jeb </w:t>
      </w:r>
      <w:r w:rsidR="00081D2D">
        <w:rPr>
          <w:rFonts w:ascii="Times New Roman" w:hAnsi="Times New Roman" w:cs="Times New Roman"/>
          <w:sz w:val="24"/>
          <w:szCs w:val="24"/>
        </w:rPr>
        <w:t>6 917,73</w:t>
      </w:r>
      <w:r>
        <w:rPr>
          <w:rFonts w:ascii="Times New Roman" w:hAnsi="Times New Roman" w:cs="Times New Roman"/>
          <w:sz w:val="24"/>
          <w:szCs w:val="24"/>
        </w:rPr>
        <w:t xml:space="preserve"> milj. </w:t>
      </w:r>
      <w:r w:rsidRPr="00704AE4">
        <w:rPr>
          <w:rFonts w:ascii="Times New Roman" w:hAnsi="Times New Roman" w:cs="Times New Roman"/>
          <w:i/>
          <w:iCs/>
          <w:sz w:val="24"/>
          <w:szCs w:val="24"/>
        </w:rPr>
        <w:t>euro</w:t>
      </w:r>
      <w:r>
        <w:rPr>
          <w:rFonts w:ascii="Times New Roman" w:hAnsi="Times New Roman" w:cs="Times New Roman"/>
          <w:sz w:val="24"/>
          <w:szCs w:val="24"/>
        </w:rPr>
        <w:t xml:space="preserve"> (</w:t>
      </w:r>
      <w:r w:rsidR="00081D2D">
        <w:rPr>
          <w:rFonts w:ascii="Times New Roman" w:hAnsi="Times New Roman" w:cs="Times New Roman"/>
          <w:sz w:val="24"/>
          <w:szCs w:val="24"/>
        </w:rPr>
        <w:t>65,44</w:t>
      </w:r>
      <w:r>
        <w:rPr>
          <w:rFonts w:ascii="Times New Roman" w:hAnsi="Times New Roman" w:cs="Times New Roman"/>
          <w:sz w:val="24"/>
          <w:szCs w:val="24"/>
        </w:rPr>
        <w:t>%) ir marķēti kā “</w:t>
      </w:r>
      <w:r w:rsidR="00081D2D">
        <w:rPr>
          <w:rFonts w:ascii="Times New Roman" w:hAnsi="Times New Roman" w:cs="Times New Roman"/>
          <w:sz w:val="24"/>
          <w:szCs w:val="24"/>
        </w:rPr>
        <w:t>N</w:t>
      </w:r>
      <w:r>
        <w:rPr>
          <w:rFonts w:ascii="Times New Roman" w:hAnsi="Times New Roman" w:cs="Times New Roman"/>
          <w:sz w:val="24"/>
          <w:szCs w:val="24"/>
        </w:rPr>
        <w:t>eitrāli</w:t>
      </w:r>
      <w:r w:rsidR="00A6678C">
        <w:rPr>
          <w:rFonts w:ascii="Times New Roman" w:hAnsi="Times New Roman" w:cs="Times New Roman"/>
          <w:sz w:val="24"/>
          <w:szCs w:val="24"/>
        </w:rPr>
        <w:t>e</w:t>
      </w:r>
      <w:r>
        <w:rPr>
          <w:rFonts w:ascii="Times New Roman" w:hAnsi="Times New Roman" w:cs="Times New Roman"/>
          <w:sz w:val="24"/>
          <w:szCs w:val="24"/>
        </w:rPr>
        <w:t>” (skat. 6.2.3.1. attēlā). Izdevumu apjoms, kas ir klasificēts kā “</w:t>
      </w:r>
      <w:r w:rsidR="00081D2D">
        <w:rPr>
          <w:rFonts w:ascii="Times New Roman" w:hAnsi="Times New Roman" w:cs="Times New Roman"/>
          <w:sz w:val="24"/>
          <w:szCs w:val="24"/>
        </w:rPr>
        <w:t>L</w:t>
      </w:r>
      <w:r>
        <w:rPr>
          <w:rFonts w:ascii="Times New Roman" w:hAnsi="Times New Roman" w:cs="Times New Roman"/>
          <w:sz w:val="24"/>
          <w:szCs w:val="24"/>
        </w:rPr>
        <w:t>abvēlīgi</w:t>
      </w:r>
      <w:r w:rsidR="00A6678C">
        <w:rPr>
          <w:rFonts w:ascii="Times New Roman" w:hAnsi="Times New Roman" w:cs="Times New Roman"/>
          <w:sz w:val="24"/>
          <w:szCs w:val="24"/>
        </w:rPr>
        <w:t>e</w:t>
      </w:r>
      <w:r>
        <w:rPr>
          <w:rFonts w:ascii="Times New Roman" w:hAnsi="Times New Roman" w:cs="Times New Roman"/>
          <w:sz w:val="24"/>
          <w:szCs w:val="24"/>
        </w:rPr>
        <w:t xml:space="preserve">” veido </w:t>
      </w:r>
      <w:r w:rsidR="00081D2D">
        <w:rPr>
          <w:rFonts w:ascii="Times New Roman" w:hAnsi="Times New Roman" w:cs="Times New Roman"/>
          <w:sz w:val="24"/>
          <w:szCs w:val="24"/>
        </w:rPr>
        <w:t>1 698,77</w:t>
      </w:r>
      <w:r w:rsidRPr="000B4633">
        <w:rPr>
          <w:rFonts w:ascii="Times New Roman" w:hAnsi="Times New Roman" w:cs="Times New Roman"/>
          <w:sz w:val="24"/>
          <w:szCs w:val="24"/>
        </w:rPr>
        <w:t xml:space="preserve">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xml:space="preserve"> (</w:t>
      </w:r>
      <w:r w:rsidR="00081D2D">
        <w:rPr>
          <w:rFonts w:ascii="Times New Roman" w:hAnsi="Times New Roman" w:cs="Times New Roman"/>
          <w:sz w:val="24"/>
          <w:szCs w:val="24"/>
        </w:rPr>
        <w:t>16,07</w:t>
      </w:r>
      <w:r>
        <w:rPr>
          <w:rFonts w:ascii="Times New Roman" w:hAnsi="Times New Roman" w:cs="Times New Roman"/>
          <w:sz w:val="24"/>
          <w:szCs w:val="24"/>
        </w:rPr>
        <w:t xml:space="preserve">%), turpretim </w:t>
      </w:r>
      <w:r w:rsidR="00081D2D">
        <w:rPr>
          <w:rFonts w:ascii="Times New Roman" w:hAnsi="Times New Roman" w:cs="Times New Roman"/>
          <w:sz w:val="24"/>
          <w:szCs w:val="24"/>
        </w:rPr>
        <w:t>1 022,07</w:t>
      </w:r>
      <w:r>
        <w:rPr>
          <w:rFonts w:ascii="Times New Roman" w:hAnsi="Times New Roman" w:cs="Times New Roman"/>
          <w:sz w:val="24"/>
          <w:szCs w:val="24"/>
        </w:rPr>
        <w:t xml:space="preserve"> milj. </w:t>
      </w:r>
      <w:r w:rsidRPr="00704AE4">
        <w:rPr>
          <w:rFonts w:ascii="Times New Roman" w:hAnsi="Times New Roman" w:cs="Times New Roman"/>
          <w:i/>
          <w:iCs/>
          <w:sz w:val="24"/>
          <w:szCs w:val="24"/>
        </w:rPr>
        <w:t>euro</w:t>
      </w:r>
      <w:r>
        <w:rPr>
          <w:rFonts w:ascii="Times New Roman" w:hAnsi="Times New Roman" w:cs="Times New Roman"/>
          <w:sz w:val="24"/>
          <w:szCs w:val="24"/>
        </w:rPr>
        <w:t xml:space="preserve"> (</w:t>
      </w:r>
      <w:r w:rsidR="00081D2D">
        <w:rPr>
          <w:rFonts w:ascii="Times New Roman" w:hAnsi="Times New Roman" w:cs="Times New Roman"/>
          <w:sz w:val="24"/>
          <w:szCs w:val="24"/>
        </w:rPr>
        <w:t>9,67</w:t>
      </w:r>
      <w:r>
        <w:rPr>
          <w:rFonts w:ascii="Times New Roman" w:hAnsi="Times New Roman" w:cs="Times New Roman"/>
          <w:sz w:val="24"/>
          <w:szCs w:val="24"/>
        </w:rPr>
        <w:t>%) izdevumi tika klasificēti kā “</w:t>
      </w:r>
      <w:r w:rsidR="00081D2D">
        <w:rPr>
          <w:rFonts w:ascii="Times New Roman" w:hAnsi="Times New Roman" w:cs="Times New Roman"/>
          <w:sz w:val="24"/>
          <w:szCs w:val="24"/>
        </w:rPr>
        <w:t>N</w:t>
      </w:r>
      <w:r>
        <w:rPr>
          <w:rFonts w:ascii="Times New Roman" w:hAnsi="Times New Roman" w:cs="Times New Roman"/>
          <w:sz w:val="24"/>
          <w:szCs w:val="24"/>
        </w:rPr>
        <w:t xml:space="preserve">elabvēlīgi”. </w:t>
      </w:r>
      <w:r w:rsidR="00081D2D">
        <w:rPr>
          <w:rFonts w:ascii="Times New Roman" w:hAnsi="Times New Roman" w:cs="Times New Roman"/>
          <w:sz w:val="24"/>
          <w:szCs w:val="24"/>
        </w:rPr>
        <w:t>861,50</w:t>
      </w:r>
      <w:r>
        <w:rPr>
          <w:rFonts w:ascii="Times New Roman" w:hAnsi="Times New Roman" w:cs="Times New Roman"/>
          <w:sz w:val="24"/>
          <w:szCs w:val="24"/>
        </w:rPr>
        <w:t xml:space="preserve"> milj. </w:t>
      </w:r>
      <w:r w:rsidRPr="00704AE4">
        <w:rPr>
          <w:rFonts w:ascii="Times New Roman" w:hAnsi="Times New Roman" w:cs="Times New Roman"/>
          <w:i/>
          <w:iCs/>
          <w:sz w:val="24"/>
          <w:szCs w:val="24"/>
        </w:rPr>
        <w:t>euro</w:t>
      </w:r>
      <w:r>
        <w:rPr>
          <w:rFonts w:ascii="Times New Roman" w:hAnsi="Times New Roman" w:cs="Times New Roman"/>
          <w:sz w:val="24"/>
          <w:szCs w:val="24"/>
        </w:rPr>
        <w:t xml:space="preserve"> (</w:t>
      </w:r>
      <w:r w:rsidR="00081D2D">
        <w:rPr>
          <w:rFonts w:ascii="Times New Roman" w:hAnsi="Times New Roman" w:cs="Times New Roman"/>
          <w:sz w:val="24"/>
          <w:szCs w:val="24"/>
        </w:rPr>
        <w:t>8,15</w:t>
      </w:r>
      <w:r>
        <w:rPr>
          <w:rFonts w:ascii="Times New Roman" w:hAnsi="Times New Roman" w:cs="Times New Roman"/>
          <w:sz w:val="24"/>
          <w:szCs w:val="24"/>
        </w:rPr>
        <w:t>%) tika marķēti kā “</w:t>
      </w:r>
      <w:r w:rsidR="00081D2D">
        <w:rPr>
          <w:rFonts w:ascii="Times New Roman" w:hAnsi="Times New Roman" w:cs="Times New Roman"/>
          <w:sz w:val="24"/>
          <w:szCs w:val="24"/>
        </w:rPr>
        <w:t>N</w:t>
      </w:r>
      <w:r>
        <w:rPr>
          <w:rFonts w:ascii="Times New Roman" w:hAnsi="Times New Roman" w:cs="Times New Roman"/>
          <w:sz w:val="24"/>
          <w:szCs w:val="24"/>
        </w:rPr>
        <w:t>eskaidr</w:t>
      </w:r>
      <w:r w:rsidR="006C70AA">
        <w:rPr>
          <w:rFonts w:ascii="Times New Roman" w:hAnsi="Times New Roman" w:cs="Times New Roman"/>
          <w:sz w:val="24"/>
          <w:szCs w:val="24"/>
        </w:rPr>
        <w:t>ie</w:t>
      </w:r>
      <w:r>
        <w:rPr>
          <w:rFonts w:ascii="Times New Roman" w:hAnsi="Times New Roman" w:cs="Times New Roman"/>
          <w:sz w:val="24"/>
          <w:szCs w:val="24"/>
        </w:rPr>
        <w:t xml:space="preserve">”, nepietiekošas informācijas dēļ. </w:t>
      </w:r>
      <w:r w:rsidR="00081D2D">
        <w:rPr>
          <w:rFonts w:ascii="Times New Roman" w:hAnsi="Times New Roman" w:cs="Times New Roman"/>
          <w:sz w:val="24"/>
          <w:szCs w:val="24"/>
        </w:rPr>
        <w:t xml:space="preserve">Savukārt 50,01 milj. </w:t>
      </w:r>
      <w:r w:rsidR="00081D2D" w:rsidRPr="00704AE4">
        <w:rPr>
          <w:rFonts w:ascii="Times New Roman" w:hAnsi="Times New Roman" w:cs="Times New Roman"/>
          <w:i/>
          <w:iCs/>
          <w:sz w:val="24"/>
          <w:szCs w:val="24"/>
        </w:rPr>
        <w:t>euro</w:t>
      </w:r>
      <w:r w:rsidR="00081D2D">
        <w:rPr>
          <w:rFonts w:ascii="Times New Roman" w:hAnsi="Times New Roman" w:cs="Times New Roman"/>
          <w:sz w:val="24"/>
          <w:szCs w:val="24"/>
        </w:rPr>
        <w:t xml:space="preserve"> tika marķēti kā “Jaukti</w:t>
      </w:r>
      <w:r w:rsidR="006C70AA">
        <w:rPr>
          <w:rFonts w:ascii="Times New Roman" w:hAnsi="Times New Roman" w:cs="Times New Roman"/>
          <w:sz w:val="24"/>
          <w:szCs w:val="24"/>
        </w:rPr>
        <w:t>e</w:t>
      </w:r>
      <w:r w:rsidR="00081D2D">
        <w:rPr>
          <w:rFonts w:ascii="Times New Roman" w:hAnsi="Times New Roman" w:cs="Times New Roman"/>
          <w:sz w:val="24"/>
          <w:szCs w:val="24"/>
        </w:rPr>
        <w:t>”. Šajā gadījumā tika arī identificēti izdevumi “Jāprecizē”, kuriem vēlāk tiks piemērots marķējums pēc precizējošas informācijas iegūšanas no iestādēm</w:t>
      </w:r>
      <w:r w:rsidR="00210DB8">
        <w:rPr>
          <w:rFonts w:ascii="Times New Roman" w:hAnsi="Times New Roman" w:cs="Times New Roman"/>
          <w:sz w:val="24"/>
          <w:szCs w:val="24"/>
        </w:rPr>
        <w:t>.</w:t>
      </w:r>
    </w:p>
    <w:p w14:paraId="44AA3344" w14:textId="549EBFA8" w:rsidR="00B21A21" w:rsidRDefault="00B21A21" w:rsidP="00C3009D">
      <w:pPr>
        <w:ind w:firstLine="720"/>
        <w:jc w:val="center"/>
        <w:rPr>
          <w:rFonts w:ascii="Times New Roman" w:hAnsi="Times New Roman" w:cs="Times New Roman"/>
          <w:sz w:val="24"/>
          <w:szCs w:val="24"/>
        </w:rPr>
      </w:pPr>
      <w:r>
        <w:rPr>
          <w:noProof/>
        </w:rPr>
        <w:drawing>
          <wp:inline distT="0" distB="0" distL="0" distR="0" wp14:anchorId="692B66DF" wp14:editId="651F330E">
            <wp:extent cx="3381375" cy="2428875"/>
            <wp:effectExtent l="0" t="0" r="0" b="0"/>
            <wp:docPr id="1207371807" name="Chart 1">
              <a:extLst xmlns:a="http://schemas.openxmlformats.org/drawingml/2006/main">
                <a:ext uri="{FF2B5EF4-FFF2-40B4-BE49-F238E27FC236}">
                  <a16:creationId xmlns:a16="http://schemas.microsoft.com/office/drawing/2014/main" id="{38F3BD3E-D937-9AC4-E704-2231D9BCE6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5EB2A96" w14:textId="454D3DC2" w:rsidR="00F151DD" w:rsidRDefault="00F151DD" w:rsidP="00F151DD">
      <w:pPr>
        <w:jc w:val="center"/>
        <w:rPr>
          <w:rFonts w:ascii="Times New Roman" w:hAnsi="Times New Roman" w:cs="Times New Roman"/>
          <w:sz w:val="24"/>
          <w:szCs w:val="24"/>
        </w:rPr>
      </w:pPr>
      <w:r>
        <w:rPr>
          <w:rFonts w:ascii="Times New Roman" w:hAnsi="Times New Roman" w:cs="Times New Roman"/>
          <w:b/>
          <w:sz w:val="24"/>
          <w:szCs w:val="24"/>
        </w:rPr>
        <w:t>6</w:t>
      </w:r>
      <w:r w:rsidRPr="000F01C7">
        <w:rPr>
          <w:rFonts w:ascii="Times New Roman" w:hAnsi="Times New Roman" w:cs="Times New Roman"/>
          <w:b/>
          <w:sz w:val="24"/>
          <w:szCs w:val="24"/>
        </w:rPr>
        <w:t>.</w:t>
      </w:r>
      <w:r>
        <w:rPr>
          <w:rFonts w:ascii="Times New Roman" w:hAnsi="Times New Roman" w:cs="Times New Roman"/>
          <w:b/>
          <w:sz w:val="24"/>
          <w:szCs w:val="24"/>
        </w:rPr>
        <w:t>2</w:t>
      </w:r>
      <w:r w:rsidRPr="000F01C7">
        <w:rPr>
          <w:rFonts w:ascii="Times New Roman" w:hAnsi="Times New Roman" w:cs="Times New Roman"/>
          <w:b/>
          <w:sz w:val="24"/>
          <w:szCs w:val="24"/>
        </w:rPr>
        <w:t>.</w:t>
      </w:r>
      <w:r>
        <w:rPr>
          <w:rFonts w:ascii="Times New Roman" w:hAnsi="Times New Roman" w:cs="Times New Roman"/>
          <w:b/>
          <w:sz w:val="24"/>
          <w:szCs w:val="24"/>
        </w:rPr>
        <w:t>3.1</w:t>
      </w:r>
      <w:r w:rsidRPr="000F01C7">
        <w:rPr>
          <w:rFonts w:ascii="Times New Roman" w:hAnsi="Times New Roman" w:cs="Times New Roman"/>
          <w:b/>
          <w:sz w:val="24"/>
          <w:szCs w:val="24"/>
        </w:rPr>
        <w:t>.</w:t>
      </w:r>
      <w:r w:rsidR="003231C6">
        <w:rPr>
          <w:rFonts w:ascii="Times New Roman" w:hAnsi="Times New Roman" w:cs="Times New Roman"/>
          <w:b/>
          <w:sz w:val="24"/>
          <w:szCs w:val="24"/>
        </w:rPr>
        <w:t xml:space="preserve"> </w:t>
      </w:r>
      <w:r w:rsidRPr="000F01C7">
        <w:rPr>
          <w:rFonts w:ascii="Times New Roman" w:hAnsi="Times New Roman" w:cs="Times New Roman"/>
          <w:b/>
          <w:sz w:val="24"/>
          <w:szCs w:val="24"/>
        </w:rPr>
        <w:t>attēls.</w:t>
      </w:r>
      <w:r w:rsidRPr="000F01C7">
        <w:rPr>
          <w:rFonts w:ascii="Times New Roman" w:hAnsi="Times New Roman" w:cs="Times New Roman"/>
          <w:sz w:val="24"/>
          <w:szCs w:val="24"/>
        </w:rPr>
        <w:t xml:space="preserve"> </w:t>
      </w:r>
      <w:r w:rsidR="00210DB8">
        <w:rPr>
          <w:rFonts w:ascii="Times New Roman" w:eastAsia="Times New Roman" w:hAnsi="Times New Roman"/>
          <w:sz w:val="24"/>
          <w:szCs w:val="24"/>
        </w:rPr>
        <w:t>Valsts pamatbudžeta</w:t>
      </w:r>
      <w:r w:rsidR="001A12C8">
        <w:rPr>
          <w:rFonts w:ascii="Times New Roman" w:hAnsi="Times New Roman" w:cs="Times New Roman"/>
          <w:sz w:val="24"/>
          <w:szCs w:val="24"/>
        </w:rPr>
        <w:t xml:space="preserve"> </w:t>
      </w:r>
      <w:r>
        <w:rPr>
          <w:rFonts w:ascii="Times New Roman" w:hAnsi="Times New Roman" w:cs="Times New Roman"/>
          <w:sz w:val="24"/>
          <w:szCs w:val="24"/>
        </w:rPr>
        <w:t>marķēto izdevumu īpatsvars pa klasificētajām grupām</w:t>
      </w:r>
    </w:p>
    <w:p w14:paraId="2786FD38" w14:textId="36D4B123" w:rsidR="00210DB8" w:rsidRPr="0096537D" w:rsidRDefault="00210DB8" w:rsidP="00210DB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Lielākais “Labvēlīgo” izdevumu īpatsvars tika novērots KEM ar 99,60%, </w:t>
      </w:r>
      <w:r w:rsidR="00FC2773">
        <w:rPr>
          <w:rFonts w:ascii="Times New Roman" w:hAnsi="Times New Roman" w:cs="Times New Roman"/>
          <w:sz w:val="24"/>
          <w:szCs w:val="24"/>
        </w:rPr>
        <w:t>SM</w:t>
      </w:r>
      <w:r>
        <w:rPr>
          <w:rFonts w:ascii="Times New Roman" w:hAnsi="Times New Roman" w:cs="Times New Roman"/>
          <w:sz w:val="24"/>
          <w:szCs w:val="24"/>
        </w:rPr>
        <w:t xml:space="preserve"> ar 77,08% un ZM ar 37,65%. Savukārt vislielākais </w:t>
      </w:r>
      <w:r w:rsidRPr="009A49D2">
        <w:rPr>
          <w:rFonts w:ascii="Times New Roman" w:hAnsi="Times New Roman" w:cs="Times New Roman"/>
          <w:sz w:val="24"/>
          <w:szCs w:val="24"/>
        </w:rPr>
        <w:t>šādu izdevumu apjoms bija</w:t>
      </w:r>
      <w:r>
        <w:rPr>
          <w:rFonts w:ascii="Times New Roman" w:hAnsi="Times New Roman" w:cs="Times New Roman"/>
          <w:sz w:val="24"/>
          <w:szCs w:val="24"/>
        </w:rPr>
        <w:t xml:space="preserve"> SM, sasniedzot 608,22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Liela daļa no šiem izdevumiem tika identificēti 23.06.00 apakšprogrammā “</w:t>
      </w:r>
      <w:r w:rsidRPr="002620CB">
        <w:rPr>
          <w:rFonts w:ascii="Times New Roman" w:hAnsi="Times New Roman" w:cs="Times New Roman"/>
          <w:sz w:val="24"/>
          <w:szCs w:val="24"/>
        </w:rPr>
        <w:t>Valsts autoceļu uzturēšana un atjaunošana</w:t>
      </w:r>
      <w:r>
        <w:rPr>
          <w:rFonts w:ascii="Times New Roman" w:hAnsi="Times New Roman" w:cs="Times New Roman"/>
          <w:sz w:val="24"/>
          <w:szCs w:val="24"/>
        </w:rPr>
        <w:t xml:space="preserve">” (167,44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31.06.00 “</w:t>
      </w:r>
      <w:r w:rsidRPr="00A37DF3">
        <w:rPr>
          <w:rFonts w:ascii="Times New Roman" w:hAnsi="Times New Roman" w:cs="Times New Roman"/>
          <w:sz w:val="24"/>
          <w:szCs w:val="24"/>
        </w:rPr>
        <w:t>Dotācija zaudējumu segšanai sabiedriskā transporta pakalpojumu sniedzējiem</w:t>
      </w:r>
      <w:r>
        <w:rPr>
          <w:rFonts w:ascii="Times New Roman" w:hAnsi="Times New Roman" w:cs="Times New Roman"/>
          <w:sz w:val="24"/>
          <w:szCs w:val="24"/>
        </w:rPr>
        <w:t xml:space="preserve">” (76,38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60.07.00 “</w:t>
      </w:r>
      <w:r w:rsidRPr="00A37DF3">
        <w:rPr>
          <w:rFonts w:ascii="Times New Roman" w:hAnsi="Times New Roman" w:cs="Times New Roman"/>
          <w:sz w:val="24"/>
          <w:szCs w:val="24"/>
        </w:rPr>
        <w:t>Eiropas transporta infrastruktūras projekti (</w:t>
      </w:r>
      <w:r w:rsidRPr="006E2F77">
        <w:rPr>
          <w:rFonts w:ascii="Times New Roman" w:hAnsi="Times New Roman" w:cs="Times New Roman"/>
          <w:i/>
          <w:iCs/>
          <w:sz w:val="24"/>
          <w:szCs w:val="24"/>
        </w:rPr>
        <w:t>Rail Baltica</w:t>
      </w:r>
      <w:r w:rsidRPr="00A37DF3">
        <w:rPr>
          <w:rFonts w:ascii="Times New Roman" w:hAnsi="Times New Roman" w:cs="Times New Roman"/>
          <w:sz w:val="24"/>
          <w:szCs w:val="24"/>
        </w:rPr>
        <w:t>)</w:t>
      </w:r>
      <w:r>
        <w:rPr>
          <w:rFonts w:ascii="Times New Roman" w:hAnsi="Times New Roman" w:cs="Times New Roman"/>
          <w:sz w:val="24"/>
          <w:szCs w:val="24"/>
        </w:rPr>
        <w:t xml:space="preserve">” (160,97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un 61.12.00 “</w:t>
      </w:r>
      <w:r w:rsidRPr="00A37DF3">
        <w:rPr>
          <w:rFonts w:ascii="Times New Roman" w:hAnsi="Times New Roman" w:cs="Times New Roman"/>
          <w:sz w:val="24"/>
          <w:szCs w:val="24"/>
        </w:rPr>
        <w:t>Kohēzijas fonda (KF) finansējums jauno elektrovilcienu projekta īstenošanai (2014</w:t>
      </w:r>
      <w:r w:rsidR="00EF2910">
        <w:rPr>
          <w:rFonts w:ascii="Times New Roman" w:hAnsi="Times New Roman" w:cs="Times New Roman"/>
          <w:sz w:val="24"/>
          <w:szCs w:val="24"/>
        </w:rPr>
        <w:t>-</w:t>
      </w:r>
      <w:r w:rsidRPr="00A37DF3">
        <w:rPr>
          <w:rFonts w:ascii="Times New Roman" w:hAnsi="Times New Roman" w:cs="Times New Roman"/>
          <w:sz w:val="24"/>
          <w:szCs w:val="24"/>
        </w:rPr>
        <w:t>2020)</w:t>
      </w:r>
      <w:r>
        <w:rPr>
          <w:rFonts w:ascii="Times New Roman" w:hAnsi="Times New Roman" w:cs="Times New Roman"/>
          <w:sz w:val="24"/>
          <w:szCs w:val="24"/>
        </w:rPr>
        <w:t xml:space="preserve">” (118,05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Otrs lielākais “</w:t>
      </w:r>
      <w:r w:rsidR="00F10E8F">
        <w:rPr>
          <w:rFonts w:ascii="Times New Roman" w:hAnsi="Times New Roman" w:cs="Times New Roman"/>
          <w:sz w:val="24"/>
          <w:szCs w:val="24"/>
        </w:rPr>
        <w:t>L</w:t>
      </w:r>
      <w:r>
        <w:rPr>
          <w:rFonts w:ascii="Times New Roman" w:hAnsi="Times New Roman" w:cs="Times New Roman"/>
          <w:sz w:val="24"/>
          <w:szCs w:val="24"/>
        </w:rPr>
        <w:t xml:space="preserve">abvēlīgo” izdevumu apjoms tika identificēts FM (389,24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i/>
          <w:iCs/>
          <w:sz w:val="24"/>
          <w:szCs w:val="24"/>
        </w:rPr>
        <w:t>)</w:t>
      </w:r>
      <w:r>
        <w:rPr>
          <w:rFonts w:ascii="Times New Roman" w:hAnsi="Times New Roman" w:cs="Times New Roman"/>
          <w:sz w:val="24"/>
          <w:szCs w:val="24"/>
        </w:rPr>
        <w:t xml:space="preserve">, galvenokārt, pateicoties Kohēzijas fonda un </w:t>
      </w:r>
      <w:r w:rsidRPr="00D20A1F">
        <w:rPr>
          <w:rFonts w:ascii="Times New Roman" w:hAnsi="Times New Roman" w:cs="Times New Roman"/>
          <w:sz w:val="24"/>
          <w:szCs w:val="24"/>
        </w:rPr>
        <w:t>Eiropas Reģionālās attīstības fond</w:t>
      </w:r>
      <w:r>
        <w:rPr>
          <w:rFonts w:ascii="Times New Roman" w:hAnsi="Times New Roman" w:cs="Times New Roman"/>
          <w:sz w:val="24"/>
          <w:szCs w:val="24"/>
        </w:rPr>
        <w:t>a (2014</w:t>
      </w:r>
      <w:r w:rsidR="00EF2910">
        <w:rPr>
          <w:rFonts w:ascii="Times New Roman" w:hAnsi="Times New Roman" w:cs="Times New Roman"/>
          <w:color w:val="000000" w:themeColor="text1"/>
          <w:sz w:val="24"/>
          <w:szCs w:val="24"/>
        </w:rPr>
        <w:t>-</w:t>
      </w:r>
      <w:r>
        <w:rPr>
          <w:rFonts w:ascii="Times New Roman" w:hAnsi="Times New Roman" w:cs="Times New Roman"/>
          <w:sz w:val="24"/>
          <w:szCs w:val="24"/>
        </w:rPr>
        <w:t>2020) investīcijām. Trešais lielākais “</w:t>
      </w:r>
      <w:r w:rsidR="00F10E8F">
        <w:rPr>
          <w:rFonts w:ascii="Times New Roman" w:hAnsi="Times New Roman" w:cs="Times New Roman"/>
          <w:sz w:val="24"/>
          <w:szCs w:val="24"/>
        </w:rPr>
        <w:t>L</w:t>
      </w:r>
      <w:r>
        <w:rPr>
          <w:rFonts w:ascii="Times New Roman" w:hAnsi="Times New Roman" w:cs="Times New Roman"/>
          <w:sz w:val="24"/>
          <w:szCs w:val="24"/>
        </w:rPr>
        <w:t xml:space="preserve">abvēlīgo” izdevumu apjoms tika identificēts ZM (245,79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galvenokārt tiem koncentrējoties apakšprogrammās 65.08.00 “</w:t>
      </w:r>
      <w:r w:rsidRPr="00DA3112">
        <w:rPr>
          <w:rFonts w:ascii="Times New Roman" w:hAnsi="Times New Roman" w:cs="Times New Roman"/>
          <w:sz w:val="24"/>
          <w:szCs w:val="24"/>
        </w:rPr>
        <w:t>Maksājumu iestādes izdevumi Eiropas Lauksaimniecības fonda lauku attīstībai (ELFLA) projektu un pasākumu īstenošanai (2014-2020)</w:t>
      </w:r>
      <w:r>
        <w:rPr>
          <w:rFonts w:ascii="Times New Roman" w:hAnsi="Times New Roman" w:cs="Times New Roman"/>
          <w:sz w:val="24"/>
          <w:szCs w:val="24"/>
        </w:rPr>
        <w:t xml:space="preserve">” (115,56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un 21.01.00 “</w:t>
      </w:r>
      <w:r w:rsidRPr="00DF3B4A">
        <w:rPr>
          <w:rFonts w:ascii="Times New Roman" w:hAnsi="Times New Roman" w:cs="Times New Roman"/>
          <w:sz w:val="24"/>
          <w:szCs w:val="24"/>
        </w:rPr>
        <w:t>Valsts atbalsts lauksaimniecības un lauku attīstībai</w:t>
      </w:r>
      <w:r>
        <w:rPr>
          <w:rFonts w:ascii="Times New Roman" w:hAnsi="Times New Roman" w:cs="Times New Roman"/>
          <w:sz w:val="24"/>
          <w:szCs w:val="24"/>
        </w:rPr>
        <w:t xml:space="preserve">” (56,14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w:t>
      </w:r>
    </w:p>
    <w:p w14:paraId="00AD1AC0" w14:textId="333412AD" w:rsidR="00210DB8" w:rsidRDefault="00210DB8" w:rsidP="00210DB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Gan lielākais “</w:t>
      </w:r>
      <w:r w:rsidR="00F10E8F">
        <w:rPr>
          <w:rFonts w:ascii="Times New Roman" w:hAnsi="Times New Roman" w:cs="Times New Roman"/>
          <w:sz w:val="24"/>
          <w:szCs w:val="24"/>
        </w:rPr>
        <w:t>N</w:t>
      </w:r>
      <w:r>
        <w:rPr>
          <w:rFonts w:ascii="Times New Roman" w:hAnsi="Times New Roman" w:cs="Times New Roman"/>
          <w:sz w:val="24"/>
          <w:szCs w:val="24"/>
        </w:rPr>
        <w:t xml:space="preserve">elabvēlīgo” izdevumu īpatsvars (67,75%), gan apjoms (493,06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tika novērots E</w:t>
      </w:r>
      <w:r w:rsidR="00B0405A">
        <w:rPr>
          <w:rFonts w:ascii="Times New Roman" w:hAnsi="Times New Roman" w:cs="Times New Roman"/>
          <w:sz w:val="24"/>
          <w:szCs w:val="24"/>
        </w:rPr>
        <w:t>M</w:t>
      </w:r>
      <w:r>
        <w:rPr>
          <w:rFonts w:ascii="Times New Roman" w:hAnsi="Times New Roman" w:cs="Times New Roman"/>
          <w:sz w:val="24"/>
          <w:szCs w:val="24"/>
        </w:rPr>
        <w:t>. Galvenokārt, šie izdevumi tika identificēti apakšprogrammā, 29.01.00 “</w:t>
      </w:r>
      <w:r w:rsidRPr="00371868">
        <w:rPr>
          <w:rFonts w:ascii="Times New Roman" w:hAnsi="Times New Roman" w:cs="Times New Roman"/>
          <w:sz w:val="24"/>
          <w:szCs w:val="24"/>
        </w:rPr>
        <w:t>Naftas produktu rezervju uzturēšana</w:t>
      </w:r>
      <w:r>
        <w:rPr>
          <w:rFonts w:ascii="Times New Roman" w:hAnsi="Times New Roman" w:cs="Times New Roman"/>
          <w:sz w:val="24"/>
          <w:szCs w:val="24"/>
        </w:rPr>
        <w:t xml:space="preserve">” (85,32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un programmā 35.00.00. “</w:t>
      </w:r>
      <w:r w:rsidRPr="00371868">
        <w:rPr>
          <w:rFonts w:ascii="Times New Roman" w:hAnsi="Times New Roman" w:cs="Times New Roman"/>
          <w:sz w:val="24"/>
          <w:szCs w:val="24"/>
        </w:rPr>
        <w:t>Valsts atbalsta programmas</w:t>
      </w:r>
      <w:r>
        <w:rPr>
          <w:rFonts w:ascii="Times New Roman" w:hAnsi="Times New Roman" w:cs="Times New Roman"/>
          <w:sz w:val="24"/>
          <w:szCs w:val="24"/>
        </w:rPr>
        <w:t xml:space="preserve">”, kur </w:t>
      </w:r>
      <w:r w:rsidRPr="00371868">
        <w:rPr>
          <w:rFonts w:ascii="Times New Roman" w:hAnsi="Times New Roman" w:cs="Times New Roman"/>
          <w:sz w:val="24"/>
          <w:szCs w:val="24"/>
        </w:rPr>
        <w:t>būtiskāko izdevumu daļu programmā veido</w:t>
      </w:r>
      <w:r>
        <w:rPr>
          <w:rFonts w:ascii="Times New Roman" w:hAnsi="Times New Roman" w:cs="Times New Roman"/>
          <w:sz w:val="24"/>
          <w:szCs w:val="24"/>
        </w:rPr>
        <w:t>ja</w:t>
      </w:r>
      <w:r w:rsidRPr="00371868">
        <w:rPr>
          <w:rFonts w:ascii="Times New Roman" w:hAnsi="Times New Roman" w:cs="Times New Roman"/>
          <w:sz w:val="24"/>
          <w:szCs w:val="24"/>
        </w:rPr>
        <w:t xml:space="preserve"> izmaksātās kompensācijas </w:t>
      </w:r>
      <w:r>
        <w:rPr>
          <w:rFonts w:ascii="Times New Roman" w:hAnsi="Times New Roman" w:cs="Times New Roman"/>
          <w:sz w:val="24"/>
          <w:szCs w:val="24"/>
        </w:rPr>
        <w:t xml:space="preserve">par </w:t>
      </w:r>
      <w:r w:rsidRPr="00371868">
        <w:rPr>
          <w:rFonts w:ascii="Times New Roman" w:hAnsi="Times New Roman" w:cs="Times New Roman"/>
          <w:sz w:val="24"/>
          <w:szCs w:val="24"/>
        </w:rPr>
        <w:t>energoresursu cenu sadārdzinājum</w:t>
      </w:r>
      <w:r>
        <w:rPr>
          <w:rFonts w:ascii="Times New Roman" w:hAnsi="Times New Roman" w:cs="Times New Roman"/>
          <w:sz w:val="24"/>
          <w:szCs w:val="24"/>
        </w:rPr>
        <w:t xml:space="preserve">u (406,34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w:t>
      </w:r>
      <w:r w:rsidRPr="00371868">
        <w:rPr>
          <w:rFonts w:ascii="Times New Roman" w:hAnsi="Times New Roman" w:cs="Times New Roman"/>
          <w:sz w:val="24"/>
          <w:szCs w:val="24"/>
        </w:rPr>
        <w:t xml:space="preserve"> </w:t>
      </w:r>
      <w:r>
        <w:rPr>
          <w:rFonts w:ascii="Times New Roman" w:hAnsi="Times New Roman" w:cs="Times New Roman"/>
          <w:sz w:val="24"/>
          <w:szCs w:val="24"/>
        </w:rPr>
        <w:t>Otrs lielākais “</w:t>
      </w:r>
      <w:r w:rsidR="00F10E8F">
        <w:rPr>
          <w:rFonts w:ascii="Times New Roman" w:hAnsi="Times New Roman" w:cs="Times New Roman"/>
          <w:sz w:val="24"/>
          <w:szCs w:val="24"/>
        </w:rPr>
        <w:t>N</w:t>
      </w:r>
      <w:r>
        <w:rPr>
          <w:rFonts w:ascii="Times New Roman" w:hAnsi="Times New Roman" w:cs="Times New Roman"/>
          <w:sz w:val="24"/>
          <w:szCs w:val="24"/>
        </w:rPr>
        <w:t xml:space="preserve">elabvēlīgo” izdevumu īpatsvars (34,28%) un apjoms (404,28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xml:space="preserve">) tika identificēts </w:t>
      </w:r>
      <w:r w:rsidR="00B0405A">
        <w:rPr>
          <w:rFonts w:ascii="Times New Roman" w:hAnsi="Times New Roman" w:cs="Times New Roman"/>
          <w:sz w:val="24"/>
          <w:szCs w:val="24"/>
        </w:rPr>
        <w:t>AiM</w:t>
      </w:r>
      <w:r>
        <w:rPr>
          <w:rFonts w:ascii="Times New Roman" w:hAnsi="Times New Roman" w:cs="Times New Roman"/>
          <w:sz w:val="24"/>
          <w:szCs w:val="24"/>
        </w:rPr>
        <w:t>, koncentrējoties apakšprogrammās 22.12.00 “</w:t>
      </w:r>
      <w:r w:rsidRPr="00DF3B4A">
        <w:rPr>
          <w:rFonts w:ascii="Times New Roman" w:hAnsi="Times New Roman" w:cs="Times New Roman"/>
          <w:sz w:val="24"/>
          <w:szCs w:val="24"/>
        </w:rPr>
        <w:t>Nacionālo bruņoto spēku uzturēšana</w:t>
      </w:r>
      <w:r>
        <w:rPr>
          <w:rFonts w:ascii="Times New Roman" w:hAnsi="Times New Roman" w:cs="Times New Roman"/>
          <w:sz w:val="24"/>
          <w:szCs w:val="24"/>
        </w:rPr>
        <w:t xml:space="preserve">” (394,41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pateicoties munīcijas, transportlīdzekļu un degvielas iegādei. Visbeidzot, trešais lielākais “</w:t>
      </w:r>
      <w:r w:rsidR="00F10E8F">
        <w:rPr>
          <w:rFonts w:ascii="Times New Roman" w:hAnsi="Times New Roman" w:cs="Times New Roman"/>
          <w:sz w:val="24"/>
          <w:szCs w:val="24"/>
        </w:rPr>
        <w:t>N</w:t>
      </w:r>
      <w:r>
        <w:rPr>
          <w:rFonts w:ascii="Times New Roman" w:hAnsi="Times New Roman" w:cs="Times New Roman"/>
          <w:sz w:val="24"/>
          <w:szCs w:val="24"/>
        </w:rPr>
        <w:t xml:space="preserve">elabvēlīgo” izdevumu īpatsvars (4,55%) un apjoms (48,54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xml:space="preserve">) ir novērojams </w:t>
      </w:r>
      <w:r w:rsidR="00A65DED">
        <w:rPr>
          <w:rFonts w:ascii="Times New Roman" w:hAnsi="Times New Roman" w:cs="Times New Roman"/>
          <w:sz w:val="24"/>
          <w:szCs w:val="24"/>
        </w:rPr>
        <w:t>LM</w:t>
      </w:r>
      <w:r>
        <w:rPr>
          <w:rFonts w:ascii="Times New Roman" w:hAnsi="Times New Roman" w:cs="Times New Roman"/>
          <w:sz w:val="24"/>
          <w:szCs w:val="24"/>
        </w:rPr>
        <w:t>, kas lielākoties atrodas apakšprogrammā 20.01.00 “</w:t>
      </w:r>
      <w:r w:rsidRPr="00680914">
        <w:rPr>
          <w:rFonts w:ascii="Times New Roman" w:hAnsi="Times New Roman" w:cs="Times New Roman"/>
          <w:sz w:val="24"/>
          <w:szCs w:val="24"/>
        </w:rPr>
        <w:t>Valsts sociālie pabalsti</w:t>
      </w:r>
      <w:r>
        <w:rPr>
          <w:rFonts w:ascii="Times New Roman" w:hAnsi="Times New Roman" w:cs="Times New Roman"/>
          <w:sz w:val="24"/>
          <w:szCs w:val="24"/>
        </w:rPr>
        <w:t xml:space="preserve">” (46,98 </w:t>
      </w:r>
      <w:r w:rsidRPr="00886916">
        <w:rPr>
          <w:rFonts w:ascii="Times New Roman" w:hAnsi="Times New Roman" w:cs="Times New Roman"/>
          <w:sz w:val="24"/>
          <w:szCs w:val="24"/>
        </w:rPr>
        <w:t xml:space="preserve">milj. </w:t>
      </w:r>
      <w:r w:rsidRPr="00704AE4">
        <w:rPr>
          <w:rFonts w:ascii="Times New Roman" w:hAnsi="Times New Roman" w:cs="Times New Roman"/>
          <w:i/>
          <w:iCs/>
          <w:sz w:val="24"/>
          <w:szCs w:val="24"/>
        </w:rPr>
        <w:t>euro</w:t>
      </w:r>
      <w:r>
        <w:rPr>
          <w:rFonts w:ascii="Times New Roman" w:hAnsi="Times New Roman" w:cs="Times New Roman"/>
          <w:sz w:val="24"/>
          <w:szCs w:val="24"/>
        </w:rPr>
        <w:t>) un ir saistīti ar energoresursu cenu ārkārtēja pieauguma samazināšanas pasākumiem.</w:t>
      </w:r>
    </w:p>
    <w:p w14:paraId="7BD1AC41" w14:textId="77777777" w:rsidR="00F151DD" w:rsidRDefault="00F151DD" w:rsidP="00F151DD">
      <w:pPr>
        <w:rPr>
          <w:rFonts w:ascii="Times New Roman" w:hAnsi="Times New Roman" w:cs="Times New Roman"/>
          <w:sz w:val="24"/>
          <w:szCs w:val="24"/>
        </w:rPr>
      </w:pPr>
    </w:p>
    <w:p w14:paraId="35CA41FC" w14:textId="77777777" w:rsidR="00F151DD" w:rsidRPr="00883EE7" w:rsidRDefault="00F151DD" w:rsidP="00F151DD">
      <w:pPr>
        <w:rPr>
          <w:rFonts w:ascii="Times New Roman" w:eastAsiaTheme="majorEastAsia" w:hAnsi="Times New Roman" w:cs="Times New Roman"/>
          <w:b/>
          <w:bCs/>
          <w:smallCaps/>
          <w:color w:val="000000" w:themeColor="text1"/>
          <w:sz w:val="24"/>
          <w:szCs w:val="24"/>
          <w:highlight w:val="yellow"/>
        </w:rPr>
      </w:pPr>
      <w:r w:rsidRPr="00883EE7">
        <w:rPr>
          <w:rFonts w:ascii="Times New Roman" w:hAnsi="Times New Roman" w:cs="Times New Roman"/>
          <w:sz w:val="24"/>
          <w:szCs w:val="24"/>
          <w:highlight w:val="yellow"/>
        </w:rPr>
        <w:br w:type="page"/>
      </w:r>
    </w:p>
    <w:p w14:paraId="27E321B0" w14:textId="367BB14B" w:rsidR="00334442" w:rsidRPr="00F455BF" w:rsidRDefault="00FF0550">
      <w:pPr>
        <w:pStyle w:val="Heading1"/>
        <w:numPr>
          <w:ilvl w:val="0"/>
          <w:numId w:val="0"/>
        </w:numPr>
        <w:ind w:left="426"/>
        <w:jc w:val="center"/>
        <w:rPr>
          <w:rFonts w:ascii="Times New Roman" w:hAnsi="Times New Roman" w:cs="Times New Roman"/>
          <w:sz w:val="32"/>
          <w:szCs w:val="32"/>
        </w:rPr>
      </w:pPr>
      <w:bookmarkStart w:id="372" w:name="_Toc205554444"/>
      <w:bookmarkStart w:id="373" w:name="_Hlk163117423"/>
      <w:r w:rsidRPr="00945DC6">
        <w:rPr>
          <w:rFonts w:ascii="Times New Roman" w:hAnsi="Times New Roman" w:cs="Times New Roman"/>
          <w:sz w:val="32"/>
          <w:szCs w:val="32"/>
        </w:rPr>
        <w:t>7</w:t>
      </w:r>
      <w:r w:rsidR="00974C98" w:rsidRPr="00945DC6">
        <w:rPr>
          <w:rFonts w:ascii="Times New Roman" w:hAnsi="Times New Roman" w:cs="Times New Roman"/>
          <w:sz w:val="32"/>
          <w:szCs w:val="32"/>
        </w:rPr>
        <w:t xml:space="preserve">. </w:t>
      </w:r>
      <w:r w:rsidR="00E12711" w:rsidRPr="00945DC6">
        <w:rPr>
          <w:rFonts w:ascii="Times New Roman" w:hAnsi="Times New Roman" w:cs="Times New Roman"/>
          <w:sz w:val="32"/>
          <w:szCs w:val="32"/>
        </w:rPr>
        <w:t>Iepriekšējā laika perioda fiskālo rādītāju iznākumu un prognožu salīdzinājums</w:t>
      </w:r>
      <w:bookmarkEnd w:id="320"/>
      <w:bookmarkEnd w:id="321"/>
      <w:bookmarkEnd w:id="372"/>
    </w:p>
    <w:bookmarkEnd w:id="373"/>
    <w:p w14:paraId="095135FF" w14:textId="77777777" w:rsidR="004C7742" w:rsidRPr="00B403FD" w:rsidRDefault="004C7742" w:rsidP="004C7742">
      <w:pPr>
        <w:spacing w:after="0" w:line="240" w:lineRule="auto"/>
        <w:ind w:firstLine="720"/>
        <w:jc w:val="both"/>
        <w:rPr>
          <w:rFonts w:ascii="Times New Roman" w:hAnsi="Times New Roman" w:cs="Times New Roman"/>
          <w:bCs/>
          <w:sz w:val="24"/>
          <w:szCs w:val="24"/>
        </w:rPr>
      </w:pPr>
      <w:r w:rsidRPr="00B403FD">
        <w:rPr>
          <w:rFonts w:ascii="Times New Roman" w:hAnsi="Times New Roman" w:cs="Times New Roman"/>
          <w:bCs/>
          <w:sz w:val="24"/>
          <w:szCs w:val="24"/>
        </w:rPr>
        <w:t>Lai vērtētu fiskālo risku vadības sistēmas efektivitāti, nepieciešams novērtēt, cik lielā mērā fiskālo rādītāju iznākums atšķiras no to prognozēm. Būtisks faktors šo atšķirību veidošanā ir faktisko makroekonomisko rādītāju novirzēm no to prognozētajām vērtībām.</w:t>
      </w:r>
    </w:p>
    <w:p w14:paraId="0B911B15" w14:textId="77777777" w:rsidR="004C7742" w:rsidRPr="00B403FD" w:rsidRDefault="004C7742" w:rsidP="004C7742">
      <w:pPr>
        <w:spacing w:after="0" w:line="240" w:lineRule="auto"/>
        <w:ind w:firstLine="720"/>
        <w:jc w:val="both"/>
        <w:rPr>
          <w:rFonts w:ascii="Times New Roman" w:hAnsi="Times New Roman" w:cs="Times New Roman"/>
          <w:bCs/>
          <w:sz w:val="24"/>
          <w:szCs w:val="24"/>
        </w:rPr>
      </w:pPr>
      <w:r w:rsidRPr="00B403FD">
        <w:rPr>
          <w:rFonts w:ascii="Times New Roman" w:hAnsi="Times New Roman" w:cs="Times New Roman"/>
          <w:bCs/>
          <w:sz w:val="24"/>
          <w:szCs w:val="24"/>
        </w:rPr>
        <w:t>Fiskālo risku vadības mērķis ir nodrošināt fiskālo rādītāju (plānotā vispārējās valdības budžeta strukturālā bilance, plānotā vispārējās valdības budžeta bilance, prognozētie valsts budžeta ieņēmumi un koriģētie maksimāli pieļaujamie valsts budžeta izdevumi) stabilitāti vidējā termiņā.</w:t>
      </w:r>
    </w:p>
    <w:p w14:paraId="58C8A4E2" w14:textId="661E9AF1" w:rsidR="004C7742" w:rsidRPr="00B403FD" w:rsidRDefault="004C7742" w:rsidP="004C7742">
      <w:pPr>
        <w:spacing w:after="0" w:line="240" w:lineRule="auto"/>
        <w:ind w:firstLine="720"/>
        <w:jc w:val="both"/>
        <w:rPr>
          <w:rFonts w:ascii="Times New Roman" w:hAnsi="Times New Roman" w:cs="Times New Roman"/>
          <w:bCs/>
          <w:sz w:val="24"/>
          <w:szCs w:val="24"/>
        </w:rPr>
      </w:pPr>
      <w:r w:rsidRPr="00B403FD">
        <w:rPr>
          <w:rFonts w:ascii="Times New Roman" w:hAnsi="Times New Roman" w:cs="Times New Roman"/>
          <w:bCs/>
          <w:sz w:val="24"/>
          <w:szCs w:val="24"/>
        </w:rPr>
        <w:t xml:space="preserve">Būtiskākie fiskālie rādītāji ir vispārējās valdības budžeta strukturālā bilance (skat. tabulu </w:t>
      </w:r>
      <w:r w:rsidR="008C51D2">
        <w:rPr>
          <w:rFonts w:ascii="Times New Roman" w:hAnsi="Times New Roman" w:cs="Times New Roman"/>
          <w:bCs/>
          <w:sz w:val="24"/>
          <w:szCs w:val="24"/>
        </w:rPr>
        <w:t>Nr.</w:t>
      </w:r>
      <w:r w:rsidRPr="00B403FD">
        <w:rPr>
          <w:rFonts w:ascii="Times New Roman" w:hAnsi="Times New Roman" w:cs="Times New Roman"/>
          <w:bCs/>
          <w:sz w:val="24"/>
          <w:szCs w:val="24"/>
        </w:rPr>
        <w:t>7.1) un vispārējās valdības budžeta bilance (skat. tabulu Nr.7.2.</w:t>
      </w:r>
      <w:r w:rsidR="00E10827" w:rsidRPr="00B403FD">
        <w:rPr>
          <w:rFonts w:ascii="Times New Roman" w:hAnsi="Times New Roman" w:cs="Times New Roman"/>
          <w:bCs/>
          <w:sz w:val="24"/>
          <w:szCs w:val="24"/>
        </w:rPr>
        <w:t>)</w:t>
      </w:r>
      <w:r w:rsidRPr="00B403FD">
        <w:rPr>
          <w:rFonts w:ascii="Times New Roman" w:hAnsi="Times New Roman" w:cs="Times New Roman"/>
          <w:bCs/>
          <w:sz w:val="24"/>
          <w:szCs w:val="24"/>
        </w:rPr>
        <w:t xml:space="preserve"> </w:t>
      </w:r>
    </w:p>
    <w:p w14:paraId="378DE687" w14:textId="0EC41A06" w:rsidR="00C3526F" w:rsidRPr="00ED1EE3" w:rsidRDefault="004C7742" w:rsidP="00ED1EE3">
      <w:pPr>
        <w:spacing w:before="240"/>
        <w:jc w:val="right"/>
        <w:rPr>
          <w:rFonts w:ascii="Times New Roman" w:hAnsi="Times New Roman" w:cs="Times New Roman"/>
          <w:b/>
          <w:sz w:val="23"/>
          <w:szCs w:val="23"/>
        </w:rPr>
      </w:pPr>
      <w:r w:rsidRPr="00B403FD">
        <w:rPr>
          <w:rFonts w:ascii="Times New Roman" w:hAnsi="Times New Roman" w:cs="Times New Roman"/>
          <w:b/>
          <w:sz w:val="23"/>
          <w:szCs w:val="23"/>
        </w:rPr>
        <w:t>Tabula Nr.7.1 Vispārējās valdības budžeta strukturālā bilance (SB) un izlaižu starpība</w:t>
      </w:r>
      <w:r w:rsidR="00C82B3D">
        <w:rPr>
          <w:rFonts w:ascii="Times New Roman" w:hAnsi="Times New Roman" w:cs="Times New Roman"/>
          <w:b/>
          <w:sz w:val="23"/>
          <w:szCs w:val="23"/>
        </w:rPr>
        <w:t>,</w:t>
      </w:r>
      <w:r w:rsidRPr="00B403FD">
        <w:rPr>
          <w:rFonts w:ascii="Times New Roman" w:hAnsi="Times New Roman" w:cs="Times New Roman"/>
          <w:b/>
          <w:sz w:val="23"/>
          <w:szCs w:val="23"/>
        </w:rPr>
        <w:t xml:space="preserve"> % no IKP</w:t>
      </w:r>
    </w:p>
    <w:tbl>
      <w:tblPr>
        <w:tblStyle w:val="GridTable6Colorful-Accent11"/>
        <w:tblW w:w="9989" w:type="dxa"/>
        <w:jc w:val="center"/>
        <w:tblLook w:val="04A0" w:firstRow="1" w:lastRow="0" w:firstColumn="1" w:lastColumn="0" w:noHBand="0" w:noVBand="1"/>
      </w:tblPr>
      <w:tblGrid>
        <w:gridCol w:w="861"/>
        <w:gridCol w:w="3148"/>
        <w:gridCol w:w="1065"/>
        <w:gridCol w:w="983"/>
        <w:gridCol w:w="983"/>
        <w:gridCol w:w="983"/>
        <w:gridCol w:w="983"/>
        <w:gridCol w:w="983"/>
      </w:tblGrid>
      <w:tr w:rsidR="00C3526F" w:rsidRPr="00C3526F" w14:paraId="318A1CEE" w14:textId="77777777" w:rsidTr="00E252EB">
        <w:trPr>
          <w:cnfStyle w:val="100000000000" w:firstRow="1" w:lastRow="0" w:firstColumn="0" w:lastColumn="0" w:oddVBand="0" w:evenVBand="0" w:oddHBand="0"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3281" w:type="dxa"/>
            <w:gridSpan w:val="2"/>
            <w:noWrap/>
            <w:vAlign w:val="center"/>
            <w:hideMark/>
          </w:tcPr>
          <w:p w14:paraId="2963FE5C" w14:textId="4AF4071A" w:rsidR="00C3526F" w:rsidRPr="00C3526F" w:rsidRDefault="00C3526F" w:rsidP="00C3526F">
            <w:pPr>
              <w:jc w:val="center"/>
              <w:rPr>
                <w:rFonts w:eastAsia="Times New Roman" w:cs="Times New Roman"/>
                <w:color w:val="auto"/>
                <w:sz w:val="20"/>
                <w:szCs w:val="20"/>
                <w:lang w:eastAsia="lv-LV"/>
              </w:rPr>
            </w:pPr>
          </w:p>
        </w:tc>
        <w:tc>
          <w:tcPr>
            <w:tcW w:w="0" w:type="dxa"/>
            <w:vAlign w:val="center"/>
            <w:hideMark/>
          </w:tcPr>
          <w:p w14:paraId="7C21CD02" w14:textId="77777777" w:rsidR="00C3526F" w:rsidRPr="00C3526F" w:rsidRDefault="00C3526F" w:rsidP="00C352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lv-LV"/>
              </w:rPr>
            </w:pPr>
            <w:r w:rsidRPr="00C3526F">
              <w:rPr>
                <w:rFonts w:eastAsia="Times New Roman" w:cs="Times New Roman"/>
                <w:b w:val="0"/>
                <w:bCs w:val="0"/>
                <w:color w:val="auto"/>
                <w:sz w:val="20"/>
                <w:szCs w:val="20"/>
                <w:lang w:eastAsia="lv-LV"/>
              </w:rPr>
              <w:t>Budžeta likums 2019. gadam</w:t>
            </w:r>
          </w:p>
        </w:tc>
        <w:tc>
          <w:tcPr>
            <w:tcW w:w="0" w:type="dxa"/>
            <w:vAlign w:val="center"/>
            <w:hideMark/>
          </w:tcPr>
          <w:p w14:paraId="37C2D1C5" w14:textId="77777777" w:rsidR="00C3526F" w:rsidRPr="00C3526F" w:rsidRDefault="00C3526F" w:rsidP="00C352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lv-LV"/>
              </w:rPr>
            </w:pPr>
            <w:r w:rsidRPr="00C3526F">
              <w:rPr>
                <w:rFonts w:eastAsia="Times New Roman" w:cs="Times New Roman"/>
                <w:b w:val="0"/>
                <w:bCs w:val="0"/>
                <w:color w:val="auto"/>
                <w:sz w:val="20"/>
                <w:szCs w:val="20"/>
                <w:lang w:eastAsia="lv-LV"/>
              </w:rPr>
              <w:t>VTBIL 2020 – 2022</w:t>
            </w:r>
          </w:p>
        </w:tc>
        <w:tc>
          <w:tcPr>
            <w:tcW w:w="0" w:type="dxa"/>
            <w:vAlign w:val="center"/>
            <w:hideMark/>
          </w:tcPr>
          <w:p w14:paraId="47F638C6" w14:textId="77777777" w:rsidR="00C3526F" w:rsidRPr="00C3526F" w:rsidRDefault="00C3526F" w:rsidP="00C352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lv-LV"/>
              </w:rPr>
            </w:pPr>
            <w:r w:rsidRPr="00C3526F">
              <w:rPr>
                <w:rFonts w:eastAsia="Times New Roman" w:cs="Times New Roman"/>
                <w:b w:val="0"/>
                <w:bCs w:val="0"/>
                <w:color w:val="auto"/>
                <w:sz w:val="20"/>
                <w:szCs w:val="20"/>
                <w:lang w:eastAsia="lv-LV"/>
              </w:rPr>
              <w:t>VTBIL 2021 – 2023</w:t>
            </w:r>
          </w:p>
        </w:tc>
        <w:tc>
          <w:tcPr>
            <w:tcW w:w="0" w:type="dxa"/>
            <w:vAlign w:val="center"/>
            <w:hideMark/>
          </w:tcPr>
          <w:p w14:paraId="4BECE556" w14:textId="77777777" w:rsidR="00C3526F" w:rsidRPr="00C3526F" w:rsidRDefault="00C3526F" w:rsidP="00C352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lv-LV"/>
              </w:rPr>
            </w:pPr>
            <w:r w:rsidRPr="00C3526F">
              <w:rPr>
                <w:rFonts w:eastAsia="Times New Roman" w:cs="Times New Roman"/>
                <w:b w:val="0"/>
                <w:bCs w:val="0"/>
                <w:color w:val="auto"/>
                <w:sz w:val="20"/>
                <w:szCs w:val="20"/>
                <w:lang w:eastAsia="lv-LV"/>
              </w:rPr>
              <w:t>VTBIL 2022 – 2024</w:t>
            </w:r>
          </w:p>
        </w:tc>
        <w:tc>
          <w:tcPr>
            <w:tcW w:w="0" w:type="dxa"/>
            <w:vAlign w:val="center"/>
            <w:hideMark/>
          </w:tcPr>
          <w:p w14:paraId="5A26F32D" w14:textId="77777777" w:rsidR="00C3526F" w:rsidRPr="00C3526F" w:rsidRDefault="00C3526F" w:rsidP="00C352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lv-LV"/>
              </w:rPr>
            </w:pPr>
            <w:r w:rsidRPr="00C3526F">
              <w:rPr>
                <w:rFonts w:eastAsia="Times New Roman" w:cs="Times New Roman"/>
                <w:b w:val="0"/>
                <w:bCs w:val="0"/>
                <w:color w:val="auto"/>
                <w:sz w:val="20"/>
                <w:szCs w:val="20"/>
                <w:lang w:eastAsia="lv-LV"/>
              </w:rPr>
              <w:t>VTBIL 2023 – 2025</w:t>
            </w:r>
          </w:p>
        </w:tc>
        <w:tc>
          <w:tcPr>
            <w:tcW w:w="0" w:type="dxa"/>
            <w:vAlign w:val="center"/>
            <w:hideMark/>
          </w:tcPr>
          <w:p w14:paraId="234BE482" w14:textId="77777777" w:rsidR="00C3526F" w:rsidRPr="00C3526F" w:rsidRDefault="00C3526F" w:rsidP="00C352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lv-LV"/>
              </w:rPr>
            </w:pPr>
            <w:r w:rsidRPr="00C3526F">
              <w:rPr>
                <w:rFonts w:eastAsia="Times New Roman" w:cs="Times New Roman"/>
                <w:b w:val="0"/>
                <w:bCs w:val="0"/>
                <w:color w:val="auto"/>
                <w:sz w:val="20"/>
                <w:szCs w:val="20"/>
                <w:lang w:eastAsia="lv-LV"/>
              </w:rPr>
              <w:t>VTBIL 2024 – 2026</w:t>
            </w:r>
          </w:p>
        </w:tc>
      </w:tr>
      <w:tr w:rsidR="00C3526F" w:rsidRPr="00C3526F" w14:paraId="20269AC6"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vAlign w:val="center"/>
            <w:hideMark/>
          </w:tcPr>
          <w:p w14:paraId="1A8497CD" w14:textId="77777777" w:rsidR="00C3526F" w:rsidRPr="00C3526F" w:rsidRDefault="00C3526F" w:rsidP="00C3526F">
            <w:pPr>
              <w:jc w:val="center"/>
              <w:rPr>
                <w:rFonts w:eastAsia="Times New Roman" w:cs="Times New Roman"/>
                <w:color w:val="auto"/>
                <w:sz w:val="20"/>
                <w:szCs w:val="20"/>
                <w:lang w:eastAsia="lv-LV"/>
              </w:rPr>
            </w:pPr>
            <w:r w:rsidRPr="00C3526F">
              <w:rPr>
                <w:rFonts w:eastAsia="Times New Roman" w:cs="Times New Roman"/>
                <w:color w:val="auto"/>
                <w:sz w:val="20"/>
                <w:szCs w:val="20"/>
                <w:lang w:eastAsia="lv-LV"/>
              </w:rPr>
              <w:t>2019</w:t>
            </w:r>
          </w:p>
        </w:tc>
        <w:tc>
          <w:tcPr>
            <w:tcW w:w="2577" w:type="dxa"/>
            <w:vAlign w:val="center"/>
            <w:hideMark/>
          </w:tcPr>
          <w:p w14:paraId="6BC055EF"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noteiktais SB mērķis</w:t>
            </w:r>
          </w:p>
        </w:tc>
        <w:tc>
          <w:tcPr>
            <w:tcW w:w="0" w:type="dxa"/>
            <w:vAlign w:val="center"/>
            <w:hideMark/>
          </w:tcPr>
          <w:p w14:paraId="4CAD9015"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-0,5</w:t>
            </w:r>
          </w:p>
        </w:tc>
        <w:tc>
          <w:tcPr>
            <w:tcW w:w="0" w:type="dxa"/>
            <w:noWrap/>
            <w:vAlign w:val="center"/>
            <w:hideMark/>
          </w:tcPr>
          <w:p w14:paraId="397D62F3" w14:textId="0EC1554D"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A49DEA5" w14:textId="29F2312F"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EEF15AB" w14:textId="4B55931E"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51EFDAA" w14:textId="2CF9C4D6"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0F6339C" w14:textId="0500FE8B"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5F53EAC2"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040C7321"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6CA95A41"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vAlign w:val="center"/>
            <w:hideMark/>
          </w:tcPr>
          <w:p w14:paraId="37F86254"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-0,7</w:t>
            </w:r>
          </w:p>
        </w:tc>
        <w:tc>
          <w:tcPr>
            <w:tcW w:w="0" w:type="dxa"/>
            <w:noWrap/>
            <w:vAlign w:val="center"/>
            <w:hideMark/>
          </w:tcPr>
          <w:p w14:paraId="4EE10DF3" w14:textId="1231C1D6"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AE11086" w14:textId="19E5F015"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743B814" w14:textId="25381818"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BF9911D" w14:textId="7401089D"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040C1B4" w14:textId="66B45C3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374A5737"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3162028C" w14:textId="77777777" w:rsidR="00C3526F" w:rsidRPr="00C3526F" w:rsidRDefault="00C3526F" w:rsidP="00C3526F">
            <w:pPr>
              <w:jc w:val="center"/>
              <w:rPr>
                <w:rFonts w:eastAsia="Times New Roman" w:cs="Times New Roman"/>
                <w:color w:val="auto"/>
                <w:sz w:val="20"/>
                <w:szCs w:val="20"/>
                <w:lang w:eastAsia="lv-LV"/>
              </w:rPr>
            </w:pPr>
          </w:p>
        </w:tc>
        <w:tc>
          <w:tcPr>
            <w:tcW w:w="2577" w:type="dxa"/>
            <w:vAlign w:val="center"/>
            <w:hideMark/>
          </w:tcPr>
          <w:p w14:paraId="1808882F"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noteiktā izlaižu starpība</w:t>
            </w:r>
          </w:p>
        </w:tc>
        <w:tc>
          <w:tcPr>
            <w:tcW w:w="0" w:type="dxa"/>
            <w:vAlign w:val="center"/>
            <w:hideMark/>
          </w:tcPr>
          <w:p w14:paraId="1A5D25F4"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0,9</w:t>
            </w:r>
          </w:p>
        </w:tc>
        <w:tc>
          <w:tcPr>
            <w:tcW w:w="0" w:type="dxa"/>
            <w:noWrap/>
            <w:vAlign w:val="center"/>
            <w:hideMark/>
          </w:tcPr>
          <w:p w14:paraId="0285C1EF" w14:textId="304229C2"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606D9B74" w14:textId="7548BC68"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67F1A2BB" w14:textId="0270E62F"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3BFCDEDD" w14:textId="403B4B0D"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6EFE9295" w14:textId="3DBB117C"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1DD3CECD"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3A00A0D6"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45271300"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vAlign w:val="center"/>
            <w:hideMark/>
          </w:tcPr>
          <w:p w14:paraId="0710B800"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2,7</w:t>
            </w:r>
          </w:p>
        </w:tc>
        <w:tc>
          <w:tcPr>
            <w:tcW w:w="0" w:type="dxa"/>
            <w:noWrap/>
            <w:vAlign w:val="center"/>
            <w:hideMark/>
          </w:tcPr>
          <w:p w14:paraId="276F990A" w14:textId="4C9A91C5"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7F4EE195" w14:textId="60D71698"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030FFE0" w14:textId="368AB1DE"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42D4F9D5" w14:textId="01D653AA"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7F8148D3" w14:textId="16545536"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60A105CD"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vAlign w:val="center"/>
            <w:hideMark/>
          </w:tcPr>
          <w:p w14:paraId="61B14398" w14:textId="77777777" w:rsidR="00C3526F" w:rsidRPr="00C3526F" w:rsidRDefault="00C3526F" w:rsidP="00C3526F">
            <w:pPr>
              <w:jc w:val="center"/>
              <w:rPr>
                <w:rFonts w:eastAsia="Times New Roman" w:cs="Times New Roman"/>
                <w:color w:val="auto"/>
                <w:sz w:val="20"/>
                <w:szCs w:val="20"/>
                <w:lang w:eastAsia="lv-LV"/>
              </w:rPr>
            </w:pPr>
            <w:r w:rsidRPr="00C3526F">
              <w:rPr>
                <w:rFonts w:eastAsia="Times New Roman" w:cs="Times New Roman"/>
                <w:color w:val="auto"/>
                <w:sz w:val="20"/>
                <w:szCs w:val="20"/>
                <w:lang w:eastAsia="lv-LV"/>
              </w:rPr>
              <w:t>2020</w:t>
            </w:r>
          </w:p>
        </w:tc>
        <w:tc>
          <w:tcPr>
            <w:tcW w:w="2577" w:type="dxa"/>
            <w:vAlign w:val="center"/>
            <w:hideMark/>
          </w:tcPr>
          <w:p w14:paraId="687B161A"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noteiktais SB mērķis</w:t>
            </w:r>
          </w:p>
        </w:tc>
        <w:tc>
          <w:tcPr>
            <w:tcW w:w="0" w:type="dxa"/>
            <w:noWrap/>
            <w:vAlign w:val="center"/>
            <w:hideMark/>
          </w:tcPr>
          <w:p w14:paraId="550BD543" w14:textId="3C55B1CA"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420141CF"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-0,5</w:t>
            </w:r>
          </w:p>
        </w:tc>
        <w:tc>
          <w:tcPr>
            <w:tcW w:w="0" w:type="dxa"/>
            <w:noWrap/>
            <w:vAlign w:val="center"/>
            <w:hideMark/>
          </w:tcPr>
          <w:p w14:paraId="45466D34" w14:textId="3E927391"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39D836E9" w14:textId="13684BB5"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36BF6C60" w14:textId="232D23EA"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68AD6FA5" w14:textId="15C79496"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03279760"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1C6862CA"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6BA2A6A3"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59DFB173" w14:textId="249C0A66"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75A77AE4"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0,5</w:t>
            </w:r>
          </w:p>
        </w:tc>
        <w:tc>
          <w:tcPr>
            <w:tcW w:w="0" w:type="dxa"/>
            <w:noWrap/>
            <w:vAlign w:val="center"/>
            <w:hideMark/>
          </w:tcPr>
          <w:p w14:paraId="35226F2B" w14:textId="11479E9C"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050FA5A8" w14:textId="039C78F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4452DA20" w14:textId="24D8D78C"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3986CB07" w14:textId="2DD1E476"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21B6580C"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20E6EA76" w14:textId="77777777" w:rsidR="00C3526F" w:rsidRPr="00C3526F" w:rsidRDefault="00C3526F" w:rsidP="00C3526F">
            <w:pPr>
              <w:jc w:val="center"/>
              <w:rPr>
                <w:rFonts w:eastAsia="Times New Roman" w:cs="Times New Roman"/>
                <w:color w:val="auto"/>
                <w:sz w:val="20"/>
                <w:szCs w:val="20"/>
                <w:lang w:eastAsia="lv-LV"/>
              </w:rPr>
            </w:pPr>
          </w:p>
        </w:tc>
        <w:tc>
          <w:tcPr>
            <w:tcW w:w="2577" w:type="dxa"/>
            <w:vAlign w:val="center"/>
            <w:hideMark/>
          </w:tcPr>
          <w:p w14:paraId="55BD6744"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noteiktā izlaižu starpība</w:t>
            </w:r>
          </w:p>
        </w:tc>
        <w:tc>
          <w:tcPr>
            <w:tcW w:w="0" w:type="dxa"/>
            <w:noWrap/>
            <w:vAlign w:val="center"/>
            <w:hideMark/>
          </w:tcPr>
          <w:p w14:paraId="5E2F8799" w14:textId="68364B19"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6071E800"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0,8</w:t>
            </w:r>
          </w:p>
        </w:tc>
        <w:tc>
          <w:tcPr>
            <w:tcW w:w="0" w:type="dxa"/>
            <w:noWrap/>
            <w:vAlign w:val="center"/>
            <w:hideMark/>
          </w:tcPr>
          <w:p w14:paraId="0CDE25AA" w14:textId="05EBDBD2"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4157A02F" w14:textId="445CC3AE"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9A8F21B" w14:textId="35CBD37C"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415CD724" w14:textId="677D1DC0"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096DCC8A"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6B5C8146"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56D84E1E"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4339C01F" w14:textId="45EB498F"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198C3C55"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-3,0</w:t>
            </w:r>
          </w:p>
        </w:tc>
        <w:tc>
          <w:tcPr>
            <w:tcW w:w="0" w:type="dxa"/>
            <w:noWrap/>
            <w:vAlign w:val="center"/>
            <w:hideMark/>
          </w:tcPr>
          <w:p w14:paraId="33F33EE7" w14:textId="6E71C19F"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5C0FC56" w14:textId="1D1DE65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79D2F9B" w14:textId="1F19D7D8"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4382845" w14:textId="3D7A3D3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6966A283"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vAlign w:val="center"/>
            <w:hideMark/>
          </w:tcPr>
          <w:p w14:paraId="544C8C12" w14:textId="77777777" w:rsidR="00C3526F" w:rsidRPr="00C3526F" w:rsidRDefault="00C3526F" w:rsidP="00C3526F">
            <w:pPr>
              <w:jc w:val="center"/>
              <w:rPr>
                <w:rFonts w:eastAsia="Times New Roman" w:cs="Times New Roman"/>
                <w:color w:val="auto"/>
                <w:sz w:val="20"/>
                <w:szCs w:val="20"/>
                <w:lang w:eastAsia="lv-LV"/>
              </w:rPr>
            </w:pPr>
            <w:r w:rsidRPr="00C3526F">
              <w:rPr>
                <w:rFonts w:eastAsia="Times New Roman" w:cs="Times New Roman"/>
                <w:color w:val="auto"/>
                <w:sz w:val="20"/>
                <w:szCs w:val="20"/>
                <w:lang w:eastAsia="lv-LV"/>
              </w:rPr>
              <w:t>2021</w:t>
            </w:r>
          </w:p>
        </w:tc>
        <w:tc>
          <w:tcPr>
            <w:tcW w:w="2577" w:type="dxa"/>
            <w:vAlign w:val="center"/>
            <w:hideMark/>
          </w:tcPr>
          <w:p w14:paraId="17A66263"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noteiktais SB mērķis</w:t>
            </w:r>
          </w:p>
        </w:tc>
        <w:tc>
          <w:tcPr>
            <w:tcW w:w="0" w:type="dxa"/>
            <w:noWrap/>
            <w:vAlign w:val="center"/>
            <w:hideMark/>
          </w:tcPr>
          <w:p w14:paraId="65192D41" w14:textId="158AD586"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11EA06C9"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-0,5</w:t>
            </w:r>
          </w:p>
        </w:tc>
        <w:tc>
          <w:tcPr>
            <w:tcW w:w="0" w:type="dxa"/>
            <w:vAlign w:val="center"/>
            <w:hideMark/>
          </w:tcPr>
          <w:p w14:paraId="5A12FD46" w14:textId="46193E52"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-2</w:t>
            </w:r>
            <w:r w:rsidR="00025575">
              <w:rPr>
                <w:rFonts w:eastAsia="Times New Roman" w:cs="Times New Roman"/>
                <w:color w:val="auto"/>
                <w:sz w:val="20"/>
                <w:szCs w:val="20"/>
                <w:lang w:eastAsia="lv-LV"/>
              </w:rPr>
              <w:t>,0</w:t>
            </w:r>
          </w:p>
        </w:tc>
        <w:tc>
          <w:tcPr>
            <w:tcW w:w="0" w:type="dxa"/>
            <w:noWrap/>
            <w:vAlign w:val="center"/>
            <w:hideMark/>
          </w:tcPr>
          <w:p w14:paraId="258B3F5F" w14:textId="0A2E4329"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6A0AEA4A" w14:textId="2BD32854"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3FCAFD5D" w14:textId="5EBEED5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4699D296"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2175719B"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3193FE02"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15845D22" w14:textId="5DA3FFBD"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1F5A2FE" w14:textId="7796ED6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177AA23F"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-1,4</w:t>
            </w:r>
          </w:p>
        </w:tc>
        <w:tc>
          <w:tcPr>
            <w:tcW w:w="0" w:type="dxa"/>
            <w:noWrap/>
            <w:vAlign w:val="center"/>
            <w:hideMark/>
          </w:tcPr>
          <w:p w14:paraId="56AF18A9" w14:textId="741E1F91"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651FA11" w14:textId="42AE02D3"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61F31C84" w14:textId="28AF29F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59F2D75E"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1630AE25" w14:textId="77777777" w:rsidR="00C3526F" w:rsidRPr="00C3526F" w:rsidRDefault="00C3526F" w:rsidP="00C3526F">
            <w:pPr>
              <w:jc w:val="center"/>
              <w:rPr>
                <w:rFonts w:eastAsia="Times New Roman" w:cs="Times New Roman"/>
                <w:color w:val="auto"/>
                <w:sz w:val="20"/>
                <w:szCs w:val="20"/>
                <w:lang w:eastAsia="lv-LV"/>
              </w:rPr>
            </w:pPr>
          </w:p>
        </w:tc>
        <w:tc>
          <w:tcPr>
            <w:tcW w:w="2577" w:type="dxa"/>
            <w:vAlign w:val="center"/>
            <w:hideMark/>
          </w:tcPr>
          <w:p w14:paraId="64957943"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noteiktā izlaižu starpība</w:t>
            </w:r>
          </w:p>
        </w:tc>
        <w:tc>
          <w:tcPr>
            <w:tcW w:w="0" w:type="dxa"/>
            <w:noWrap/>
            <w:vAlign w:val="center"/>
            <w:hideMark/>
          </w:tcPr>
          <w:p w14:paraId="5559E58B" w14:textId="62E92C30"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74C7D60B"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0,4</w:t>
            </w:r>
          </w:p>
        </w:tc>
        <w:tc>
          <w:tcPr>
            <w:tcW w:w="0" w:type="dxa"/>
            <w:noWrap/>
            <w:vAlign w:val="center"/>
            <w:hideMark/>
          </w:tcPr>
          <w:p w14:paraId="316B47F4"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-5,4</w:t>
            </w:r>
          </w:p>
        </w:tc>
        <w:tc>
          <w:tcPr>
            <w:tcW w:w="0" w:type="dxa"/>
            <w:noWrap/>
            <w:vAlign w:val="center"/>
            <w:hideMark/>
          </w:tcPr>
          <w:p w14:paraId="7BB41B1A" w14:textId="26511045"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4780AEE1" w14:textId="0EE9F0F3"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EC1C016" w14:textId="3FCD5180"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7660DDEC"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543D2702"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490E6D37"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4980A9A0" w14:textId="42BC7052"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67F84660" w14:textId="522DC4F1"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3AB0B641"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-1,5</w:t>
            </w:r>
          </w:p>
        </w:tc>
        <w:tc>
          <w:tcPr>
            <w:tcW w:w="0" w:type="dxa"/>
            <w:noWrap/>
            <w:vAlign w:val="center"/>
            <w:hideMark/>
          </w:tcPr>
          <w:p w14:paraId="284CAC3D" w14:textId="40E93282"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07864B9" w14:textId="4D4380B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45BCC866" w14:textId="31ADBE01"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1FAA293D"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vAlign w:val="center"/>
            <w:hideMark/>
          </w:tcPr>
          <w:p w14:paraId="7D2EA403" w14:textId="77777777" w:rsidR="00C3526F" w:rsidRPr="00C3526F" w:rsidRDefault="00C3526F" w:rsidP="00C3526F">
            <w:pPr>
              <w:jc w:val="center"/>
              <w:rPr>
                <w:rFonts w:eastAsia="Times New Roman" w:cs="Times New Roman"/>
                <w:color w:val="auto"/>
                <w:sz w:val="20"/>
                <w:szCs w:val="20"/>
                <w:lang w:eastAsia="lv-LV"/>
              </w:rPr>
            </w:pPr>
            <w:r w:rsidRPr="00C3526F">
              <w:rPr>
                <w:rFonts w:eastAsia="Times New Roman" w:cs="Times New Roman"/>
                <w:color w:val="auto"/>
                <w:sz w:val="20"/>
                <w:szCs w:val="20"/>
                <w:lang w:eastAsia="lv-LV"/>
              </w:rPr>
              <w:t>2022</w:t>
            </w:r>
          </w:p>
        </w:tc>
        <w:tc>
          <w:tcPr>
            <w:tcW w:w="2577" w:type="dxa"/>
            <w:vAlign w:val="center"/>
            <w:hideMark/>
          </w:tcPr>
          <w:p w14:paraId="0156FBE8"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noteiktais SB mērķis</w:t>
            </w:r>
          </w:p>
        </w:tc>
        <w:tc>
          <w:tcPr>
            <w:tcW w:w="0" w:type="dxa"/>
            <w:noWrap/>
            <w:vAlign w:val="center"/>
            <w:hideMark/>
          </w:tcPr>
          <w:p w14:paraId="010AADA8" w14:textId="715EF7D0"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11B4A641" w14:textId="6355E364"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5A5ACEA2" w14:textId="28BDB48A"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-1</w:t>
            </w:r>
            <w:r w:rsidR="00025575">
              <w:rPr>
                <w:rFonts w:eastAsia="Times New Roman" w:cs="Times New Roman"/>
                <w:color w:val="auto"/>
                <w:sz w:val="20"/>
                <w:szCs w:val="20"/>
                <w:lang w:eastAsia="lv-LV"/>
              </w:rPr>
              <w:t>,0</w:t>
            </w:r>
          </w:p>
        </w:tc>
        <w:tc>
          <w:tcPr>
            <w:tcW w:w="0" w:type="dxa"/>
            <w:vAlign w:val="center"/>
            <w:hideMark/>
          </w:tcPr>
          <w:p w14:paraId="68B60530"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-4,7</w:t>
            </w:r>
          </w:p>
        </w:tc>
        <w:tc>
          <w:tcPr>
            <w:tcW w:w="0" w:type="dxa"/>
            <w:noWrap/>
            <w:vAlign w:val="center"/>
            <w:hideMark/>
          </w:tcPr>
          <w:p w14:paraId="29F1ECFD" w14:textId="710164D8"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411D64A0" w14:textId="5D86936D"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3D64145D"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5DFCDE34"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48E550F3"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205F4EE0" w14:textId="0ED2983D"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03619DA1" w14:textId="40271541"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2E8CA15" w14:textId="36674830"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479D61FE"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-0,6</w:t>
            </w:r>
          </w:p>
        </w:tc>
        <w:tc>
          <w:tcPr>
            <w:tcW w:w="0" w:type="dxa"/>
            <w:noWrap/>
            <w:vAlign w:val="center"/>
            <w:hideMark/>
          </w:tcPr>
          <w:p w14:paraId="7BC5295B" w14:textId="334930A8"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5D09154" w14:textId="19DC60FE"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548FD90F"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436E0D40" w14:textId="77777777" w:rsidR="00C3526F" w:rsidRPr="00C3526F" w:rsidRDefault="00C3526F" w:rsidP="00C3526F">
            <w:pPr>
              <w:jc w:val="center"/>
              <w:rPr>
                <w:rFonts w:eastAsia="Times New Roman" w:cs="Times New Roman"/>
                <w:color w:val="auto"/>
                <w:sz w:val="20"/>
                <w:szCs w:val="20"/>
                <w:lang w:eastAsia="lv-LV"/>
              </w:rPr>
            </w:pPr>
          </w:p>
        </w:tc>
        <w:tc>
          <w:tcPr>
            <w:tcW w:w="2577" w:type="dxa"/>
            <w:vAlign w:val="center"/>
            <w:hideMark/>
          </w:tcPr>
          <w:p w14:paraId="6FFF2571"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noteiktā izlaižu starpība</w:t>
            </w:r>
          </w:p>
        </w:tc>
        <w:tc>
          <w:tcPr>
            <w:tcW w:w="0" w:type="dxa"/>
            <w:noWrap/>
            <w:vAlign w:val="center"/>
            <w:hideMark/>
          </w:tcPr>
          <w:p w14:paraId="2A4C4E0C" w14:textId="3681C073"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4C5AEEB6" w14:textId="2AC0BCE4"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784997A"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-4,8</w:t>
            </w:r>
          </w:p>
        </w:tc>
        <w:tc>
          <w:tcPr>
            <w:tcW w:w="0" w:type="dxa"/>
            <w:noWrap/>
            <w:vAlign w:val="center"/>
            <w:hideMark/>
          </w:tcPr>
          <w:p w14:paraId="1500C39A"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-0,5</w:t>
            </w:r>
          </w:p>
        </w:tc>
        <w:tc>
          <w:tcPr>
            <w:tcW w:w="0" w:type="dxa"/>
            <w:noWrap/>
            <w:vAlign w:val="center"/>
            <w:hideMark/>
          </w:tcPr>
          <w:p w14:paraId="595C9C19" w14:textId="3F1B4AC0"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0DD4AEA" w14:textId="150F6C03"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7D40F2CE"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2D86FD6D"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2EB5046F"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7177D4E3" w14:textId="0BAF74C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1D2EFC02" w14:textId="651FA6EB"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E868FCD" w14:textId="0A538128"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7B47725A"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1,2</w:t>
            </w:r>
          </w:p>
        </w:tc>
        <w:tc>
          <w:tcPr>
            <w:tcW w:w="0" w:type="dxa"/>
            <w:noWrap/>
            <w:vAlign w:val="center"/>
            <w:hideMark/>
          </w:tcPr>
          <w:p w14:paraId="7EFAE073" w14:textId="408E91B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7981A26C" w14:textId="38788CBE"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766BE283"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vAlign w:val="center"/>
            <w:hideMark/>
          </w:tcPr>
          <w:p w14:paraId="3FAFC67E" w14:textId="77777777" w:rsidR="00C3526F" w:rsidRPr="00C3526F" w:rsidRDefault="00C3526F" w:rsidP="00C3526F">
            <w:pPr>
              <w:jc w:val="center"/>
              <w:rPr>
                <w:rFonts w:eastAsia="Times New Roman" w:cs="Times New Roman"/>
                <w:color w:val="auto"/>
                <w:sz w:val="20"/>
                <w:szCs w:val="20"/>
                <w:lang w:eastAsia="lv-LV"/>
              </w:rPr>
            </w:pPr>
            <w:r w:rsidRPr="00C3526F">
              <w:rPr>
                <w:rFonts w:eastAsia="Times New Roman" w:cs="Times New Roman"/>
                <w:color w:val="auto"/>
                <w:sz w:val="20"/>
                <w:szCs w:val="20"/>
                <w:lang w:eastAsia="lv-LV"/>
              </w:rPr>
              <w:t>2023</w:t>
            </w:r>
          </w:p>
        </w:tc>
        <w:tc>
          <w:tcPr>
            <w:tcW w:w="2577" w:type="dxa"/>
            <w:vAlign w:val="center"/>
            <w:hideMark/>
          </w:tcPr>
          <w:p w14:paraId="555E9AC7"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noteiktais SB mērķis</w:t>
            </w:r>
          </w:p>
        </w:tc>
        <w:tc>
          <w:tcPr>
            <w:tcW w:w="0" w:type="dxa"/>
            <w:noWrap/>
            <w:vAlign w:val="center"/>
            <w:hideMark/>
          </w:tcPr>
          <w:p w14:paraId="29649751" w14:textId="03BC3383"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30DBBCC" w14:textId="6610DDF0"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10EA2B86"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-0,1</w:t>
            </w:r>
          </w:p>
        </w:tc>
        <w:tc>
          <w:tcPr>
            <w:tcW w:w="0" w:type="dxa"/>
            <w:vAlign w:val="center"/>
            <w:hideMark/>
          </w:tcPr>
          <w:p w14:paraId="02945FD1"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-2,1</w:t>
            </w:r>
          </w:p>
        </w:tc>
        <w:tc>
          <w:tcPr>
            <w:tcW w:w="0" w:type="dxa"/>
            <w:vAlign w:val="center"/>
            <w:hideMark/>
          </w:tcPr>
          <w:p w14:paraId="112C87E1"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-0,5</w:t>
            </w:r>
          </w:p>
        </w:tc>
        <w:tc>
          <w:tcPr>
            <w:tcW w:w="0" w:type="dxa"/>
            <w:noWrap/>
            <w:vAlign w:val="center"/>
            <w:hideMark/>
          </w:tcPr>
          <w:p w14:paraId="746589FF" w14:textId="301F269E"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5FAB8014"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23DDA491"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08FF1496"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3CC58407" w14:textId="36193A7D"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0066C99A" w14:textId="00E5A501"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0250D03F" w14:textId="04F7D7CE"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7151B64F" w14:textId="331EB568"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66CBF078"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-1,1</w:t>
            </w:r>
          </w:p>
        </w:tc>
        <w:tc>
          <w:tcPr>
            <w:tcW w:w="0" w:type="dxa"/>
            <w:noWrap/>
            <w:vAlign w:val="center"/>
            <w:hideMark/>
          </w:tcPr>
          <w:p w14:paraId="38D50848" w14:textId="3C22254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44B21899"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515D7BDF" w14:textId="77777777" w:rsidR="00C3526F" w:rsidRPr="00C3526F" w:rsidRDefault="00C3526F" w:rsidP="00C3526F">
            <w:pPr>
              <w:jc w:val="center"/>
              <w:rPr>
                <w:rFonts w:eastAsia="Times New Roman" w:cs="Times New Roman"/>
                <w:color w:val="auto"/>
                <w:sz w:val="20"/>
                <w:szCs w:val="20"/>
                <w:lang w:eastAsia="lv-LV"/>
              </w:rPr>
            </w:pPr>
          </w:p>
        </w:tc>
        <w:tc>
          <w:tcPr>
            <w:tcW w:w="2577" w:type="dxa"/>
            <w:vAlign w:val="center"/>
            <w:hideMark/>
          </w:tcPr>
          <w:p w14:paraId="0A65F67A"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noteiktā izlaižu starpība</w:t>
            </w:r>
          </w:p>
        </w:tc>
        <w:tc>
          <w:tcPr>
            <w:tcW w:w="0" w:type="dxa"/>
            <w:noWrap/>
            <w:vAlign w:val="center"/>
            <w:hideMark/>
          </w:tcPr>
          <w:p w14:paraId="04AD5F58" w14:textId="04FC6B06"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0A2F6F37" w14:textId="62A281B8"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58CA45F4"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-4,1</w:t>
            </w:r>
          </w:p>
        </w:tc>
        <w:tc>
          <w:tcPr>
            <w:tcW w:w="0" w:type="dxa"/>
            <w:noWrap/>
            <w:vAlign w:val="center"/>
            <w:hideMark/>
          </w:tcPr>
          <w:p w14:paraId="62EA8B96"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-0,1</w:t>
            </w:r>
          </w:p>
        </w:tc>
        <w:tc>
          <w:tcPr>
            <w:tcW w:w="0" w:type="dxa"/>
            <w:noWrap/>
            <w:vAlign w:val="center"/>
            <w:hideMark/>
          </w:tcPr>
          <w:p w14:paraId="5AF9F38D"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-2,1</w:t>
            </w:r>
          </w:p>
        </w:tc>
        <w:tc>
          <w:tcPr>
            <w:tcW w:w="0" w:type="dxa"/>
            <w:noWrap/>
            <w:vAlign w:val="center"/>
            <w:hideMark/>
          </w:tcPr>
          <w:p w14:paraId="42013DF1" w14:textId="0F57670F"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59693437"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7F667B72"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199ACAC3"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6261688A" w14:textId="27195D8D"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4DF45DD5" w14:textId="1326BF6B"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32C09D34" w14:textId="508A3380"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25BB227" w14:textId="60E6A83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32CE48FA"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2,1</w:t>
            </w:r>
          </w:p>
        </w:tc>
        <w:tc>
          <w:tcPr>
            <w:tcW w:w="0" w:type="dxa"/>
            <w:noWrap/>
            <w:vAlign w:val="center"/>
            <w:hideMark/>
          </w:tcPr>
          <w:p w14:paraId="2ED26B40" w14:textId="0BD02358"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r>
      <w:tr w:rsidR="00C3526F" w:rsidRPr="00C3526F" w14:paraId="63EFF70D"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vAlign w:val="center"/>
            <w:hideMark/>
          </w:tcPr>
          <w:p w14:paraId="34050423" w14:textId="77777777" w:rsidR="00C3526F" w:rsidRPr="00C3526F" w:rsidRDefault="00C3526F" w:rsidP="00C3526F">
            <w:pPr>
              <w:jc w:val="center"/>
              <w:rPr>
                <w:rFonts w:eastAsia="Times New Roman" w:cs="Times New Roman"/>
                <w:color w:val="auto"/>
                <w:sz w:val="20"/>
                <w:szCs w:val="20"/>
                <w:lang w:eastAsia="lv-LV"/>
              </w:rPr>
            </w:pPr>
            <w:r w:rsidRPr="00C3526F">
              <w:rPr>
                <w:rFonts w:eastAsia="Times New Roman" w:cs="Times New Roman"/>
                <w:color w:val="auto"/>
                <w:sz w:val="20"/>
                <w:szCs w:val="20"/>
                <w:lang w:eastAsia="lv-LV"/>
              </w:rPr>
              <w:t>2024</w:t>
            </w:r>
          </w:p>
        </w:tc>
        <w:tc>
          <w:tcPr>
            <w:tcW w:w="2577" w:type="dxa"/>
            <w:vAlign w:val="center"/>
            <w:hideMark/>
          </w:tcPr>
          <w:p w14:paraId="3F7C8A9B"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noteiktais SB mērķis</w:t>
            </w:r>
          </w:p>
        </w:tc>
        <w:tc>
          <w:tcPr>
            <w:tcW w:w="0" w:type="dxa"/>
            <w:noWrap/>
            <w:vAlign w:val="center"/>
            <w:hideMark/>
          </w:tcPr>
          <w:p w14:paraId="27DE389F" w14:textId="4AE8A6E2"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32EFD36" w14:textId="5A57039E"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0CB4C51B" w14:textId="5732A43B"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0DFA5109"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-1,4</w:t>
            </w:r>
          </w:p>
        </w:tc>
        <w:tc>
          <w:tcPr>
            <w:tcW w:w="0" w:type="dxa"/>
            <w:vAlign w:val="center"/>
            <w:hideMark/>
          </w:tcPr>
          <w:p w14:paraId="570390E6"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-0,5</w:t>
            </w:r>
          </w:p>
        </w:tc>
        <w:tc>
          <w:tcPr>
            <w:tcW w:w="0" w:type="dxa"/>
            <w:vAlign w:val="center"/>
            <w:hideMark/>
          </w:tcPr>
          <w:p w14:paraId="3EDA9E19"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-0,5</w:t>
            </w:r>
          </w:p>
        </w:tc>
      </w:tr>
      <w:tr w:rsidR="00C3526F" w:rsidRPr="00C3526F" w14:paraId="341DCC2B"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07E5A2FD"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0FAA81A8"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1B3CB0EC" w14:textId="4CD3517C"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025C0BA1" w14:textId="61E9EB05"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036D451" w14:textId="65EA0B03"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727BDD13" w14:textId="5EB55704"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4DD14D8" w14:textId="6DD827FD"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00756E86"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-0,1</w:t>
            </w:r>
          </w:p>
        </w:tc>
      </w:tr>
      <w:tr w:rsidR="00C3526F" w:rsidRPr="00C3526F" w14:paraId="74A91DC9" w14:textId="77777777" w:rsidTr="00E252E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762E5E04" w14:textId="77777777" w:rsidR="00C3526F" w:rsidRPr="00C3526F" w:rsidRDefault="00C3526F" w:rsidP="00C3526F">
            <w:pPr>
              <w:jc w:val="center"/>
              <w:rPr>
                <w:rFonts w:eastAsia="Times New Roman" w:cs="Times New Roman"/>
                <w:color w:val="auto"/>
                <w:sz w:val="20"/>
                <w:szCs w:val="20"/>
                <w:lang w:eastAsia="lv-LV"/>
              </w:rPr>
            </w:pPr>
          </w:p>
        </w:tc>
        <w:tc>
          <w:tcPr>
            <w:tcW w:w="2577" w:type="dxa"/>
            <w:vAlign w:val="center"/>
            <w:hideMark/>
          </w:tcPr>
          <w:p w14:paraId="6BD9C755" w14:textId="77777777" w:rsidR="00C3526F" w:rsidRPr="00C3526F" w:rsidRDefault="00C3526F" w:rsidP="00C3526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VTBIL noteiktā izlaižu starpība</w:t>
            </w:r>
          </w:p>
        </w:tc>
        <w:tc>
          <w:tcPr>
            <w:tcW w:w="0" w:type="dxa"/>
            <w:noWrap/>
            <w:vAlign w:val="center"/>
            <w:hideMark/>
          </w:tcPr>
          <w:p w14:paraId="1CC1047D" w14:textId="18831890"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33D5E596" w14:textId="78520554"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FD56B7B" w14:textId="7DA3707B"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9892C2B"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0,2</w:t>
            </w:r>
          </w:p>
        </w:tc>
        <w:tc>
          <w:tcPr>
            <w:tcW w:w="0" w:type="dxa"/>
            <w:noWrap/>
            <w:vAlign w:val="center"/>
            <w:hideMark/>
          </w:tcPr>
          <w:p w14:paraId="0E704956"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-1,2</w:t>
            </w:r>
          </w:p>
        </w:tc>
        <w:tc>
          <w:tcPr>
            <w:tcW w:w="0" w:type="dxa"/>
            <w:noWrap/>
            <w:vAlign w:val="center"/>
            <w:hideMark/>
          </w:tcPr>
          <w:p w14:paraId="04BA284F" w14:textId="77777777" w:rsidR="00C3526F" w:rsidRPr="00C3526F" w:rsidRDefault="00C3526F" w:rsidP="00C352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-1,3</w:t>
            </w:r>
          </w:p>
        </w:tc>
      </w:tr>
      <w:tr w:rsidR="00C3526F" w:rsidRPr="00C3526F" w14:paraId="774A6742" w14:textId="77777777" w:rsidTr="00E252EB">
        <w:trPr>
          <w:trHeight w:val="19"/>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16E8A5FA" w14:textId="77777777" w:rsidR="00C3526F" w:rsidRPr="00C3526F" w:rsidRDefault="00C3526F" w:rsidP="00C3526F">
            <w:pPr>
              <w:jc w:val="center"/>
              <w:rPr>
                <w:rFonts w:eastAsia="Times New Roman" w:cs="Times New Roman"/>
                <w:color w:val="auto"/>
                <w:sz w:val="20"/>
                <w:szCs w:val="20"/>
                <w:lang w:eastAsia="lv-LV"/>
              </w:rPr>
            </w:pPr>
          </w:p>
        </w:tc>
        <w:tc>
          <w:tcPr>
            <w:tcW w:w="2577" w:type="dxa"/>
            <w:noWrap/>
            <w:vAlign w:val="center"/>
            <w:hideMark/>
          </w:tcPr>
          <w:p w14:paraId="76342855" w14:textId="77777777" w:rsidR="00C3526F" w:rsidRPr="00C3526F" w:rsidRDefault="00C3526F" w:rsidP="00C3526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Fakts*</w:t>
            </w:r>
          </w:p>
        </w:tc>
        <w:tc>
          <w:tcPr>
            <w:tcW w:w="0" w:type="dxa"/>
            <w:noWrap/>
            <w:vAlign w:val="center"/>
            <w:hideMark/>
          </w:tcPr>
          <w:p w14:paraId="49FC2DC7" w14:textId="021F2063"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vAlign w:val="center"/>
            <w:hideMark/>
          </w:tcPr>
          <w:p w14:paraId="6A751085" w14:textId="7F2A399F"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2807A75E" w14:textId="11F189CB"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48AC8DF3" w14:textId="7A3FF30E"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1ECE8416" w14:textId="025C56C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p>
        </w:tc>
        <w:tc>
          <w:tcPr>
            <w:tcW w:w="0" w:type="dxa"/>
            <w:noWrap/>
            <w:vAlign w:val="center"/>
            <w:hideMark/>
          </w:tcPr>
          <w:p w14:paraId="73AE0D8A" w14:textId="77777777" w:rsidR="00C3526F" w:rsidRPr="00C3526F" w:rsidRDefault="00C3526F" w:rsidP="00C3526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C3526F">
              <w:rPr>
                <w:rFonts w:eastAsia="Times New Roman" w:cs="Times New Roman"/>
                <w:color w:val="auto"/>
                <w:sz w:val="20"/>
                <w:szCs w:val="20"/>
                <w:lang w:eastAsia="lv-LV"/>
              </w:rPr>
              <w:t>-0,1</w:t>
            </w:r>
          </w:p>
        </w:tc>
      </w:tr>
    </w:tbl>
    <w:p w14:paraId="33B9ED61" w14:textId="020550A6" w:rsidR="00612215" w:rsidRPr="00B403FD" w:rsidRDefault="00FD1CCE" w:rsidP="00FD1CCE">
      <w:pPr>
        <w:rPr>
          <w:rFonts w:ascii="Times New Roman" w:hAnsi="Times New Roman" w:cs="Times New Roman"/>
          <w:bCs/>
          <w:sz w:val="24"/>
          <w:szCs w:val="24"/>
        </w:rPr>
      </w:pPr>
      <w:r>
        <w:rPr>
          <w:rFonts w:ascii="Times New Roman" w:hAnsi="Times New Roman" w:cs="Times New Roman"/>
          <w:i/>
          <w:sz w:val="20"/>
          <w:szCs w:val="24"/>
        </w:rPr>
        <w:t>*</w:t>
      </w:r>
      <w:r w:rsidR="00612215" w:rsidRPr="00B403FD">
        <w:rPr>
          <w:rFonts w:ascii="Times New Roman" w:hAnsi="Times New Roman" w:cs="Times New Roman"/>
          <w:i/>
          <w:sz w:val="20"/>
          <w:szCs w:val="24"/>
        </w:rPr>
        <w:t xml:space="preserve"> saskaņā ar Eurostat 202</w:t>
      </w:r>
      <w:r w:rsidR="00612215">
        <w:rPr>
          <w:rFonts w:ascii="Times New Roman" w:hAnsi="Times New Roman" w:cs="Times New Roman"/>
          <w:i/>
          <w:sz w:val="20"/>
          <w:szCs w:val="24"/>
        </w:rPr>
        <w:t>5</w:t>
      </w:r>
      <w:r w:rsidR="00612215" w:rsidRPr="00B403FD">
        <w:rPr>
          <w:rFonts w:ascii="Times New Roman" w:hAnsi="Times New Roman" w:cs="Times New Roman"/>
          <w:i/>
          <w:sz w:val="20"/>
          <w:szCs w:val="24"/>
        </w:rPr>
        <w:t>.</w:t>
      </w:r>
      <w:r w:rsidR="00612215">
        <w:rPr>
          <w:rFonts w:ascii="Times New Roman" w:hAnsi="Times New Roman" w:cs="Times New Roman"/>
          <w:i/>
          <w:sz w:val="20"/>
          <w:szCs w:val="24"/>
        </w:rPr>
        <w:t xml:space="preserve"> </w:t>
      </w:r>
      <w:r w:rsidR="00612215" w:rsidRPr="00B403FD">
        <w:rPr>
          <w:rFonts w:ascii="Times New Roman" w:hAnsi="Times New Roman" w:cs="Times New Roman"/>
          <w:i/>
          <w:sz w:val="20"/>
          <w:szCs w:val="24"/>
        </w:rPr>
        <w:t>gada aprīļa vispārējās valdības budžeta notifikācijas datiem</w:t>
      </w:r>
      <w:r w:rsidR="00612215" w:rsidRPr="00B403FD">
        <w:rPr>
          <w:rFonts w:ascii="Times New Roman" w:hAnsi="Times New Roman" w:cs="Times New Roman"/>
          <w:bCs/>
          <w:sz w:val="24"/>
          <w:szCs w:val="24"/>
        </w:rPr>
        <w:t xml:space="preserve"> </w:t>
      </w:r>
    </w:p>
    <w:p w14:paraId="1A2AB09F" w14:textId="4932B7B3" w:rsidR="006B63E1" w:rsidRPr="006A55AA" w:rsidRDefault="59F9A2E6"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 xml:space="preserve">Analizējot atšķirības starp plānotajiem un faktiskajiem strukturālās budžeta bilances rādītājiem, jāsecina, ka izlaižu starpības un budžeta bilances cikliskās komponentes ietekme </w:t>
      </w:r>
      <w:r w:rsidR="00E55F61">
        <w:rPr>
          <w:rFonts w:ascii="Times New Roman" w:hAnsi="Times New Roman" w:cs="Times New Roman"/>
          <w:sz w:val="24"/>
          <w:szCs w:val="24"/>
        </w:rPr>
        <w:t>saglabājas būtiska</w:t>
      </w:r>
      <w:r w:rsidRPr="469479B5">
        <w:rPr>
          <w:rFonts w:ascii="Times New Roman" w:hAnsi="Times New Roman" w:cs="Times New Roman"/>
          <w:sz w:val="24"/>
          <w:szCs w:val="24"/>
        </w:rPr>
        <w:t>. 2019.</w:t>
      </w:r>
      <w:r w:rsidR="5E075B00"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salīdzinot Budžeta likuma 2019.</w:t>
      </w:r>
      <w:r w:rsidR="7C5DC446"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gadam prognozi ar faktisko izpildi, izlaižu starpība ir palielinājusies par 1</w:t>
      </w:r>
      <w:r w:rsidR="00E55F61">
        <w:rPr>
          <w:rFonts w:ascii="Times New Roman" w:hAnsi="Times New Roman" w:cs="Times New Roman"/>
          <w:sz w:val="24"/>
          <w:szCs w:val="24"/>
        </w:rPr>
        <w:t>,8</w:t>
      </w:r>
      <w:r w:rsidRPr="469479B5">
        <w:rPr>
          <w:rFonts w:ascii="Times New Roman" w:hAnsi="Times New Roman" w:cs="Times New Roman"/>
          <w:sz w:val="24"/>
          <w:szCs w:val="24"/>
        </w:rPr>
        <w:t xml:space="preserve"> procentpunkt</w:t>
      </w:r>
      <w:r w:rsidR="00E55F61">
        <w:rPr>
          <w:rFonts w:ascii="Times New Roman" w:hAnsi="Times New Roman" w:cs="Times New Roman"/>
          <w:sz w:val="24"/>
          <w:szCs w:val="24"/>
        </w:rPr>
        <w:t>iem</w:t>
      </w:r>
      <w:r w:rsidRPr="469479B5">
        <w:rPr>
          <w:rFonts w:ascii="Times New Roman" w:hAnsi="Times New Roman" w:cs="Times New Roman"/>
          <w:sz w:val="24"/>
          <w:szCs w:val="24"/>
        </w:rPr>
        <w:t xml:space="preserve"> no IKP. 2020. gadā izlaižu starpība jau bija par </w:t>
      </w:r>
      <w:r w:rsidR="00E55F61">
        <w:rPr>
          <w:rFonts w:ascii="Times New Roman" w:hAnsi="Times New Roman" w:cs="Times New Roman"/>
          <w:sz w:val="24"/>
          <w:szCs w:val="24"/>
        </w:rPr>
        <w:t>3,8</w:t>
      </w:r>
      <w:r w:rsidRPr="469479B5">
        <w:rPr>
          <w:rFonts w:ascii="Times New Roman" w:hAnsi="Times New Roman" w:cs="Times New Roman"/>
          <w:sz w:val="24"/>
          <w:szCs w:val="24"/>
        </w:rPr>
        <w:t xml:space="preserve"> procentpunktiem zemāka kā tika prognozēts 2020.–2022.</w:t>
      </w:r>
      <w:r w:rsidR="4A65F73E"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VTBIL. Izstrādājot 2020.–2022.</w:t>
      </w:r>
      <w:r w:rsidR="4691D05E"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gada VTBIL vēl </w:t>
      </w:r>
      <w:r w:rsidR="00E55F61">
        <w:rPr>
          <w:rFonts w:ascii="Times New Roman" w:hAnsi="Times New Roman" w:cs="Times New Roman"/>
          <w:sz w:val="24"/>
          <w:szCs w:val="24"/>
        </w:rPr>
        <w:t>nebija iespējams</w:t>
      </w:r>
      <w:r w:rsidRPr="469479B5">
        <w:rPr>
          <w:rFonts w:ascii="Times New Roman" w:hAnsi="Times New Roman" w:cs="Times New Roman"/>
          <w:sz w:val="24"/>
          <w:szCs w:val="24"/>
        </w:rPr>
        <w:t xml:space="preserve"> ņemt vērā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pandēmijas ietekm</w:t>
      </w:r>
      <w:r w:rsidR="00E55F61">
        <w:rPr>
          <w:rFonts w:ascii="Times New Roman" w:hAnsi="Times New Roman" w:cs="Times New Roman"/>
          <w:sz w:val="24"/>
          <w:szCs w:val="24"/>
        </w:rPr>
        <w:t>i</w:t>
      </w:r>
      <w:r w:rsidRPr="469479B5">
        <w:rPr>
          <w:rFonts w:ascii="Times New Roman" w:hAnsi="Times New Roman" w:cs="Times New Roman"/>
          <w:sz w:val="24"/>
          <w:szCs w:val="24"/>
        </w:rPr>
        <w:t>. Savukārt 2021.</w:t>
      </w:r>
      <w:r w:rsidR="00C82B3D">
        <w:rPr>
          <w:rFonts w:ascii="Times New Roman" w:hAnsi="Times New Roman" w:cs="Times New Roman"/>
          <w:sz w:val="24"/>
          <w:szCs w:val="24"/>
        </w:rPr>
        <w:t xml:space="preserve"> </w:t>
      </w:r>
      <w:r w:rsidRPr="469479B5">
        <w:rPr>
          <w:rFonts w:ascii="Times New Roman" w:hAnsi="Times New Roman" w:cs="Times New Roman"/>
          <w:sz w:val="24"/>
          <w:szCs w:val="24"/>
        </w:rPr>
        <w:t>gadā un 2022.</w:t>
      </w:r>
      <w:r w:rsidR="1AE381F1"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novirze bijusi attiecīgi 6,</w:t>
      </w:r>
      <w:r w:rsidR="00E55F61">
        <w:rPr>
          <w:rFonts w:ascii="Times New Roman" w:hAnsi="Times New Roman" w:cs="Times New Roman"/>
          <w:sz w:val="24"/>
          <w:szCs w:val="24"/>
        </w:rPr>
        <w:t>9</w:t>
      </w:r>
      <w:r w:rsidRPr="469479B5">
        <w:rPr>
          <w:rFonts w:ascii="Times New Roman" w:hAnsi="Times New Roman" w:cs="Times New Roman"/>
          <w:sz w:val="24"/>
          <w:szCs w:val="24"/>
        </w:rPr>
        <w:t xml:space="preserve"> un </w:t>
      </w:r>
      <w:r w:rsidR="00E55F61">
        <w:rPr>
          <w:rFonts w:ascii="Times New Roman" w:hAnsi="Times New Roman" w:cs="Times New Roman"/>
          <w:sz w:val="24"/>
          <w:szCs w:val="24"/>
        </w:rPr>
        <w:t>1</w:t>
      </w:r>
      <w:r w:rsidRPr="469479B5">
        <w:rPr>
          <w:rFonts w:ascii="Times New Roman" w:hAnsi="Times New Roman" w:cs="Times New Roman"/>
          <w:sz w:val="24"/>
          <w:szCs w:val="24"/>
        </w:rPr>
        <w:t>,7 procentpunkti no IKP pozitīvā virzienā. Izlaižu starpības izmaiņas</w:t>
      </w:r>
      <w:r w:rsidR="006E6158">
        <w:rPr>
          <w:rFonts w:ascii="Times New Roman" w:hAnsi="Times New Roman" w:cs="Times New Roman"/>
          <w:sz w:val="24"/>
          <w:szCs w:val="24"/>
        </w:rPr>
        <w:t xml:space="preserve"> un apmērs</w:t>
      </w:r>
      <w:r w:rsidRPr="469479B5">
        <w:rPr>
          <w:rFonts w:ascii="Times New Roman" w:hAnsi="Times New Roman" w:cs="Times New Roman"/>
          <w:sz w:val="24"/>
          <w:szCs w:val="24"/>
        </w:rPr>
        <w:t xml:space="preserve"> 2019.</w:t>
      </w:r>
      <w:r w:rsidR="3767D59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tāpat arī 2021.</w:t>
      </w:r>
      <w:r w:rsidR="56BF5D3D"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un 2022. gadā</w:t>
      </w:r>
      <w:r w:rsidR="006E6158">
        <w:rPr>
          <w:rFonts w:ascii="Times New Roman" w:hAnsi="Times New Roman" w:cs="Times New Roman"/>
          <w:sz w:val="24"/>
          <w:szCs w:val="24"/>
        </w:rPr>
        <w:t xml:space="preserve"> norāda</w:t>
      </w:r>
      <w:r w:rsidRPr="469479B5">
        <w:rPr>
          <w:rFonts w:ascii="Times New Roman" w:hAnsi="Times New Roman" w:cs="Times New Roman"/>
          <w:sz w:val="24"/>
          <w:szCs w:val="24"/>
        </w:rPr>
        <w:t>,</w:t>
      </w:r>
      <w:r w:rsidR="006E6158">
        <w:rPr>
          <w:rFonts w:ascii="Times New Roman" w:hAnsi="Times New Roman" w:cs="Times New Roman"/>
          <w:sz w:val="24"/>
          <w:szCs w:val="24"/>
        </w:rPr>
        <w:t xml:space="preserve"> ka</w:t>
      </w:r>
      <w:r w:rsidRPr="469479B5">
        <w:rPr>
          <w:rFonts w:ascii="Times New Roman" w:hAnsi="Times New Roman" w:cs="Times New Roman"/>
          <w:sz w:val="24"/>
          <w:szCs w:val="24"/>
        </w:rPr>
        <w:t xml:space="preserve"> faktiskais IKP pārsniedza potenciālā IKP vērtību, tādējādi nodrošinot papildus ieņēmumus vispārējās valdības budžetā. Taču, ņemot vērā Covid</w:t>
      </w:r>
      <w:r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pandēmijas</w:t>
      </w:r>
      <w:r w:rsidR="006E6158">
        <w:rPr>
          <w:rFonts w:ascii="Times New Roman" w:hAnsi="Times New Roman" w:cs="Times New Roman"/>
          <w:sz w:val="24"/>
          <w:szCs w:val="24"/>
        </w:rPr>
        <w:t xml:space="preserve"> negatīvo</w:t>
      </w:r>
      <w:r w:rsidRPr="469479B5">
        <w:rPr>
          <w:rFonts w:ascii="Times New Roman" w:hAnsi="Times New Roman" w:cs="Times New Roman"/>
          <w:sz w:val="24"/>
          <w:szCs w:val="24"/>
        </w:rPr>
        <w:t xml:space="preserve"> ietekmi 2020.</w:t>
      </w:r>
      <w:r w:rsidR="798417F6"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faktiskais IKP bija būtiski zemāks kā potenciālā izlaide un izlaižu starpība kļuva izteikti negatīva. 2023.</w:t>
      </w:r>
      <w:r w:rsidR="4C8401C1"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salīdzinot VTBIL 2023</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 xml:space="preserve">2025 prognozi ar faktisko izpildi, izlaižu starpība ir palielinājusies par </w:t>
      </w:r>
      <w:r w:rsidR="006E6158">
        <w:rPr>
          <w:rFonts w:ascii="Times New Roman" w:hAnsi="Times New Roman" w:cs="Times New Roman"/>
          <w:sz w:val="24"/>
          <w:szCs w:val="24"/>
        </w:rPr>
        <w:t>4,2</w:t>
      </w:r>
      <w:r w:rsidRPr="469479B5">
        <w:rPr>
          <w:rFonts w:ascii="Times New Roman" w:hAnsi="Times New Roman" w:cs="Times New Roman"/>
          <w:sz w:val="24"/>
          <w:szCs w:val="24"/>
        </w:rPr>
        <w:t xml:space="preserve"> procentpunktiem no IKP</w:t>
      </w:r>
      <w:r w:rsidR="006E6158">
        <w:rPr>
          <w:rFonts w:ascii="Times New Roman" w:hAnsi="Times New Roman" w:cs="Times New Roman"/>
          <w:sz w:val="24"/>
          <w:szCs w:val="24"/>
        </w:rPr>
        <w:t xml:space="preserve"> </w:t>
      </w:r>
      <w:bookmarkStart w:id="374" w:name="_Hlk199768789"/>
      <w:r w:rsidR="006E6158">
        <w:rPr>
          <w:rFonts w:ascii="Times New Roman" w:hAnsi="Times New Roman" w:cs="Times New Roman"/>
          <w:sz w:val="24"/>
          <w:szCs w:val="24"/>
        </w:rPr>
        <w:t>un norāda uz tautsaimniecības darbību virs tās potenciāla</w:t>
      </w:r>
      <w:bookmarkEnd w:id="374"/>
      <w:r w:rsidRPr="469479B5">
        <w:rPr>
          <w:rFonts w:ascii="Times New Roman" w:hAnsi="Times New Roman" w:cs="Times New Roman"/>
          <w:sz w:val="24"/>
          <w:szCs w:val="24"/>
        </w:rPr>
        <w:t>.</w:t>
      </w:r>
      <w:r w:rsidR="006E6158">
        <w:rPr>
          <w:rFonts w:ascii="Times New Roman" w:hAnsi="Times New Roman" w:cs="Times New Roman"/>
          <w:sz w:val="24"/>
          <w:szCs w:val="24"/>
        </w:rPr>
        <w:t xml:space="preserve"> </w:t>
      </w:r>
      <w:bookmarkStart w:id="375" w:name="_Hlk199768958"/>
      <w:r w:rsidR="006E6158">
        <w:rPr>
          <w:rFonts w:ascii="Times New Roman" w:hAnsi="Times New Roman" w:cs="Times New Roman"/>
          <w:sz w:val="24"/>
          <w:szCs w:val="24"/>
        </w:rPr>
        <w:t>Attiecībā uz 2024.</w:t>
      </w:r>
      <w:r w:rsidR="00C52829">
        <w:rPr>
          <w:rFonts w:ascii="Times New Roman" w:hAnsi="Times New Roman" w:cs="Times New Roman"/>
          <w:sz w:val="24"/>
          <w:szCs w:val="24"/>
        </w:rPr>
        <w:t xml:space="preserve"> </w:t>
      </w:r>
      <w:r w:rsidR="006E6158">
        <w:rPr>
          <w:rFonts w:ascii="Times New Roman" w:hAnsi="Times New Roman" w:cs="Times New Roman"/>
          <w:sz w:val="24"/>
          <w:szCs w:val="24"/>
        </w:rPr>
        <w:t xml:space="preserve">gadu, jāsecina, ka novērtētā izlaižu starpība pret tās prognozēto vērtību, izstrādājot VTBIL 2024–2026, ir uzlabojusies un ir tuvu nullei, ekonomikai darbojoties tās potenciālās izlaides līmenī. </w:t>
      </w:r>
      <w:bookmarkStart w:id="376" w:name="_Hlk199768993"/>
      <w:bookmarkEnd w:id="375"/>
      <w:r w:rsidR="006E6158">
        <w:rPr>
          <w:rFonts w:ascii="Times New Roman" w:hAnsi="Times New Roman" w:cs="Times New Roman"/>
          <w:sz w:val="24"/>
          <w:szCs w:val="24"/>
        </w:rPr>
        <w:t>Jāmin, ka iepriekš apskatītā rādītāja vēsturiskās laika rindas stabilitāti (t.i. faktisko datu izmaiņu biežumu un apmēru) ietekmē aktuālāku datu publicēšana un datu revīzijas.</w:t>
      </w:r>
      <w:bookmarkEnd w:id="376"/>
    </w:p>
    <w:p w14:paraId="72C691E9" w14:textId="77777777" w:rsidR="006B63E1" w:rsidRPr="006A55AA" w:rsidRDefault="006B63E1" w:rsidP="006B63E1">
      <w:pPr>
        <w:spacing w:after="0" w:line="240" w:lineRule="auto"/>
        <w:ind w:firstLine="720"/>
        <w:jc w:val="both"/>
        <w:rPr>
          <w:rFonts w:ascii="Times New Roman" w:hAnsi="Times New Roman" w:cs="Times New Roman"/>
          <w:bCs/>
          <w:sz w:val="24"/>
          <w:szCs w:val="24"/>
        </w:rPr>
      </w:pPr>
      <w:r w:rsidRPr="006A55AA">
        <w:rPr>
          <w:rFonts w:ascii="Times New Roman" w:hAnsi="Times New Roman" w:cs="Times New Roman"/>
          <w:bCs/>
          <w:sz w:val="24"/>
          <w:szCs w:val="24"/>
        </w:rPr>
        <w:t xml:space="preserve">Ja salīdzina </w:t>
      </w:r>
      <w:r>
        <w:rPr>
          <w:rFonts w:ascii="Times New Roman" w:hAnsi="Times New Roman" w:cs="Times New Roman"/>
          <w:bCs/>
          <w:sz w:val="24"/>
          <w:szCs w:val="24"/>
        </w:rPr>
        <w:t>pēdējo piecu gadu</w:t>
      </w:r>
      <w:r w:rsidRPr="006A55AA">
        <w:rPr>
          <w:rFonts w:ascii="Times New Roman" w:hAnsi="Times New Roman" w:cs="Times New Roman"/>
          <w:bCs/>
          <w:sz w:val="24"/>
          <w:szCs w:val="24"/>
        </w:rPr>
        <w:t xml:space="preserve"> </w:t>
      </w:r>
      <w:r w:rsidRPr="006A55AA">
        <w:rPr>
          <w:rFonts w:ascii="Times New Roman" w:hAnsi="Times New Roman" w:cs="Times New Roman"/>
          <w:b/>
          <w:bCs/>
          <w:sz w:val="24"/>
          <w:szCs w:val="24"/>
        </w:rPr>
        <w:t>vispārējās valdības budžeta bilances</w:t>
      </w:r>
      <w:r w:rsidRPr="006A55AA">
        <w:rPr>
          <w:rFonts w:ascii="Times New Roman" w:hAnsi="Times New Roman" w:cs="Times New Roman"/>
          <w:bCs/>
          <w:sz w:val="24"/>
          <w:szCs w:val="24"/>
        </w:rPr>
        <w:t xml:space="preserve"> prognozes, kas ir par pamatu </w:t>
      </w:r>
      <w:r>
        <w:rPr>
          <w:rFonts w:ascii="Times New Roman" w:hAnsi="Times New Roman" w:cs="Times New Roman"/>
          <w:bCs/>
          <w:sz w:val="24"/>
          <w:szCs w:val="24"/>
        </w:rPr>
        <w:t xml:space="preserve">kārtējā </w:t>
      </w:r>
      <w:r w:rsidRPr="006A55AA">
        <w:rPr>
          <w:rFonts w:ascii="Times New Roman" w:hAnsi="Times New Roman" w:cs="Times New Roman"/>
          <w:bCs/>
          <w:sz w:val="24"/>
          <w:szCs w:val="24"/>
        </w:rPr>
        <w:t xml:space="preserve">gada valsts budžetam, un </w:t>
      </w:r>
      <w:r>
        <w:rPr>
          <w:rFonts w:ascii="Times New Roman" w:hAnsi="Times New Roman" w:cs="Times New Roman"/>
          <w:bCs/>
          <w:sz w:val="24"/>
          <w:szCs w:val="24"/>
        </w:rPr>
        <w:t xml:space="preserve">katra </w:t>
      </w:r>
      <w:r w:rsidRPr="006A55AA">
        <w:rPr>
          <w:rFonts w:ascii="Times New Roman" w:hAnsi="Times New Roman" w:cs="Times New Roman"/>
          <w:bCs/>
          <w:sz w:val="24"/>
          <w:szCs w:val="24"/>
        </w:rPr>
        <w:t>gada faktisko budžeta izpildi, var secināt, ka atšķirības izriet gan no izmaiņām makroekonomiskajā scenārijā, gan fiskālajā scenārijā.</w:t>
      </w:r>
      <w:r>
        <w:rPr>
          <w:rFonts w:ascii="Times New Roman" w:hAnsi="Times New Roman" w:cs="Times New Roman"/>
          <w:bCs/>
          <w:sz w:val="24"/>
          <w:szCs w:val="24"/>
        </w:rPr>
        <w:t xml:space="preserve"> Augstāka ekonomiskā izaugsme nodrošina labāku ieņēmumu izpildi un pretēji, bet dažāda veida politiku īstenošana, īpaši krīzes gados, palielina vispārējās valdības izdevumu līmeni.</w:t>
      </w:r>
    </w:p>
    <w:p w14:paraId="4BC8C476" w14:textId="35A3A688" w:rsidR="00747EE9" w:rsidRPr="00792573" w:rsidRDefault="5FF57B20" w:rsidP="00940337">
      <w:pPr>
        <w:spacing w:before="120" w:after="0"/>
        <w:jc w:val="right"/>
        <w:rPr>
          <w:rFonts w:ascii="Times New Roman" w:hAnsi="Times New Roman" w:cs="Times New Roman"/>
          <w:b/>
          <w:bCs/>
          <w:sz w:val="24"/>
          <w:szCs w:val="24"/>
        </w:rPr>
      </w:pPr>
      <w:r w:rsidRPr="469479B5">
        <w:rPr>
          <w:rFonts w:ascii="Times New Roman" w:hAnsi="Times New Roman" w:cs="Times New Roman"/>
          <w:b/>
          <w:bCs/>
          <w:sz w:val="24"/>
          <w:szCs w:val="24"/>
        </w:rPr>
        <w:t>Tabula Nr.</w:t>
      </w:r>
      <w:r w:rsidR="46CDD1E4" w:rsidRPr="469479B5">
        <w:rPr>
          <w:rFonts w:ascii="Times New Roman" w:hAnsi="Times New Roman" w:cs="Times New Roman"/>
          <w:b/>
          <w:bCs/>
          <w:sz w:val="24"/>
          <w:szCs w:val="24"/>
        </w:rPr>
        <w:t>7.</w:t>
      </w:r>
      <w:r w:rsidR="59F9A2E6" w:rsidRPr="469479B5">
        <w:rPr>
          <w:rFonts w:ascii="Times New Roman" w:hAnsi="Times New Roman" w:cs="Times New Roman"/>
          <w:b/>
          <w:bCs/>
          <w:sz w:val="24"/>
          <w:szCs w:val="24"/>
        </w:rPr>
        <w:t xml:space="preserve">2. </w:t>
      </w:r>
      <w:r w:rsidRPr="469479B5">
        <w:rPr>
          <w:rFonts w:ascii="Times New Roman" w:hAnsi="Times New Roman" w:cs="Times New Roman"/>
          <w:b/>
          <w:bCs/>
          <w:sz w:val="24"/>
          <w:szCs w:val="24"/>
        </w:rPr>
        <w:t>Izmaiņas vispārējās valdības sektora fiskālajā bilancē 2019</w:t>
      </w:r>
      <w:r w:rsidR="59F9A2E6" w:rsidRPr="469479B5">
        <w:rPr>
          <w:rFonts w:ascii="Times New Roman" w:hAnsi="Times New Roman" w:cs="Times New Roman"/>
          <w:b/>
          <w:bCs/>
          <w:sz w:val="24"/>
          <w:szCs w:val="24"/>
        </w:rPr>
        <w:t>.</w:t>
      </w:r>
      <w:r w:rsidR="667789E1"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sidR="005C137E">
        <w:rPr>
          <w:rFonts w:ascii="Times New Roman" w:hAnsi="Times New Roman" w:cs="Times New Roman"/>
          <w:color w:val="000000" w:themeColor="text1"/>
          <w:sz w:val="24"/>
          <w:szCs w:val="24"/>
        </w:rPr>
        <w:t xml:space="preserve"> </w:t>
      </w:r>
      <w:r w:rsidR="59F9A2E6" w:rsidRPr="469479B5">
        <w:rPr>
          <w:rFonts w:ascii="Times New Roman" w:hAnsi="Times New Roman" w:cs="Times New Roman"/>
          <w:b/>
          <w:bCs/>
          <w:sz w:val="24"/>
          <w:szCs w:val="24"/>
        </w:rPr>
        <w:t>202</w:t>
      </w:r>
      <w:r w:rsidR="006E6158">
        <w:rPr>
          <w:rFonts w:ascii="Times New Roman" w:hAnsi="Times New Roman" w:cs="Times New Roman"/>
          <w:b/>
          <w:bCs/>
          <w:sz w:val="24"/>
          <w:szCs w:val="24"/>
        </w:rPr>
        <w:t>4</w:t>
      </w:r>
      <w:r w:rsidR="59F9A2E6" w:rsidRPr="469479B5">
        <w:rPr>
          <w:rFonts w:ascii="Times New Roman" w:hAnsi="Times New Roman" w:cs="Times New Roman"/>
          <w:b/>
          <w:bCs/>
          <w:sz w:val="24"/>
          <w:szCs w:val="24"/>
        </w:rPr>
        <w:t>.</w:t>
      </w:r>
      <w:r w:rsidR="32853F1F"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gadam,</w:t>
      </w:r>
    </w:p>
    <w:p w14:paraId="7A3D1356" w14:textId="47AC2BDA" w:rsidR="00747EE9" w:rsidRPr="00792573" w:rsidRDefault="5FF57B20" w:rsidP="00940337">
      <w:pPr>
        <w:jc w:val="right"/>
        <w:rPr>
          <w:rFonts w:ascii="Times New Roman" w:hAnsi="Times New Roman" w:cs="Times New Roman"/>
          <w:b/>
          <w:bCs/>
          <w:sz w:val="24"/>
          <w:szCs w:val="24"/>
        </w:rPr>
      </w:pPr>
      <w:r w:rsidRPr="469479B5">
        <w:rPr>
          <w:rFonts w:ascii="Times New Roman" w:hAnsi="Times New Roman" w:cs="Times New Roman"/>
          <w:b/>
          <w:bCs/>
          <w:sz w:val="24"/>
          <w:szCs w:val="24"/>
        </w:rPr>
        <w:t xml:space="preserve"> % no IKP</w:t>
      </w:r>
    </w:p>
    <w:tbl>
      <w:tblPr>
        <w:tblStyle w:val="GridTable6Colorful-Accent11"/>
        <w:tblW w:w="9991" w:type="dxa"/>
        <w:tblLook w:val="04A0" w:firstRow="1" w:lastRow="0" w:firstColumn="1" w:lastColumn="0" w:noHBand="0" w:noVBand="1"/>
      </w:tblPr>
      <w:tblGrid>
        <w:gridCol w:w="1402"/>
        <w:gridCol w:w="3327"/>
        <w:gridCol w:w="877"/>
        <w:gridCol w:w="877"/>
        <w:gridCol w:w="877"/>
        <w:gridCol w:w="877"/>
        <w:gridCol w:w="877"/>
        <w:gridCol w:w="877"/>
      </w:tblGrid>
      <w:tr w:rsidR="00555142" w:rsidRPr="005C1F4C" w14:paraId="13808016" w14:textId="5CBF9DA8" w:rsidTr="00BE3C05">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02" w:type="dxa"/>
            <w:noWrap/>
            <w:hideMark/>
          </w:tcPr>
          <w:p w14:paraId="6AED1BBF" w14:textId="77777777" w:rsidR="00555142" w:rsidRPr="004A2E8B" w:rsidRDefault="00555142" w:rsidP="469479B5">
            <w:pPr>
              <w:jc w:val="center"/>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Iterācija</w:t>
            </w:r>
          </w:p>
        </w:tc>
        <w:tc>
          <w:tcPr>
            <w:tcW w:w="3327" w:type="dxa"/>
            <w:noWrap/>
            <w:hideMark/>
          </w:tcPr>
          <w:p w14:paraId="254E57E3" w14:textId="77777777" w:rsidR="00555142" w:rsidRPr="004A2E8B"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Raksturlielums</w:t>
            </w:r>
          </w:p>
        </w:tc>
        <w:tc>
          <w:tcPr>
            <w:tcW w:w="877" w:type="dxa"/>
            <w:noWrap/>
            <w:vAlign w:val="center"/>
            <w:hideMark/>
          </w:tcPr>
          <w:p w14:paraId="498E6FB6" w14:textId="77777777" w:rsidR="00555142" w:rsidRPr="004A2E8B"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2019</w:t>
            </w:r>
          </w:p>
        </w:tc>
        <w:tc>
          <w:tcPr>
            <w:tcW w:w="877" w:type="dxa"/>
            <w:vAlign w:val="center"/>
          </w:tcPr>
          <w:p w14:paraId="7860878F" w14:textId="77777777" w:rsidR="00555142" w:rsidRPr="004A2E8B"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2020</w:t>
            </w:r>
          </w:p>
        </w:tc>
        <w:tc>
          <w:tcPr>
            <w:tcW w:w="877" w:type="dxa"/>
            <w:vAlign w:val="center"/>
          </w:tcPr>
          <w:p w14:paraId="2A3D6F1D" w14:textId="77777777" w:rsidR="00555142" w:rsidRPr="004A2E8B"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2021</w:t>
            </w:r>
          </w:p>
        </w:tc>
        <w:tc>
          <w:tcPr>
            <w:tcW w:w="877" w:type="dxa"/>
            <w:vAlign w:val="center"/>
          </w:tcPr>
          <w:p w14:paraId="11DC703F" w14:textId="77777777" w:rsidR="00555142" w:rsidRPr="004A2E8B"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2022</w:t>
            </w:r>
          </w:p>
        </w:tc>
        <w:tc>
          <w:tcPr>
            <w:tcW w:w="877" w:type="dxa"/>
            <w:vAlign w:val="center"/>
          </w:tcPr>
          <w:p w14:paraId="50CAEA04" w14:textId="77777777" w:rsidR="00555142" w:rsidRPr="004A2E8B" w:rsidRDefault="0055514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2023</w:t>
            </w:r>
          </w:p>
        </w:tc>
        <w:tc>
          <w:tcPr>
            <w:tcW w:w="877" w:type="dxa"/>
          </w:tcPr>
          <w:p w14:paraId="3E101A49" w14:textId="5880A625" w:rsidR="00555142" w:rsidRPr="004A2E8B" w:rsidRDefault="000C6B2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4A2E8B">
              <w:rPr>
                <w:rFonts w:eastAsia="Times New Roman" w:cs="Times New Roman"/>
                <w:color w:val="000000" w:themeColor="text1"/>
                <w:sz w:val="20"/>
                <w:szCs w:val="20"/>
                <w:lang w:eastAsia="lv-LV"/>
              </w:rPr>
              <w:t>2024</w:t>
            </w:r>
          </w:p>
        </w:tc>
      </w:tr>
      <w:tr w:rsidR="00555142" w:rsidRPr="005C1F4C" w14:paraId="2520137B" w14:textId="0ACD3DB6" w:rsidTr="00BE3C05">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402" w:type="dxa"/>
            <w:noWrap/>
            <w:hideMark/>
          </w:tcPr>
          <w:p w14:paraId="43BE7D4C" w14:textId="77777777" w:rsidR="00555142" w:rsidRPr="004A2E8B" w:rsidRDefault="00555142" w:rsidP="469479B5">
            <w:pPr>
              <w:jc w:val="center"/>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 xml:space="preserve">Budžeta likums </w:t>
            </w:r>
          </w:p>
        </w:tc>
        <w:tc>
          <w:tcPr>
            <w:tcW w:w="3327" w:type="dxa"/>
            <w:noWrap/>
            <w:vAlign w:val="center"/>
            <w:hideMark/>
          </w:tcPr>
          <w:p w14:paraId="7DD99403" w14:textId="77777777" w:rsidR="00555142" w:rsidRPr="004A2E8B"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Vispārējās valdības sektora B.9</w:t>
            </w:r>
          </w:p>
        </w:tc>
        <w:tc>
          <w:tcPr>
            <w:tcW w:w="877" w:type="dxa"/>
            <w:noWrap/>
            <w:vAlign w:val="center"/>
            <w:hideMark/>
          </w:tcPr>
          <w:p w14:paraId="1F103B44" w14:textId="77777777" w:rsidR="00555142" w:rsidRPr="004A2E8B"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-0,5</w:t>
            </w:r>
          </w:p>
        </w:tc>
        <w:tc>
          <w:tcPr>
            <w:tcW w:w="877" w:type="dxa"/>
            <w:vAlign w:val="center"/>
          </w:tcPr>
          <w:p w14:paraId="4CBE6310" w14:textId="77777777" w:rsidR="00555142" w:rsidRPr="004A2E8B"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-0,3</w:t>
            </w:r>
          </w:p>
        </w:tc>
        <w:tc>
          <w:tcPr>
            <w:tcW w:w="877" w:type="dxa"/>
            <w:vAlign w:val="center"/>
          </w:tcPr>
          <w:p w14:paraId="3EEB41F7" w14:textId="77777777" w:rsidR="00555142" w:rsidRPr="004A2E8B"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-3,9</w:t>
            </w:r>
          </w:p>
        </w:tc>
        <w:tc>
          <w:tcPr>
            <w:tcW w:w="877" w:type="dxa"/>
            <w:vAlign w:val="center"/>
          </w:tcPr>
          <w:p w14:paraId="624E82CF" w14:textId="77777777" w:rsidR="00555142" w:rsidRPr="004A2E8B"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-4,8</w:t>
            </w:r>
          </w:p>
        </w:tc>
        <w:tc>
          <w:tcPr>
            <w:tcW w:w="877" w:type="dxa"/>
            <w:vAlign w:val="center"/>
          </w:tcPr>
          <w:p w14:paraId="78FD367B" w14:textId="77777777" w:rsidR="00555142" w:rsidRPr="004A2E8B" w:rsidRDefault="0055514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-4,2</w:t>
            </w:r>
          </w:p>
        </w:tc>
        <w:tc>
          <w:tcPr>
            <w:tcW w:w="877" w:type="dxa"/>
            <w:vAlign w:val="center"/>
          </w:tcPr>
          <w:p w14:paraId="7EC524C3" w14:textId="37207684" w:rsidR="00555142" w:rsidRPr="004A2E8B" w:rsidRDefault="006E615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lv-LV"/>
              </w:rPr>
            </w:pPr>
            <w:r w:rsidRPr="004A2E8B">
              <w:rPr>
                <w:rFonts w:eastAsia="Times New Roman" w:cs="Times New Roman"/>
                <w:b/>
                <w:bCs/>
                <w:color w:val="000000" w:themeColor="text1"/>
                <w:sz w:val="20"/>
                <w:szCs w:val="20"/>
                <w:lang w:eastAsia="lv-LV"/>
              </w:rPr>
              <w:t>-2,8</w:t>
            </w:r>
          </w:p>
        </w:tc>
      </w:tr>
      <w:tr w:rsidR="006E6158" w:rsidRPr="005C1F4C" w14:paraId="63427C35" w14:textId="6C204F23" w:rsidTr="00BE3C05">
        <w:trPr>
          <w:trHeight w:val="226"/>
        </w:trPr>
        <w:tc>
          <w:tcPr>
            <w:cnfStyle w:val="001000000000" w:firstRow="0" w:lastRow="0" w:firstColumn="1" w:lastColumn="0" w:oddVBand="0" w:evenVBand="0" w:oddHBand="0" w:evenHBand="0" w:firstRowFirstColumn="0" w:firstRowLastColumn="0" w:lastRowFirstColumn="0" w:lastRowLastColumn="0"/>
            <w:tcW w:w="1402" w:type="dxa"/>
            <w:vMerge w:val="restart"/>
            <w:vAlign w:val="center"/>
            <w:hideMark/>
          </w:tcPr>
          <w:p w14:paraId="5A9826D4" w14:textId="77777777" w:rsidR="006E6158" w:rsidRPr="004A2E8B" w:rsidRDefault="006E6158" w:rsidP="006E6158">
            <w:pPr>
              <w:jc w:val="center"/>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Izmaiņu ietekme uz B.9</w:t>
            </w:r>
          </w:p>
        </w:tc>
        <w:tc>
          <w:tcPr>
            <w:tcW w:w="3327" w:type="dxa"/>
            <w:noWrap/>
            <w:hideMark/>
          </w:tcPr>
          <w:p w14:paraId="1A16885B" w14:textId="77777777" w:rsidR="006E6158" w:rsidRPr="004A2E8B" w:rsidRDefault="006E6158" w:rsidP="006E615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Nodokļu ieņēmumi</w:t>
            </w:r>
          </w:p>
        </w:tc>
        <w:tc>
          <w:tcPr>
            <w:tcW w:w="877" w:type="dxa"/>
            <w:noWrap/>
            <w:vAlign w:val="center"/>
            <w:hideMark/>
          </w:tcPr>
          <w:p w14:paraId="6D79CFC4"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0,2</w:t>
            </w:r>
          </w:p>
        </w:tc>
        <w:tc>
          <w:tcPr>
            <w:tcW w:w="877" w:type="dxa"/>
            <w:vAlign w:val="center"/>
          </w:tcPr>
          <w:p w14:paraId="752481B2" w14:textId="54760805"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-2,1</w:t>
            </w:r>
          </w:p>
        </w:tc>
        <w:tc>
          <w:tcPr>
            <w:tcW w:w="877" w:type="dxa"/>
            <w:vAlign w:val="center"/>
          </w:tcPr>
          <w:p w14:paraId="14906E4C" w14:textId="278EA02F"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2,0</w:t>
            </w:r>
          </w:p>
        </w:tc>
        <w:tc>
          <w:tcPr>
            <w:tcW w:w="877" w:type="dxa"/>
            <w:vAlign w:val="center"/>
          </w:tcPr>
          <w:p w14:paraId="03E40AFE" w14:textId="22A20195"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4,0</w:t>
            </w:r>
          </w:p>
        </w:tc>
        <w:tc>
          <w:tcPr>
            <w:tcW w:w="877" w:type="dxa"/>
            <w:vAlign w:val="center"/>
          </w:tcPr>
          <w:p w14:paraId="5E865A49"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0,8</w:t>
            </w:r>
          </w:p>
        </w:tc>
        <w:tc>
          <w:tcPr>
            <w:tcW w:w="877" w:type="dxa"/>
            <w:vAlign w:val="center"/>
          </w:tcPr>
          <w:p w14:paraId="2E88ED20" w14:textId="51079094"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4A2E8B">
              <w:rPr>
                <w:rFonts w:eastAsia="Times New Roman" w:cs="Times New Roman"/>
                <w:color w:val="000000" w:themeColor="text1"/>
                <w:sz w:val="20"/>
                <w:szCs w:val="20"/>
              </w:rPr>
              <w:t>-0,5</w:t>
            </w:r>
          </w:p>
        </w:tc>
      </w:tr>
      <w:tr w:rsidR="006E6158" w:rsidRPr="005C1F4C" w14:paraId="0B2017F7" w14:textId="55FD9E65" w:rsidTr="00BE3C05">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402" w:type="dxa"/>
            <w:vMerge/>
            <w:hideMark/>
          </w:tcPr>
          <w:p w14:paraId="08A3E75B" w14:textId="77777777" w:rsidR="006E6158" w:rsidRPr="004A2E8B" w:rsidRDefault="006E6158" w:rsidP="006E6158">
            <w:pPr>
              <w:rPr>
                <w:rFonts w:eastAsia="Times New Roman" w:cs="Times New Roman"/>
                <w:color w:val="000000"/>
                <w:sz w:val="20"/>
                <w:szCs w:val="20"/>
                <w:lang w:eastAsia="lv-LV"/>
              </w:rPr>
            </w:pPr>
          </w:p>
        </w:tc>
        <w:tc>
          <w:tcPr>
            <w:tcW w:w="3327" w:type="dxa"/>
            <w:noWrap/>
            <w:hideMark/>
          </w:tcPr>
          <w:p w14:paraId="12EF4954" w14:textId="77777777" w:rsidR="006E6158" w:rsidRPr="004A2E8B" w:rsidRDefault="006E6158" w:rsidP="006E615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Nenodokļu ieņēmumi</w:t>
            </w:r>
          </w:p>
        </w:tc>
        <w:tc>
          <w:tcPr>
            <w:tcW w:w="877" w:type="dxa"/>
            <w:noWrap/>
            <w:vAlign w:val="center"/>
            <w:hideMark/>
          </w:tcPr>
          <w:p w14:paraId="00DCE8FF" w14:textId="455725BA"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-0,3</w:t>
            </w:r>
          </w:p>
        </w:tc>
        <w:tc>
          <w:tcPr>
            <w:tcW w:w="877" w:type="dxa"/>
            <w:vAlign w:val="center"/>
          </w:tcPr>
          <w:p w14:paraId="35E32B12" w14:textId="7350A614"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66F8205D"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0,5</w:t>
            </w:r>
          </w:p>
        </w:tc>
        <w:tc>
          <w:tcPr>
            <w:tcW w:w="877" w:type="dxa"/>
            <w:vAlign w:val="center"/>
          </w:tcPr>
          <w:p w14:paraId="57FE7862" w14:textId="49043FE1"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0,3</w:t>
            </w:r>
          </w:p>
        </w:tc>
        <w:tc>
          <w:tcPr>
            <w:tcW w:w="877" w:type="dxa"/>
            <w:vAlign w:val="center"/>
          </w:tcPr>
          <w:p w14:paraId="585D3752"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0,4</w:t>
            </w:r>
          </w:p>
        </w:tc>
        <w:tc>
          <w:tcPr>
            <w:tcW w:w="877" w:type="dxa"/>
            <w:vAlign w:val="center"/>
          </w:tcPr>
          <w:p w14:paraId="7DB26440" w14:textId="2A424D91"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A2E8B">
              <w:rPr>
                <w:rFonts w:eastAsia="Times New Roman" w:cs="Times New Roman"/>
                <w:color w:val="000000" w:themeColor="text1"/>
                <w:sz w:val="20"/>
                <w:szCs w:val="20"/>
              </w:rPr>
              <w:t>0,6</w:t>
            </w:r>
          </w:p>
        </w:tc>
      </w:tr>
      <w:tr w:rsidR="006E6158" w:rsidRPr="005C1F4C" w14:paraId="3A63D30B" w14:textId="3FBCEA1B" w:rsidTr="00BE3C05">
        <w:trPr>
          <w:trHeight w:val="262"/>
        </w:trPr>
        <w:tc>
          <w:tcPr>
            <w:cnfStyle w:val="001000000000" w:firstRow="0" w:lastRow="0" w:firstColumn="1" w:lastColumn="0" w:oddVBand="0" w:evenVBand="0" w:oddHBand="0" w:evenHBand="0" w:firstRowFirstColumn="0" w:firstRowLastColumn="0" w:lastRowFirstColumn="0" w:lastRowLastColumn="0"/>
            <w:tcW w:w="1402" w:type="dxa"/>
            <w:vMerge/>
            <w:hideMark/>
          </w:tcPr>
          <w:p w14:paraId="694403AB" w14:textId="77777777" w:rsidR="006E6158" w:rsidRPr="004A2E8B" w:rsidRDefault="006E6158" w:rsidP="006E6158">
            <w:pPr>
              <w:rPr>
                <w:rFonts w:eastAsia="Times New Roman" w:cs="Times New Roman"/>
                <w:color w:val="000000"/>
                <w:sz w:val="20"/>
                <w:szCs w:val="20"/>
                <w:lang w:eastAsia="lv-LV"/>
              </w:rPr>
            </w:pPr>
          </w:p>
        </w:tc>
        <w:tc>
          <w:tcPr>
            <w:tcW w:w="3327" w:type="dxa"/>
            <w:noWrap/>
            <w:hideMark/>
          </w:tcPr>
          <w:p w14:paraId="714DA603" w14:textId="77777777" w:rsidR="006E6158" w:rsidRPr="004A2E8B" w:rsidRDefault="006E6158" w:rsidP="006E615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Pašu ieņēmumi un maksas pakalpojumi</w:t>
            </w:r>
          </w:p>
        </w:tc>
        <w:tc>
          <w:tcPr>
            <w:tcW w:w="877" w:type="dxa"/>
            <w:noWrap/>
            <w:vAlign w:val="center"/>
            <w:hideMark/>
          </w:tcPr>
          <w:p w14:paraId="4AE6BAB3"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10953760"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477A2941"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348D721D"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0,2</w:t>
            </w:r>
          </w:p>
        </w:tc>
        <w:tc>
          <w:tcPr>
            <w:tcW w:w="877" w:type="dxa"/>
            <w:vAlign w:val="center"/>
          </w:tcPr>
          <w:p w14:paraId="315F91A9"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0,2</w:t>
            </w:r>
          </w:p>
        </w:tc>
        <w:tc>
          <w:tcPr>
            <w:tcW w:w="877" w:type="dxa"/>
            <w:vAlign w:val="center"/>
          </w:tcPr>
          <w:p w14:paraId="4D6DD537" w14:textId="4CA6784F"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0,2</w:t>
            </w:r>
          </w:p>
        </w:tc>
      </w:tr>
      <w:tr w:rsidR="006E6158" w:rsidRPr="005C1F4C" w14:paraId="6DBE4010" w14:textId="09997CCB" w:rsidTr="00BE3C0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402" w:type="dxa"/>
            <w:vMerge/>
            <w:hideMark/>
          </w:tcPr>
          <w:p w14:paraId="22A40DE3" w14:textId="77777777" w:rsidR="006E6158" w:rsidRPr="004A2E8B" w:rsidRDefault="006E6158" w:rsidP="006E6158">
            <w:pPr>
              <w:rPr>
                <w:rFonts w:eastAsia="Times New Roman" w:cs="Times New Roman"/>
                <w:color w:val="000000"/>
                <w:sz w:val="20"/>
                <w:szCs w:val="20"/>
                <w:lang w:eastAsia="lv-LV"/>
              </w:rPr>
            </w:pPr>
          </w:p>
        </w:tc>
        <w:tc>
          <w:tcPr>
            <w:tcW w:w="3327" w:type="dxa"/>
            <w:noWrap/>
            <w:hideMark/>
          </w:tcPr>
          <w:p w14:paraId="0AB57C7C" w14:textId="77777777" w:rsidR="006E6158" w:rsidRPr="004A2E8B" w:rsidRDefault="006E6158" w:rsidP="006E615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Pamatbudžeta pamatfunkciju primārie izdevumi (izņemot transfertus)</w:t>
            </w:r>
          </w:p>
        </w:tc>
        <w:tc>
          <w:tcPr>
            <w:tcW w:w="877" w:type="dxa"/>
            <w:noWrap/>
            <w:vAlign w:val="center"/>
            <w:hideMark/>
          </w:tcPr>
          <w:p w14:paraId="6F754B4E"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01D6DA43"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-1,7</w:t>
            </w:r>
          </w:p>
        </w:tc>
        <w:tc>
          <w:tcPr>
            <w:tcW w:w="877" w:type="dxa"/>
            <w:vAlign w:val="center"/>
          </w:tcPr>
          <w:p w14:paraId="2A7FF79C" w14:textId="33F4FD96"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-5,1</w:t>
            </w:r>
          </w:p>
        </w:tc>
        <w:tc>
          <w:tcPr>
            <w:tcW w:w="877" w:type="dxa"/>
            <w:vAlign w:val="center"/>
          </w:tcPr>
          <w:p w14:paraId="0A4AE927" w14:textId="78BA204B"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-3,5</w:t>
            </w:r>
          </w:p>
        </w:tc>
        <w:tc>
          <w:tcPr>
            <w:tcW w:w="877" w:type="dxa"/>
            <w:vAlign w:val="center"/>
          </w:tcPr>
          <w:p w14:paraId="76DF409A"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0,4</w:t>
            </w:r>
          </w:p>
        </w:tc>
        <w:tc>
          <w:tcPr>
            <w:tcW w:w="877" w:type="dxa"/>
            <w:vAlign w:val="center"/>
          </w:tcPr>
          <w:p w14:paraId="60553B1B" w14:textId="2962573A"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0,6</w:t>
            </w:r>
          </w:p>
        </w:tc>
      </w:tr>
      <w:tr w:rsidR="006E6158" w:rsidRPr="005C1F4C" w14:paraId="29D79BBC" w14:textId="40C95FF6" w:rsidTr="00BE3C05">
        <w:trPr>
          <w:trHeight w:val="191"/>
        </w:trPr>
        <w:tc>
          <w:tcPr>
            <w:cnfStyle w:val="001000000000" w:firstRow="0" w:lastRow="0" w:firstColumn="1" w:lastColumn="0" w:oddVBand="0" w:evenVBand="0" w:oddHBand="0" w:evenHBand="0" w:firstRowFirstColumn="0" w:firstRowLastColumn="0" w:lastRowFirstColumn="0" w:lastRowLastColumn="0"/>
            <w:tcW w:w="1402" w:type="dxa"/>
            <w:vMerge/>
            <w:hideMark/>
          </w:tcPr>
          <w:p w14:paraId="36ACAA36" w14:textId="77777777" w:rsidR="006E6158" w:rsidRPr="004A2E8B" w:rsidRDefault="006E6158" w:rsidP="006E6158">
            <w:pPr>
              <w:rPr>
                <w:rFonts w:eastAsia="Times New Roman" w:cs="Times New Roman"/>
                <w:color w:val="000000"/>
                <w:sz w:val="20"/>
                <w:szCs w:val="20"/>
                <w:lang w:eastAsia="lv-LV"/>
              </w:rPr>
            </w:pPr>
          </w:p>
        </w:tc>
        <w:tc>
          <w:tcPr>
            <w:tcW w:w="3327" w:type="dxa"/>
            <w:noWrap/>
            <w:hideMark/>
          </w:tcPr>
          <w:p w14:paraId="190AB1F6" w14:textId="77777777" w:rsidR="006E6158" w:rsidRPr="004A2E8B" w:rsidRDefault="006E6158" w:rsidP="006E615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Speciālā budžeta izdevumi (izņemot transfertus)</w:t>
            </w:r>
          </w:p>
        </w:tc>
        <w:tc>
          <w:tcPr>
            <w:tcW w:w="877" w:type="dxa"/>
            <w:noWrap/>
            <w:vAlign w:val="center"/>
            <w:hideMark/>
          </w:tcPr>
          <w:p w14:paraId="4A59E3C3"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75838EEC"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530EE0D4"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7CD410D6" w14:textId="658429FF"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-0,6</w:t>
            </w:r>
          </w:p>
        </w:tc>
        <w:tc>
          <w:tcPr>
            <w:tcW w:w="877" w:type="dxa"/>
            <w:vAlign w:val="center"/>
          </w:tcPr>
          <w:p w14:paraId="6E96CA31"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0,2</w:t>
            </w:r>
          </w:p>
        </w:tc>
        <w:tc>
          <w:tcPr>
            <w:tcW w:w="877" w:type="dxa"/>
            <w:vAlign w:val="center"/>
          </w:tcPr>
          <w:p w14:paraId="08734274" w14:textId="3CB90E75"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0,1</w:t>
            </w:r>
          </w:p>
        </w:tc>
      </w:tr>
      <w:tr w:rsidR="006E6158" w:rsidRPr="005C1F4C" w14:paraId="53BEE76B" w14:textId="48C906B3" w:rsidTr="00BE3C05">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402" w:type="dxa"/>
            <w:vMerge/>
            <w:hideMark/>
          </w:tcPr>
          <w:p w14:paraId="4F7E3E5B" w14:textId="77777777" w:rsidR="006E6158" w:rsidRPr="004A2E8B" w:rsidRDefault="006E6158" w:rsidP="006E6158">
            <w:pPr>
              <w:rPr>
                <w:rFonts w:eastAsia="Times New Roman" w:cs="Times New Roman"/>
                <w:color w:val="000000"/>
                <w:sz w:val="20"/>
                <w:szCs w:val="20"/>
                <w:lang w:eastAsia="lv-LV"/>
              </w:rPr>
            </w:pPr>
          </w:p>
        </w:tc>
        <w:tc>
          <w:tcPr>
            <w:tcW w:w="3327" w:type="dxa"/>
            <w:noWrap/>
            <w:hideMark/>
          </w:tcPr>
          <w:p w14:paraId="392B18B4" w14:textId="77777777" w:rsidR="006E6158" w:rsidRPr="004A2E8B" w:rsidRDefault="006E6158" w:rsidP="006E615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Pašvaldību budžeta pamatfunkciju primārie izdevumi (izņemot transfertus)</w:t>
            </w:r>
          </w:p>
        </w:tc>
        <w:tc>
          <w:tcPr>
            <w:tcW w:w="877" w:type="dxa"/>
            <w:noWrap/>
            <w:vAlign w:val="center"/>
            <w:hideMark/>
          </w:tcPr>
          <w:p w14:paraId="455F7D98"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7B61FFA4" w14:textId="3A192823"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79992518"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-0,3</w:t>
            </w:r>
          </w:p>
        </w:tc>
        <w:tc>
          <w:tcPr>
            <w:tcW w:w="877" w:type="dxa"/>
            <w:vAlign w:val="center"/>
          </w:tcPr>
          <w:p w14:paraId="033106EE"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-0,4</w:t>
            </w:r>
          </w:p>
        </w:tc>
        <w:tc>
          <w:tcPr>
            <w:tcW w:w="877" w:type="dxa"/>
            <w:vAlign w:val="center"/>
          </w:tcPr>
          <w:p w14:paraId="0AE379A8" w14:textId="4471F1E9"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-0,8</w:t>
            </w:r>
          </w:p>
        </w:tc>
        <w:tc>
          <w:tcPr>
            <w:tcW w:w="877" w:type="dxa"/>
            <w:vAlign w:val="center"/>
          </w:tcPr>
          <w:p w14:paraId="6312E175" w14:textId="226C75CC"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-0,6</w:t>
            </w:r>
          </w:p>
        </w:tc>
      </w:tr>
      <w:tr w:rsidR="006E6158" w:rsidRPr="005C1F4C" w14:paraId="7063E694" w14:textId="66603CF0" w:rsidTr="00BE3C05">
        <w:trPr>
          <w:trHeight w:val="229"/>
        </w:trPr>
        <w:tc>
          <w:tcPr>
            <w:cnfStyle w:val="001000000000" w:firstRow="0" w:lastRow="0" w:firstColumn="1" w:lastColumn="0" w:oddVBand="0" w:evenVBand="0" w:oddHBand="0" w:evenHBand="0" w:firstRowFirstColumn="0" w:firstRowLastColumn="0" w:lastRowFirstColumn="0" w:lastRowLastColumn="0"/>
            <w:tcW w:w="1402" w:type="dxa"/>
            <w:vMerge/>
          </w:tcPr>
          <w:p w14:paraId="5DC0C5FB" w14:textId="77777777" w:rsidR="006E6158" w:rsidRPr="004A2E8B" w:rsidRDefault="006E6158" w:rsidP="006E6158">
            <w:pPr>
              <w:rPr>
                <w:rFonts w:eastAsia="Times New Roman" w:cs="Times New Roman"/>
                <w:color w:val="000000"/>
                <w:sz w:val="20"/>
                <w:szCs w:val="20"/>
                <w:lang w:eastAsia="lv-LV"/>
              </w:rPr>
            </w:pPr>
          </w:p>
        </w:tc>
        <w:tc>
          <w:tcPr>
            <w:tcW w:w="3327" w:type="dxa"/>
            <w:noWrap/>
          </w:tcPr>
          <w:p w14:paraId="47782219" w14:textId="77777777" w:rsidR="006E6158" w:rsidRPr="004A2E8B" w:rsidRDefault="006E6158" w:rsidP="006E615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 xml:space="preserve">Procentu izdevumi </w:t>
            </w:r>
          </w:p>
        </w:tc>
        <w:tc>
          <w:tcPr>
            <w:tcW w:w="877" w:type="dxa"/>
            <w:noWrap/>
            <w:vAlign w:val="center"/>
          </w:tcPr>
          <w:p w14:paraId="66C0F2D8"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1331398A"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62791A47"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0,3</w:t>
            </w:r>
          </w:p>
        </w:tc>
        <w:tc>
          <w:tcPr>
            <w:tcW w:w="877" w:type="dxa"/>
            <w:vAlign w:val="center"/>
          </w:tcPr>
          <w:p w14:paraId="5AF20A01"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1276BE01"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150EB18F" w14:textId="35EFDE0A"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-0,2</w:t>
            </w:r>
          </w:p>
        </w:tc>
      </w:tr>
      <w:tr w:rsidR="006E6158" w:rsidRPr="005C1F4C" w14:paraId="4D229C50" w14:textId="6FBE83C7" w:rsidTr="00BE3C05">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1402" w:type="dxa"/>
            <w:vMerge/>
          </w:tcPr>
          <w:p w14:paraId="4391C123" w14:textId="77777777" w:rsidR="006E6158" w:rsidRPr="004A2E8B" w:rsidRDefault="006E6158" w:rsidP="006E6158">
            <w:pPr>
              <w:rPr>
                <w:rFonts w:eastAsia="Times New Roman" w:cs="Times New Roman"/>
                <w:color w:val="000000"/>
                <w:sz w:val="20"/>
                <w:szCs w:val="20"/>
                <w:lang w:eastAsia="lv-LV"/>
              </w:rPr>
            </w:pPr>
          </w:p>
        </w:tc>
        <w:tc>
          <w:tcPr>
            <w:tcW w:w="3327" w:type="dxa"/>
            <w:noWrap/>
          </w:tcPr>
          <w:p w14:paraId="49AB41D8" w14:textId="77777777" w:rsidR="006E6158" w:rsidRPr="004A2E8B" w:rsidRDefault="006E6158" w:rsidP="006E615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Iemaksas ES budžetā</w:t>
            </w:r>
          </w:p>
        </w:tc>
        <w:tc>
          <w:tcPr>
            <w:tcW w:w="877" w:type="dxa"/>
            <w:noWrap/>
            <w:vAlign w:val="center"/>
          </w:tcPr>
          <w:p w14:paraId="4A09C50C"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73D9456F"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714998A0"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2F712225"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2237AE33"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7AD25869" w14:textId="4E25F1AF"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0,2</w:t>
            </w:r>
          </w:p>
        </w:tc>
      </w:tr>
      <w:tr w:rsidR="006E6158" w:rsidRPr="005C1F4C" w14:paraId="433F5E70" w14:textId="72969C5E" w:rsidTr="00BE3C05">
        <w:trPr>
          <w:trHeight w:val="115"/>
        </w:trPr>
        <w:tc>
          <w:tcPr>
            <w:cnfStyle w:val="001000000000" w:firstRow="0" w:lastRow="0" w:firstColumn="1" w:lastColumn="0" w:oddVBand="0" w:evenVBand="0" w:oddHBand="0" w:evenHBand="0" w:firstRowFirstColumn="0" w:firstRowLastColumn="0" w:lastRowFirstColumn="0" w:lastRowLastColumn="0"/>
            <w:tcW w:w="1402" w:type="dxa"/>
            <w:vMerge/>
            <w:hideMark/>
          </w:tcPr>
          <w:p w14:paraId="43D39555" w14:textId="77777777" w:rsidR="006E6158" w:rsidRPr="004A2E8B" w:rsidRDefault="006E6158" w:rsidP="006E6158">
            <w:pPr>
              <w:rPr>
                <w:rFonts w:eastAsia="Times New Roman" w:cs="Times New Roman"/>
                <w:color w:val="000000"/>
                <w:sz w:val="20"/>
                <w:szCs w:val="20"/>
                <w:lang w:eastAsia="lv-LV"/>
              </w:rPr>
            </w:pPr>
          </w:p>
        </w:tc>
        <w:tc>
          <w:tcPr>
            <w:tcW w:w="3327" w:type="dxa"/>
            <w:noWrap/>
            <w:hideMark/>
          </w:tcPr>
          <w:p w14:paraId="2714C9C7" w14:textId="77777777" w:rsidR="006E6158" w:rsidRPr="004A2E8B" w:rsidRDefault="006E6158" w:rsidP="006E615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Pieklasificēto komersantu bilance</w:t>
            </w:r>
          </w:p>
        </w:tc>
        <w:tc>
          <w:tcPr>
            <w:tcW w:w="877" w:type="dxa"/>
            <w:noWrap/>
            <w:vAlign w:val="center"/>
            <w:hideMark/>
          </w:tcPr>
          <w:p w14:paraId="638DA059"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4B4D53FE"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0,3</w:t>
            </w:r>
          </w:p>
        </w:tc>
        <w:tc>
          <w:tcPr>
            <w:tcW w:w="877" w:type="dxa"/>
            <w:vAlign w:val="center"/>
          </w:tcPr>
          <w:p w14:paraId="709C130F"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0,2</w:t>
            </w:r>
          </w:p>
        </w:tc>
        <w:tc>
          <w:tcPr>
            <w:tcW w:w="877" w:type="dxa"/>
            <w:vAlign w:val="center"/>
          </w:tcPr>
          <w:p w14:paraId="2E9413D9"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01CA26CE" w14:textId="4C7AEA8A"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16F9B577" w14:textId="20B5AE6D"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-0,1</w:t>
            </w:r>
          </w:p>
        </w:tc>
      </w:tr>
      <w:tr w:rsidR="006E6158" w:rsidRPr="005C1F4C" w14:paraId="65C8B898" w14:textId="04B35EB1" w:rsidTr="00BE3C05">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402" w:type="dxa"/>
            <w:vMerge/>
            <w:hideMark/>
          </w:tcPr>
          <w:p w14:paraId="7116D1F8" w14:textId="77777777" w:rsidR="006E6158" w:rsidRPr="004A2E8B" w:rsidRDefault="006E6158" w:rsidP="006E6158">
            <w:pPr>
              <w:rPr>
                <w:rFonts w:eastAsia="Times New Roman" w:cs="Times New Roman"/>
                <w:color w:val="000000"/>
                <w:sz w:val="20"/>
                <w:szCs w:val="20"/>
                <w:lang w:eastAsia="lv-LV"/>
              </w:rPr>
            </w:pPr>
          </w:p>
        </w:tc>
        <w:tc>
          <w:tcPr>
            <w:tcW w:w="3327" w:type="dxa"/>
            <w:noWrap/>
            <w:hideMark/>
          </w:tcPr>
          <w:p w14:paraId="1381FB6D" w14:textId="77777777" w:rsidR="006E6158" w:rsidRPr="004A2E8B" w:rsidRDefault="006E6158" w:rsidP="006E615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ĀFP nacionālā līdzfinansējuma izdevumi</w:t>
            </w:r>
          </w:p>
        </w:tc>
        <w:tc>
          <w:tcPr>
            <w:tcW w:w="877" w:type="dxa"/>
            <w:noWrap/>
            <w:vAlign w:val="center"/>
            <w:hideMark/>
          </w:tcPr>
          <w:p w14:paraId="7C974076" w14:textId="0A313BB5"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-0,3</w:t>
            </w:r>
          </w:p>
        </w:tc>
        <w:tc>
          <w:tcPr>
            <w:tcW w:w="877" w:type="dxa"/>
            <w:vAlign w:val="center"/>
          </w:tcPr>
          <w:p w14:paraId="5190F417"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40F0EEB2"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0,2</w:t>
            </w:r>
          </w:p>
        </w:tc>
        <w:tc>
          <w:tcPr>
            <w:tcW w:w="877" w:type="dxa"/>
            <w:vAlign w:val="center"/>
          </w:tcPr>
          <w:p w14:paraId="7602026B"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4623C851" w14:textId="769C4F19"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-0,3</w:t>
            </w:r>
          </w:p>
        </w:tc>
        <w:tc>
          <w:tcPr>
            <w:tcW w:w="877" w:type="dxa"/>
            <w:vAlign w:val="center"/>
          </w:tcPr>
          <w:p w14:paraId="70445236" w14:textId="74F15BFE"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0,6</w:t>
            </w:r>
          </w:p>
        </w:tc>
      </w:tr>
      <w:tr w:rsidR="006E6158" w:rsidRPr="005C1F4C" w14:paraId="7AEFB77E" w14:textId="0812DE60" w:rsidTr="00BE3C05">
        <w:trPr>
          <w:trHeight w:val="170"/>
        </w:trPr>
        <w:tc>
          <w:tcPr>
            <w:cnfStyle w:val="001000000000" w:firstRow="0" w:lastRow="0" w:firstColumn="1" w:lastColumn="0" w:oddVBand="0" w:evenVBand="0" w:oddHBand="0" w:evenHBand="0" w:firstRowFirstColumn="0" w:firstRowLastColumn="0" w:lastRowFirstColumn="0" w:lastRowLastColumn="0"/>
            <w:tcW w:w="1402" w:type="dxa"/>
            <w:vMerge/>
          </w:tcPr>
          <w:p w14:paraId="605E9202" w14:textId="77777777" w:rsidR="006E6158" w:rsidRPr="004A2E8B" w:rsidRDefault="006E6158" w:rsidP="006E6158">
            <w:pPr>
              <w:rPr>
                <w:rFonts w:eastAsia="Times New Roman" w:cs="Times New Roman"/>
                <w:color w:val="000000"/>
                <w:sz w:val="20"/>
                <w:szCs w:val="20"/>
                <w:lang w:eastAsia="lv-LV"/>
              </w:rPr>
            </w:pPr>
          </w:p>
        </w:tc>
        <w:tc>
          <w:tcPr>
            <w:tcW w:w="3327" w:type="dxa"/>
            <w:noWrap/>
          </w:tcPr>
          <w:p w14:paraId="27143B0F" w14:textId="77777777" w:rsidR="006E6158" w:rsidRPr="004A2E8B" w:rsidRDefault="006E6158" w:rsidP="006E615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Kapitālie transferti</w:t>
            </w:r>
          </w:p>
        </w:tc>
        <w:tc>
          <w:tcPr>
            <w:tcW w:w="877" w:type="dxa"/>
            <w:noWrap/>
            <w:vAlign w:val="center"/>
          </w:tcPr>
          <w:p w14:paraId="4E2A6A3E"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4C3AA46A" w14:textId="38D7167B"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-0,9</w:t>
            </w:r>
          </w:p>
        </w:tc>
        <w:tc>
          <w:tcPr>
            <w:tcW w:w="877" w:type="dxa"/>
            <w:vAlign w:val="center"/>
          </w:tcPr>
          <w:p w14:paraId="00C252D3"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-0,2</w:t>
            </w:r>
          </w:p>
        </w:tc>
        <w:tc>
          <w:tcPr>
            <w:tcW w:w="877" w:type="dxa"/>
            <w:vAlign w:val="center"/>
          </w:tcPr>
          <w:p w14:paraId="39F013BD"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-0,1</w:t>
            </w:r>
          </w:p>
        </w:tc>
        <w:tc>
          <w:tcPr>
            <w:tcW w:w="877" w:type="dxa"/>
            <w:vAlign w:val="center"/>
          </w:tcPr>
          <w:p w14:paraId="4A31FE25"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56E9CCFC" w14:textId="6A631BA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0,0</w:t>
            </w:r>
          </w:p>
        </w:tc>
      </w:tr>
      <w:tr w:rsidR="006E6158" w:rsidRPr="005C1F4C" w14:paraId="39902DC7" w14:textId="6269BDA8" w:rsidTr="00BE3C0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02" w:type="dxa"/>
            <w:vMerge/>
            <w:hideMark/>
          </w:tcPr>
          <w:p w14:paraId="595F45BF" w14:textId="77777777" w:rsidR="006E6158" w:rsidRPr="004A2E8B" w:rsidRDefault="006E6158" w:rsidP="006E6158">
            <w:pPr>
              <w:rPr>
                <w:rFonts w:eastAsia="Times New Roman" w:cs="Times New Roman"/>
                <w:color w:val="000000"/>
                <w:sz w:val="20"/>
                <w:szCs w:val="20"/>
                <w:lang w:eastAsia="lv-LV"/>
              </w:rPr>
            </w:pPr>
          </w:p>
        </w:tc>
        <w:tc>
          <w:tcPr>
            <w:tcW w:w="3327" w:type="dxa"/>
            <w:noWrap/>
            <w:hideMark/>
          </w:tcPr>
          <w:p w14:paraId="37039CA9" w14:textId="77777777" w:rsidR="006E6158" w:rsidRPr="004A2E8B" w:rsidRDefault="006E6158" w:rsidP="006E615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Pārējās izmaiņas</w:t>
            </w:r>
          </w:p>
        </w:tc>
        <w:tc>
          <w:tcPr>
            <w:tcW w:w="877" w:type="dxa"/>
            <w:noWrap/>
            <w:vAlign w:val="center"/>
            <w:hideMark/>
          </w:tcPr>
          <w:p w14:paraId="209DC4EE" w14:textId="058E2DF2"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0,5</w:t>
            </w:r>
          </w:p>
        </w:tc>
        <w:tc>
          <w:tcPr>
            <w:tcW w:w="877" w:type="dxa"/>
            <w:vAlign w:val="center"/>
          </w:tcPr>
          <w:p w14:paraId="5F98A784" w14:textId="5B826462"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0,5</w:t>
            </w:r>
          </w:p>
        </w:tc>
        <w:tc>
          <w:tcPr>
            <w:tcW w:w="877" w:type="dxa"/>
            <w:vAlign w:val="center"/>
          </w:tcPr>
          <w:p w14:paraId="7E5F509C" w14:textId="77777777"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-0,6</w:t>
            </w:r>
          </w:p>
        </w:tc>
        <w:tc>
          <w:tcPr>
            <w:tcW w:w="877" w:type="dxa"/>
            <w:vAlign w:val="center"/>
          </w:tcPr>
          <w:p w14:paraId="29A472D3" w14:textId="77B8F23C"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0,0</w:t>
            </w:r>
          </w:p>
        </w:tc>
        <w:tc>
          <w:tcPr>
            <w:tcW w:w="877" w:type="dxa"/>
            <w:vAlign w:val="center"/>
          </w:tcPr>
          <w:p w14:paraId="24D5CFC3" w14:textId="70C12255"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4A2E8B">
              <w:rPr>
                <w:rFonts w:eastAsia="Times New Roman" w:cs="Times New Roman"/>
                <w:color w:val="000000" w:themeColor="text1"/>
                <w:sz w:val="20"/>
                <w:szCs w:val="20"/>
              </w:rPr>
              <w:t>0,8</w:t>
            </w:r>
          </w:p>
        </w:tc>
        <w:tc>
          <w:tcPr>
            <w:tcW w:w="877" w:type="dxa"/>
            <w:vAlign w:val="center"/>
          </w:tcPr>
          <w:p w14:paraId="0D9DB545" w14:textId="7728C396" w:rsidR="006E6158" w:rsidRPr="004A2E8B" w:rsidRDefault="006E6158" w:rsidP="006E615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A2E8B">
              <w:rPr>
                <w:color w:val="000000" w:themeColor="text1"/>
                <w:sz w:val="20"/>
                <w:szCs w:val="20"/>
              </w:rPr>
              <w:t>0,2</w:t>
            </w:r>
          </w:p>
        </w:tc>
      </w:tr>
      <w:tr w:rsidR="006E6158" w:rsidRPr="005C1F4C" w14:paraId="5D199328" w14:textId="763FC65E" w:rsidTr="00BE3C05">
        <w:trPr>
          <w:trHeight w:val="70"/>
        </w:trPr>
        <w:tc>
          <w:tcPr>
            <w:cnfStyle w:val="001000000000" w:firstRow="0" w:lastRow="0" w:firstColumn="1" w:lastColumn="0" w:oddVBand="0" w:evenVBand="0" w:oddHBand="0" w:evenHBand="0" w:firstRowFirstColumn="0" w:firstRowLastColumn="0" w:lastRowFirstColumn="0" w:lastRowLastColumn="0"/>
            <w:tcW w:w="1402" w:type="dxa"/>
            <w:noWrap/>
            <w:hideMark/>
          </w:tcPr>
          <w:p w14:paraId="6B38FF23" w14:textId="77777777" w:rsidR="006E6158" w:rsidRPr="004A2E8B" w:rsidRDefault="006E6158" w:rsidP="006E6158">
            <w:pPr>
              <w:jc w:val="center"/>
              <w:rPr>
                <w:rFonts w:eastAsia="Times New Roman" w:cs="Times New Roman"/>
                <w:color w:val="000000"/>
                <w:sz w:val="20"/>
                <w:szCs w:val="20"/>
                <w:lang w:eastAsia="lv-LV"/>
              </w:rPr>
            </w:pPr>
            <w:r w:rsidRPr="004A2E8B">
              <w:rPr>
                <w:rFonts w:eastAsia="Times New Roman" w:cs="Times New Roman"/>
                <w:color w:val="000000" w:themeColor="text1"/>
                <w:sz w:val="20"/>
                <w:szCs w:val="20"/>
                <w:lang w:eastAsia="lv-LV"/>
              </w:rPr>
              <w:t>Izpilde*</w:t>
            </w:r>
          </w:p>
        </w:tc>
        <w:tc>
          <w:tcPr>
            <w:tcW w:w="3327" w:type="dxa"/>
            <w:noWrap/>
            <w:vAlign w:val="center"/>
            <w:hideMark/>
          </w:tcPr>
          <w:p w14:paraId="04A0C560"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Vispārējās valdības sektora B.9</w:t>
            </w:r>
          </w:p>
        </w:tc>
        <w:tc>
          <w:tcPr>
            <w:tcW w:w="877" w:type="dxa"/>
            <w:noWrap/>
            <w:vAlign w:val="center"/>
            <w:hideMark/>
          </w:tcPr>
          <w:p w14:paraId="26C09778" w14:textId="7752D3C4"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-0,2</w:t>
            </w:r>
          </w:p>
        </w:tc>
        <w:tc>
          <w:tcPr>
            <w:tcW w:w="877" w:type="dxa"/>
            <w:vAlign w:val="center"/>
          </w:tcPr>
          <w:p w14:paraId="457F94C9" w14:textId="7F491D1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-4,1</w:t>
            </w:r>
          </w:p>
        </w:tc>
        <w:tc>
          <w:tcPr>
            <w:tcW w:w="877" w:type="dxa"/>
            <w:vAlign w:val="center"/>
          </w:tcPr>
          <w:p w14:paraId="4A7BB3B8" w14:textId="77777777"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-7,2</w:t>
            </w:r>
          </w:p>
        </w:tc>
        <w:tc>
          <w:tcPr>
            <w:tcW w:w="877" w:type="dxa"/>
            <w:vAlign w:val="center"/>
          </w:tcPr>
          <w:p w14:paraId="06AA6560" w14:textId="5CDD1C91"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-4,9</w:t>
            </w:r>
          </w:p>
        </w:tc>
        <w:tc>
          <w:tcPr>
            <w:tcW w:w="877" w:type="dxa"/>
            <w:vAlign w:val="center"/>
          </w:tcPr>
          <w:p w14:paraId="51FFCAF2" w14:textId="7D3D7980"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lv-LV"/>
              </w:rPr>
            </w:pPr>
            <w:r w:rsidRPr="004A2E8B">
              <w:rPr>
                <w:rFonts w:eastAsia="Times New Roman" w:cs="Times New Roman"/>
                <w:b/>
                <w:bCs/>
                <w:color w:val="000000" w:themeColor="text1"/>
                <w:sz w:val="20"/>
                <w:szCs w:val="20"/>
                <w:lang w:eastAsia="lv-LV"/>
              </w:rPr>
              <w:t>-2,4</w:t>
            </w:r>
          </w:p>
        </w:tc>
        <w:tc>
          <w:tcPr>
            <w:tcW w:w="877" w:type="dxa"/>
            <w:vAlign w:val="center"/>
          </w:tcPr>
          <w:p w14:paraId="07AA0E18" w14:textId="71E43D3D" w:rsidR="006E6158" w:rsidRPr="004A2E8B" w:rsidRDefault="006E6158" w:rsidP="006E615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0"/>
                <w:szCs w:val="20"/>
                <w:lang w:eastAsia="lv-LV"/>
              </w:rPr>
            </w:pPr>
            <w:r w:rsidRPr="004A2E8B">
              <w:rPr>
                <w:rFonts w:eastAsia="Times New Roman" w:cs="Times New Roman"/>
                <w:b/>
                <w:bCs/>
                <w:color w:val="000000" w:themeColor="text1"/>
                <w:sz w:val="20"/>
                <w:szCs w:val="20"/>
                <w:lang w:eastAsia="lv-LV"/>
              </w:rPr>
              <w:t>-1,8</w:t>
            </w:r>
          </w:p>
        </w:tc>
      </w:tr>
    </w:tbl>
    <w:p w14:paraId="2D22AFC1" w14:textId="543245AF" w:rsidR="007760F7" w:rsidRPr="005932BA" w:rsidRDefault="19A043ED" w:rsidP="469479B5">
      <w:pPr>
        <w:ind w:left="-142"/>
        <w:rPr>
          <w:rFonts w:ascii="Times New Roman" w:hAnsi="Times New Roman" w:cs="Times New Roman"/>
          <w:sz w:val="24"/>
          <w:szCs w:val="24"/>
        </w:rPr>
      </w:pPr>
      <w:r w:rsidRPr="469479B5">
        <w:rPr>
          <w:rFonts w:ascii="Times New Roman" w:hAnsi="Times New Roman" w:cs="Times New Roman"/>
          <w:i/>
          <w:iCs/>
          <w:sz w:val="20"/>
          <w:szCs w:val="20"/>
        </w:rPr>
        <w:t>* saskaņā ar Eurostat 202</w:t>
      </w:r>
      <w:r w:rsidR="006E6158">
        <w:rPr>
          <w:rFonts w:ascii="Times New Roman" w:hAnsi="Times New Roman" w:cs="Times New Roman"/>
          <w:i/>
          <w:iCs/>
          <w:sz w:val="20"/>
          <w:szCs w:val="20"/>
        </w:rPr>
        <w:t>5</w:t>
      </w:r>
      <w:r w:rsidRPr="469479B5">
        <w:rPr>
          <w:rFonts w:ascii="Times New Roman" w:hAnsi="Times New Roman" w:cs="Times New Roman"/>
          <w:i/>
          <w:iCs/>
          <w:sz w:val="20"/>
          <w:szCs w:val="20"/>
        </w:rPr>
        <w:t>.</w:t>
      </w:r>
      <w:r w:rsidR="1FB61A42" w:rsidRPr="469479B5">
        <w:rPr>
          <w:rFonts w:ascii="Times New Roman" w:hAnsi="Times New Roman" w:cs="Times New Roman"/>
          <w:b/>
          <w:bCs/>
          <w:sz w:val="24"/>
          <w:szCs w:val="24"/>
        </w:rPr>
        <w:t xml:space="preserve"> </w:t>
      </w:r>
      <w:r w:rsidRPr="469479B5">
        <w:rPr>
          <w:rFonts w:ascii="Times New Roman" w:hAnsi="Times New Roman" w:cs="Times New Roman"/>
          <w:i/>
          <w:iCs/>
          <w:sz w:val="20"/>
          <w:szCs w:val="20"/>
        </w:rPr>
        <w:t>gada aprīļa vispārējās valdības budžeta notifikācijas datiem</w:t>
      </w:r>
      <w:r w:rsidRPr="469479B5">
        <w:rPr>
          <w:rFonts w:ascii="Times New Roman" w:hAnsi="Times New Roman" w:cs="Times New Roman"/>
          <w:sz w:val="24"/>
          <w:szCs w:val="24"/>
        </w:rPr>
        <w:t xml:space="preserve"> </w:t>
      </w:r>
    </w:p>
    <w:p w14:paraId="26BD4E64" w14:textId="449E2A95" w:rsidR="007760F7" w:rsidRPr="005932BA" w:rsidRDefault="19A043ED" w:rsidP="469479B5">
      <w:pPr>
        <w:spacing w:before="240"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Lielākās novirzes pret plānoto bilanci bija vērojamas 2020.</w:t>
      </w:r>
      <w:r w:rsidR="008D4C41"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2021.</w:t>
      </w:r>
      <w:r w:rsidR="1F7955E9"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gados, kad </w:t>
      </w:r>
      <w:r w:rsidRPr="469479B5">
        <w:rPr>
          <w:rFonts w:ascii="Times New Roman" w:eastAsia="Calibri" w:hAnsi="Times New Roman"/>
          <w:sz w:val="24"/>
          <w:szCs w:val="24"/>
        </w:rPr>
        <w:t>Covid</w:t>
      </w:r>
      <w:r w:rsidR="00597FA9" w:rsidRPr="469479B5">
        <w:rPr>
          <w:rFonts w:ascii="Times New Roman" w:hAnsi="Times New Roman" w:cs="Times New Roman"/>
          <w:color w:val="000000" w:themeColor="text1"/>
          <w:sz w:val="24"/>
          <w:szCs w:val="24"/>
        </w:rPr>
        <w:t>–</w:t>
      </w:r>
      <w:r w:rsidRPr="469479B5">
        <w:rPr>
          <w:rFonts w:ascii="Times New Roman" w:eastAsia="Calibri" w:hAnsi="Times New Roman"/>
          <w:sz w:val="24"/>
          <w:szCs w:val="24"/>
        </w:rPr>
        <w:t>19 pandēmija atstāja būtisku ietekmi uz nodokļu ieņēmumiem, tāpat valdība paredzēta nozīmīgu atbalstu dažādām iedzīvotāju grupām Covid</w:t>
      </w:r>
      <w:r w:rsidR="008D4C41" w:rsidRPr="469479B5">
        <w:rPr>
          <w:rFonts w:ascii="Times New Roman" w:hAnsi="Times New Roman" w:cs="Times New Roman"/>
          <w:color w:val="000000" w:themeColor="text1"/>
          <w:sz w:val="24"/>
          <w:szCs w:val="24"/>
        </w:rPr>
        <w:t>–</w:t>
      </w:r>
      <w:r w:rsidRPr="469479B5">
        <w:rPr>
          <w:rFonts w:ascii="Times New Roman" w:eastAsia="Calibri" w:hAnsi="Times New Roman"/>
          <w:sz w:val="24"/>
          <w:szCs w:val="24"/>
        </w:rPr>
        <w:t>19 ietekmes mazināšanai. 2023.</w:t>
      </w:r>
      <w:r w:rsidR="03773F92" w:rsidRPr="469479B5">
        <w:rPr>
          <w:rFonts w:ascii="Times New Roman" w:hAnsi="Times New Roman" w:cs="Times New Roman"/>
          <w:b/>
          <w:bCs/>
          <w:sz w:val="24"/>
          <w:szCs w:val="24"/>
        </w:rPr>
        <w:t xml:space="preserve"> </w:t>
      </w:r>
      <w:r w:rsidRPr="469479B5">
        <w:rPr>
          <w:rFonts w:ascii="Times New Roman" w:eastAsia="Calibri" w:hAnsi="Times New Roman"/>
          <w:sz w:val="24"/>
          <w:szCs w:val="24"/>
        </w:rPr>
        <w:t>gadā zemāks deficīta līmenis panākts lielā mērā sekmējoties ar nodokļu iekasēšanu, tai skaitā augstās inflācijas ietekmē.</w:t>
      </w:r>
      <w:r w:rsidR="00500CFB">
        <w:rPr>
          <w:rFonts w:ascii="Times New Roman" w:eastAsia="Calibri" w:hAnsi="Times New Roman"/>
          <w:sz w:val="24"/>
          <w:szCs w:val="24"/>
        </w:rPr>
        <w:t xml:space="preserve"> </w:t>
      </w:r>
      <w:bookmarkStart w:id="377" w:name="_Hlk199769342"/>
      <w:r w:rsidR="00500CFB">
        <w:rPr>
          <w:rFonts w:ascii="Times New Roman" w:eastAsia="Calibri" w:hAnsi="Times New Roman"/>
          <w:sz w:val="24"/>
          <w:szCs w:val="24"/>
        </w:rPr>
        <w:t>Savukārt 2024. gadā noturīgs budžeta ieņēmumu kāpums kopā ar ierobežotu izdevumu pieaugumu nodrošināja vispārējās valdības budžeta bilances uzlabošanos par vienu procentpunktu attiecībā pret to, kas tika prognozēta budžeta likumā.</w:t>
      </w:r>
      <w:bookmarkEnd w:id="377"/>
    </w:p>
    <w:p w14:paraId="46A20B1A" w14:textId="14902967" w:rsidR="00B95E92" w:rsidRPr="005B476D" w:rsidRDefault="005C1F4C" w:rsidP="00367D2C">
      <w:pPr>
        <w:pStyle w:val="Heading1"/>
        <w:numPr>
          <w:ilvl w:val="0"/>
          <w:numId w:val="0"/>
        </w:numPr>
        <w:jc w:val="center"/>
        <w:rPr>
          <w:rFonts w:ascii="Times New Roman" w:hAnsi="Times New Roman" w:cs="Times New Roman"/>
          <w:sz w:val="24"/>
          <w:szCs w:val="24"/>
        </w:rPr>
      </w:pPr>
      <w:r>
        <w:rPr>
          <w:rFonts w:ascii="Times New Roman" w:hAnsi="Times New Roman" w:cs="Times New Roman"/>
          <w:sz w:val="24"/>
          <w:szCs w:val="24"/>
        </w:rPr>
        <w:br w:type="page"/>
      </w:r>
      <w:bookmarkStart w:id="378" w:name="_Toc536779074"/>
      <w:bookmarkStart w:id="379" w:name="_Toc205554445"/>
      <w:bookmarkStart w:id="380" w:name="_Hlk163117464"/>
      <w:r w:rsidR="00FF0550" w:rsidRPr="00E252EB">
        <w:rPr>
          <w:rFonts w:ascii="Times New Roman" w:hAnsi="Times New Roman" w:cs="Times New Roman"/>
          <w:sz w:val="32"/>
          <w:szCs w:val="32"/>
        </w:rPr>
        <w:t>8</w:t>
      </w:r>
      <w:r w:rsidR="007924D4" w:rsidRPr="00E252EB">
        <w:rPr>
          <w:rFonts w:ascii="Times New Roman" w:hAnsi="Times New Roman" w:cs="Times New Roman"/>
          <w:sz w:val="32"/>
          <w:szCs w:val="32"/>
        </w:rPr>
        <w:t>.</w:t>
      </w:r>
      <w:r w:rsidR="007924D4" w:rsidRPr="00945DC6">
        <w:rPr>
          <w:rFonts w:ascii="Times New Roman" w:hAnsi="Times New Roman" w:cs="Times New Roman"/>
          <w:sz w:val="24"/>
          <w:szCs w:val="24"/>
        </w:rPr>
        <w:t xml:space="preserve"> </w:t>
      </w:r>
      <w:r w:rsidR="00B95E92" w:rsidRPr="00945DC6">
        <w:rPr>
          <w:rFonts w:ascii="Times New Roman" w:hAnsi="Times New Roman" w:cs="Times New Roman"/>
          <w:sz w:val="32"/>
          <w:szCs w:val="32"/>
        </w:rPr>
        <w:t>Fiskālā nodrošinājuma rezerves aprēķins</w:t>
      </w:r>
      <w:bookmarkEnd w:id="322"/>
      <w:bookmarkEnd w:id="378"/>
      <w:r w:rsidR="00D9742C" w:rsidRPr="00945DC6">
        <w:rPr>
          <w:rFonts w:ascii="Times New Roman" w:hAnsi="Times New Roman" w:cs="Times New Roman"/>
          <w:sz w:val="32"/>
          <w:szCs w:val="32"/>
        </w:rPr>
        <w:t xml:space="preserve"> un papildu nepieciešamie pasākumi fiskālo risku mazināšanai</w:t>
      </w:r>
      <w:bookmarkEnd w:id="379"/>
    </w:p>
    <w:bookmarkEnd w:id="380"/>
    <w:p w14:paraId="22147780" w14:textId="77777777" w:rsidR="00367D2C" w:rsidRPr="00883EE7" w:rsidRDefault="00367D2C" w:rsidP="00E36452">
      <w:pPr>
        <w:spacing w:after="0" w:line="240" w:lineRule="auto"/>
        <w:ind w:firstLine="720"/>
        <w:jc w:val="both"/>
        <w:rPr>
          <w:rFonts w:ascii="Times New Roman" w:hAnsi="Times New Roman" w:cs="Times New Roman"/>
          <w:sz w:val="24"/>
          <w:szCs w:val="24"/>
          <w:highlight w:val="yellow"/>
        </w:rPr>
      </w:pPr>
    </w:p>
    <w:p w14:paraId="5190B451" w14:textId="7231AD06" w:rsidR="00E36452" w:rsidRPr="0039424C" w:rsidRDefault="00E36452" w:rsidP="00E36452">
      <w:pPr>
        <w:spacing w:after="0" w:line="240" w:lineRule="auto"/>
        <w:ind w:firstLine="720"/>
        <w:jc w:val="both"/>
        <w:rPr>
          <w:rFonts w:ascii="Times New Roman" w:hAnsi="Times New Roman" w:cs="Times New Roman"/>
          <w:sz w:val="24"/>
          <w:szCs w:val="24"/>
        </w:rPr>
      </w:pPr>
      <w:r w:rsidRPr="0039424C">
        <w:rPr>
          <w:rFonts w:ascii="Times New Roman" w:hAnsi="Times New Roman" w:cs="Times New Roman"/>
          <w:sz w:val="24"/>
          <w:szCs w:val="24"/>
        </w:rPr>
        <w:t>Fiskālās nodrošinājuma rezerves aprēķina metodoloģiju nosaka MK noteikumi Nr.229. Nosakot fiskālās nodrošinājuma rezerves apjomu, nekvantificējamie fiskālie riski netiek iekļauti šajos aprēķinos. Tāpat aprēķini neiekļauj fiskālos riskus ar iestāšanās varbūtību 1 un 5. Fiskālajiem riskiem ar zemu varbūtību tiek izmantota minimālā fiskālā nodrošinājuma rezerve 0,1% no IKP, bet fiskālos riskus ar augstu varbūtību (ar iestāšanās varbūtību 5) fiskālajās prognozēs ņem vērā kā notikumus, kas attiecīgajā periodā notiks, respektīvi, to fiskālo ietekmi iekļauj izdevumu vai ieņēmumu prognozēs, sagatavojot vispārējās valdības budžeta finansiālās bilances aprēķinus. Fiskālā nodrošinājumu rezerve tiek aprēķināta fiskālajiem riskiem ar iestāšanās varbūtību 2, 3 un 4. Fiskālā nodrošinājuma rezerves apjomu aprēķina, summējot visus kvantificējamo</w:t>
      </w:r>
      <w:r w:rsidR="00BE3C05">
        <w:rPr>
          <w:rFonts w:ascii="Times New Roman" w:hAnsi="Times New Roman" w:cs="Times New Roman"/>
          <w:sz w:val="24"/>
          <w:szCs w:val="24"/>
        </w:rPr>
        <w:t>s</w:t>
      </w:r>
      <w:r w:rsidRPr="0039424C">
        <w:rPr>
          <w:rFonts w:ascii="Times New Roman" w:hAnsi="Times New Roman" w:cs="Times New Roman"/>
          <w:sz w:val="24"/>
          <w:szCs w:val="24"/>
        </w:rPr>
        <w:t xml:space="preserve"> fiskālos riskus, kuriem:</w:t>
      </w:r>
    </w:p>
    <w:p w14:paraId="37627964" w14:textId="206BE45F" w:rsidR="00E36452" w:rsidRPr="0039424C" w:rsidRDefault="00E36452" w:rsidP="002052AB">
      <w:pPr>
        <w:pStyle w:val="ListParagraph"/>
        <w:numPr>
          <w:ilvl w:val="0"/>
          <w:numId w:val="6"/>
        </w:numPr>
        <w:ind w:left="1134" w:hanging="357"/>
        <w:contextualSpacing w:val="0"/>
        <w:rPr>
          <w:rFonts w:ascii="Times New Roman" w:hAnsi="Times New Roman"/>
          <w:sz w:val="24"/>
          <w:szCs w:val="24"/>
        </w:rPr>
      </w:pPr>
      <w:r w:rsidRPr="0039424C">
        <w:rPr>
          <w:rFonts w:ascii="Times New Roman" w:hAnsi="Times New Roman"/>
          <w:sz w:val="24"/>
          <w:szCs w:val="24"/>
        </w:rPr>
        <w:t>iestāšanās varbūtība novērtēta ar 2, fiskālo ietekmi procentos no IKP reizinot ar koeficientu 0,1;</w:t>
      </w:r>
    </w:p>
    <w:p w14:paraId="57D7D5BB" w14:textId="6B60EA34" w:rsidR="00E36452" w:rsidRPr="0039424C" w:rsidRDefault="00E36452" w:rsidP="00D64BA9">
      <w:pPr>
        <w:pStyle w:val="ListParagraph"/>
        <w:numPr>
          <w:ilvl w:val="0"/>
          <w:numId w:val="6"/>
        </w:numPr>
        <w:ind w:left="1134" w:hanging="357"/>
        <w:rPr>
          <w:rFonts w:ascii="Times New Roman" w:hAnsi="Times New Roman"/>
          <w:sz w:val="24"/>
          <w:szCs w:val="24"/>
        </w:rPr>
      </w:pPr>
      <w:r w:rsidRPr="0039424C">
        <w:rPr>
          <w:rFonts w:ascii="Times New Roman" w:hAnsi="Times New Roman"/>
          <w:sz w:val="24"/>
          <w:szCs w:val="24"/>
        </w:rPr>
        <w:t>iestāšanās varbūtība novērtēta ar 3, fiskālo ietekmi procentos no IKP reizinot ar koeficientu 0,3;</w:t>
      </w:r>
    </w:p>
    <w:p w14:paraId="0E2F5010" w14:textId="32FFE14A" w:rsidR="00E36452" w:rsidRPr="0039424C" w:rsidRDefault="00E36452" w:rsidP="00D64BA9">
      <w:pPr>
        <w:pStyle w:val="ListParagraph"/>
        <w:numPr>
          <w:ilvl w:val="0"/>
          <w:numId w:val="6"/>
        </w:numPr>
        <w:ind w:left="1134" w:hanging="357"/>
        <w:rPr>
          <w:rFonts w:ascii="Times New Roman" w:hAnsi="Times New Roman"/>
          <w:sz w:val="24"/>
          <w:szCs w:val="24"/>
        </w:rPr>
      </w:pPr>
      <w:r w:rsidRPr="0039424C">
        <w:rPr>
          <w:rFonts w:ascii="Times New Roman" w:hAnsi="Times New Roman"/>
          <w:sz w:val="24"/>
          <w:szCs w:val="24"/>
        </w:rPr>
        <w:t>iestāšanās varbūtība novērtēta ar 4, fiskālo ietekmi procentos no IKP reizinot ar koeficientu 0,6.</w:t>
      </w:r>
    </w:p>
    <w:p w14:paraId="481F2338" w14:textId="680D641C" w:rsidR="00E36452" w:rsidRPr="0039424C" w:rsidRDefault="00123748" w:rsidP="00A4103C">
      <w:pPr>
        <w:spacing w:after="0" w:line="240" w:lineRule="auto"/>
        <w:ind w:firstLine="720"/>
        <w:jc w:val="both"/>
        <w:rPr>
          <w:rFonts w:ascii="Times New Roman" w:hAnsi="Times New Roman" w:cs="Times New Roman"/>
          <w:sz w:val="24"/>
          <w:szCs w:val="24"/>
        </w:rPr>
      </w:pPr>
      <w:r w:rsidRPr="0039424C">
        <w:rPr>
          <w:rFonts w:ascii="Times New Roman" w:hAnsi="Times New Roman" w:cs="Times New Roman"/>
          <w:sz w:val="24"/>
          <w:szCs w:val="24"/>
        </w:rPr>
        <w:t>F</w:t>
      </w:r>
      <w:r w:rsidR="00E36452" w:rsidRPr="0039424C">
        <w:rPr>
          <w:rFonts w:ascii="Times New Roman" w:hAnsi="Times New Roman" w:cs="Times New Roman"/>
          <w:sz w:val="24"/>
          <w:szCs w:val="24"/>
        </w:rPr>
        <w:t>iskālā nodrošinājuma rezerve tiek aprēķināta</w:t>
      </w:r>
      <w:r w:rsidR="002E002F" w:rsidRPr="0039424C">
        <w:rPr>
          <w:rFonts w:ascii="Times New Roman" w:hAnsi="Times New Roman" w:cs="Times New Roman"/>
          <w:sz w:val="24"/>
          <w:szCs w:val="24"/>
        </w:rPr>
        <w:t>,</w:t>
      </w:r>
      <w:r w:rsidR="00E36452" w:rsidRPr="0039424C">
        <w:rPr>
          <w:rFonts w:ascii="Times New Roman" w:hAnsi="Times New Roman" w:cs="Times New Roman"/>
          <w:sz w:val="24"/>
          <w:szCs w:val="24"/>
        </w:rPr>
        <w:t xml:space="preserve"> ņemot vērā šādus galvenos šīs deklarācijas secinājumus</w:t>
      </w:r>
      <w:r w:rsidR="00040B11" w:rsidRPr="0039424C">
        <w:rPr>
          <w:rFonts w:ascii="Times New Roman" w:hAnsi="Times New Roman" w:cs="Times New Roman"/>
          <w:sz w:val="24"/>
          <w:szCs w:val="24"/>
        </w:rPr>
        <w:t xml:space="preserve"> un identificētos papildu nepieciešamos pasākumus fiskālo risku mazināšanai</w:t>
      </w:r>
      <w:r w:rsidR="00E36452" w:rsidRPr="0039424C">
        <w:rPr>
          <w:rFonts w:ascii="Times New Roman" w:hAnsi="Times New Roman" w:cs="Times New Roman"/>
          <w:sz w:val="24"/>
          <w:szCs w:val="24"/>
        </w:rPr>
        <w:t>:</w:t>
      </w:r>
    </w:p>
    <w:p w14:paraId="249AAD05" w14:textId="7F5B6650" w:rsidR="00F86A0B" w:rsidRPr="002420E9" w:rsidRDefault="27379087" w:rsidP="00A4103C">
      <w:pPr>
        <w:pStyle w:val="ListParagraph"/>
        <w:numPr>
          <w:ilvl w:val="0"/>
          <w:numId w:val="7"/>
        </w:numPr>
        <w:ind w:left="1134"/>
        <w:rPr>
          <w:rFonts w:ascii="Times New Roman" w:hAnsi="Times New Roman"/>
          <w:sz w:val="24"/>
          <w:szCs w:val="24"/>
        </w:rPr>
      </w:pPr>
      <w:r w:rsidRPr="469479B5">
        <w:rPr>
          <w:rFonts w:ascii="Times New Roman" w:hAnsi="Times New Roman"/>
          <w:sz w:val="24"/>
          <w:szCs w:val="24"/>
        </w:rPr>
        <w:t xml:space="preserve">Kvantificējamam nesimetriskajam fiskālajam riskam, kas rodas no </w:t>
      </w:r>
      <w:r w:rsidR="496B1BBF" w:rsidRPr="469479B5">
        <w:rPr>
          <w:rFonts w:ascii="Times New Roman" w:hAnsi="Times New Roman"/>
          <w:sz w:val="24"/>
          <w:szCs w:val="24"/>
        </w:rPr>
        <w:t>valsts galvojumiem</w:t>
      </w:r>
      <w:r w:rsidRPr="469479B5">
        <w:rPr>
          <w:rFonts w:ascii="Times New Roman" w:hAnsi="Times New Roman"/>
          <w:sz w:val="24"/>
          <w:szCs w:val="24"/>
        </w:rPr>
        <w:t>, tiek novērtēta fiskālā nodrošinājuma rezerve</w:t>
      </w:r>
      <w:r w:rsidR="13B7D012" w:rsidRPr="469479B5">
        <w:rPr>
          <w:rFonts w:ascii="Times New Roman" w:hAnsi="Times New Roman"/>
          <w:sz w:val="24"/>
          <w:szCs w:val="24"/>
        </w:rPr>
        <w:t xml:space="preserve"> </w:t>
      </w:r>
      <w:bookmarkStart w:id="381" w:name="_Hlk142384416"/>
      <w:r w:rsidR="000C0BA1" w:rsidRPr="469479B5">
        <w:rPr>
          <w:rFonts w:ascii="Times New Roman" w:hAnsi="Times New Roman"/>
          <w:sz w:val="24"/>
          <w:szCs w:val="24"/>
        </w:rPr>
        <w:t>202</w:t>
      </w:r>
      <w:r w:rsidR="000C0BA1">
        <w:rPr>
          <w:rFonts w:ascii="Times New Roman" w:hAnsi="Times New Roman"/>
          <w:sz w:val="24"/>
          <w:szCs w:val="24"/>
        </w:rPr>
        <w:t>6</w:t>
      </w:r>
      <w:r w:rsidR="21F032E5" w:rsidRPr="469479B5">
        <w:rPr>
          <w:rFonts w:ascii="Times New Roman" w:hAnsi="Times New Roman"/>
          <w:sz w:val="24"/>
          <w:szCs w:val="24"/>
        </w:rPr>
        <w:t>.</w:t>
      </w:r>
      <w:r w:rsidR="6A5121B9" w:rsidRPr="469479B5">
        <w:rPr>
          <w:rFonts w:ascii="Times New Roman" w:hAnsi="Times New Roman"/>
          <w:b/>
          <w:bCs/>
          <w:sz w:val="24"/>
          <w:szCs w:val="24"/>
        </w:rPr>
        <w:t xml:space="preserve"> </w:t>
      </w:r>
      <w:r w:rsidR="21F032E5" w:rsidRPr="469479B5">
        <w:rPr>
          <w:rFonts w:ascii="Times New Roman" w:hAnsi="Times New Roman"/>
          <w:sz w:val="24"/>
          <w:szCs w:val="24"/>
        </w:rPr>
        <w:t>gadā</w:t>
      </w:r>
      <w:r w:rsidR="00A4103C">
        <w:rPr>
          <w:rFonts w:ascii="Times New Roman" w:hAnsi="Times New Roman"/>
          <w:sz w:val="24"/>
          <w:szCs w:val="24"/>
        </w:rPr>
        <w:t xml:space="preserve"> – 0,57 </w:t>
      </w:r>
      <w:r w:rsidR="21F032E5" w:rsidRPr="469479B5">
        <w:rPr>
          <w:rFonts w:ascii="Times New Roman" w:hAnsi="Times New Roman"/>
          <w:sz w:val="24"/>
          <w:szCs w:val="24"/>
        </w:rPr>
        <w:t>milj. </w:t>
      </w:r>
      <w:r w:rsidR="21F032E5" w:rsidRPr="469479B5">
        <w:rPr>
          <w:rFonts w:ascii="Times New Roman" w:hAnsi="Times New Roman"/>
          <w:i/>
          <w:iCs/>
          <w:sz w:val="24"/>
          <w:szCs w:val="24"/>
        </w:rPr>
        <w:t>euro</w:t>
      </w:r>
      <w:r w:rsidR="21F032E5" w:rsidRPr="469479B5">
        <w:rPr>
          <w:rFonts w:ascii="Times New Roman" w:hAnsi="Times New Roman"/>
          <w:sz w:val="24"/>
          <w:szCs w:val="24"/>
        </w:rPr>
        <w:t xml:space="preserve"> apmērā, </w:t>
      </w:r>
      <w:r w:rsidR="000C0BA1" w:rsidRPr="469479B5">
        <w:rPr>
          <w:rFonts w:ascii="Times New Roman" w:hAnsi="Times New Roman"/>
          <w:sz w:val="24"/>
          <w:szCs w:val="24"/>
        </w:rPr>
        <w:t>202</w:t>
      </w:r>
      <w:r w:rsidR="000C0BA1">
        <w:rPr>
          <w:rFonts w:ascii="Times New Roman" w:hAnsi="Times New Roman"/>
          <w:sz w:val="24"/>
          <w:szCs w:val="24"/>
        </w:rPr>
        <w:t>7</w:t>
      </w:r>
      <w:r w:rsidR="21F032E5" w:rsidRPr="469479B5">
        <w:rPr>
          <w:rFonts w:ascii="Times New Roman" w:hAnsi="Times New Roman"/>
          <w:sz w:val="24"/>
          <w:szCs w:val="24"/>
        </w:rPr>
        <w:t>.</w:t>
      </w:r>
      <w:r w:rsidR="006215BB" w:rsidRPr="469479B5">
        <w:rPr>
          <w:rFonts w:ascii="Times New Roman" w:hAnsi="Times New Roman"/>
          <w:b/>
          <w:bCs/>
          <w:sz w:val="24"/>
          <w:szCs w:val="24"/>
        </w:rPr>
        <w:t xml:space="preserve"> </w:t>
      </w:r>
      <w:r w:rsidR="21F032E5" w:rsidRPr="469479B5">
        <w:rPr>
          <w:rFonts w:ascii="Times New Roman" w:hAnsi="Times New Roman"/>
          <w:sz w:val="24"/>
          <w:szCs w:val="24"/>
        </w:rPr>
        <w:t xml:space="preserve">gadā – </w:t>
      </w:r>
      <w:r w:rsidR="00E248CE">
        <w:rPr>
          <w:rFonts w:ascii="Times New Roman" w:hAnsi="Times New Roman"/>
          <w:sz w:val="24"/>
          <w:szCs w:val="24"/>
        </w:rPr>
        <w:t>0,83</w:t>
      </w:r>
      <w:r w:rsidR="00E248CE" w:rsidRPr="469479B5">
        <w:rPr>
          <w:rFonts w:ascii="Times New Roman" w:hAnsi="Times New Roman"/>
          <w:sz w:val="24"/>
          <w:szCs w:val="24"/>
        </w:rPr>
        <w:t> </w:t>
      </w:r>
      <w:r w:rsidR="21F032E5" w:rsidRPr="469479B5">
        <w:rPr>
          <w:rFonts w:ascii="Times New Roman" w:hAnsi="Times New Roman"/>
          <w:sz w:val="24"/>
          <w:szCs w:val="24"/>
        </w:rPr>
        <w:t>milj. </w:t>
      </w:r>
      <w:r w:rsidR="21F032E5" w:rsidRPr="469479B5">
        <w:rPr>
          <w:rFonts w:ascii="Times New Roman" w:hAnsi="Times New Roman"/>
          <w:i/>
          <w:iCs/>
          <w:sz w:val="24"/>
          <w:szCs w:val="24"/>
        </w:rPr>
        <w:t>euro</w:t>
      </w:r>
      <w:r w:rsidR="21F032E5" w:rsidRPr="469479B5">
        <w:rPr>
          <w:rFonts w:ascii="Times New Roman" w:hAnsi="Times New Roman"/>
          <w:sz w:val="24"/>
          <w:szCs w:val="24"/>
        </w:rPr>
        <w:t xml:space="preserve"> apmērā, </w:t>
      </w:r>
      <w:r w:rsidR="000C0BA1" w:rsidRPr="469479B5">
        <w:rPr>
          <w:rFonts w:ascii="Times New Roman" w:hAnsi="Times New Roman"/>
          <w:sz w:val="24"/>
          <w:szCs w:val="24"/>
        </w:rPr>
        <w:t>202</w:t>
      </w:r>
      <w:r w:rsidR="000C0BA1">
        <w:rPr>
          <w:rFonts w:ascii="Times New Roman" w:hAnsi="Times New Roman"/>
          <w:sz w:val="24"/>
          <w:szCs w:val="24"/>
        </w:rPr>
        <w:t>8</w:t>
      </w:r>
      <w:r w:rsidR="21F032E5" w:rsidRPr="469479B5">
        <w:rPr>
          <w:rFonts w:ascii="Times New Roman" w:hAnsi="Times New Roman"/>
          <w:sz w:val="24"/>
          <w:szCs w:val="24"/>
        </w:rPr>
        <w:t>.</w:t>
      </w:r>
      <w:r w:rsidR="5C7B089B" w:rsidRPr="469479B5">
        <w:rPr>
          <w:rFonts w:ascii="Times New Roman" w:hAnsi="Times New Roman"/>
          <w:b/>
          <w:bCs/>
          <w:sz w:val="24"/>
          <w:szCs w:val="24"/>
        </w:rPr>
        <w:t xml:space="preserve"> </w:t>
      </w:r>
      <w:r w:rsidR="21F032E5" w:rsidRPr="469479B5">
        <w:rPr>
          <w:rFonts w:ascii="Times New Roman" w:hAnsi="Times New Roman"/>
          <w:sz w:val="24"/>
          <w:szCs w:val="24"/>
        </w:rPr>
        <w:t xml:space="preserve">gadā – </w:t>
      </w:r>
      <w:r w:rsidR="00E248CE">
        <w:rPr>
          <w:rFonts w:ascii="Times New Roman" w:hAnsi="Times New Roman"/>
          <w:sz w:val="24"/>
          <w:szCs w:val="24"/>
        </w:rPr>
        <w:t>0,82</w:t>
      </w:r>
      <w:r w:rsidR="21F032E5" w:rsidRPr="469479B5">
        <w:rPr>
          <w:rFonts w:ascii="Times New Roman" w:hAnsi="Times New Roman"/>
          <w:sz w:val="24"/>
          <w:szCs w:val="24"/>
        </w:rPr>
        <w:t> milj. </w:t>
      </w:r>
      <w:r w:rsidR="21F032E5" w:rsidRPr="469479B5">
        <w:rPr>
          <w:rFonts w:ascii="Times New Roman" w:hAnsi="Times New Roman"/>
          <w:i/>
          <w:iCs/>
          <w:sz w:val="24"/>
          <w:szCs w:val="24"/>
        </w:rPr>
        <w:t>euro</w:t>
      </w:r>
      <w:r w:rsidR="21F032E5" w:rsidRPr="469479B5">
        <w:rPr>
          <w:rFonts w:ascii="Times New Roman" w:hAnsi="Times New Roman"/>
          <w:sz w:val="24"/>
          <w:szCs w:val="24"/>
        </w:rPr>
        <w:t xml:space="preserve"> apmērā</w:t>
      </w:r>
      <w:r w:rsidR="496B1BBF" w:rsidRPr="469479B5">
        <w:rPr>
          <w:rFonts w:ascii="Times New Roman" w:hAnsi="Times New Roman"/>
          <w:sz w:val="24"/>
          <w:szCs w:val="24"/>
        </w:rPr>
        <w:t>;</w:t>
      </w:r>
    </w:p>
    <w:bookmarkEnd w:id="381"/>
    <w:p w14:paraId="64124A35" w14:textId="527AEA25" w:rsidR="00A11874" w:rsidRPr="003D7001" w:rsidRDefault="44ABF3FF" w:rsidP="00A4103C">
      <w:pPr>
        <w:pStyle w:val="ListParagraph"/>
        <w:numPr>
          <w:ilvl w:val="0"/>
          <w:numId w:val="7"/>
        </w:numPr>
        <w:ind w:left="1134"/>
        <w:rPr>
          <w:rFonts w:ascii="Times New Roman" w:hAnsi="Times New Roman"/>
          <w:sz w:val="24"/>
          <w:szCs w:val="24"/>
        </w:rPr>
      </w:pPr>
      <w:r w:rsidRPr="469479B5">
        <w:rPr>
          <w:rFonts w:ascii="Times New Roman" w:hAnsi="Times New Roman"/>
          <w:sz w:val="24"/>
          <w:szCs w:val="24"/>
        </w:rPr>
        <w:t xml:space="preserve">Kvantificējamam nesimetriskajam fiskālajam riskam, kas rodas no </w:t>
      </w:r>
      <w:r w:rsidR="6D3B695B" w:rsidRPr="469479B5">
        <w:rPr>
          <w:rFonts w:ascii="Times New Roman" w:hAnsi="Times New Roman"/>
          <w:sz w:val="24"/>
          <w:szCs w:val="24"/>
        </w:rPr>
        <w:t>valsts aizdevumiem</w:t>
      </w:r>
      <w:r w:rsidRPr="469479B5">
        <w:rPr>
          <w:rFonts w:ascii="Times New Roman" w:hAnsi="Times New Roman"/>
          <w:sz w:val="24"/>
          <w:szCs w:val="24"/>
        </w:rPr>
        <w:t xml:space="preserve">, tiek novērtēta fiskālā nodrošinājuma rezerve </w:t>
      </w:r>
      <w:r w:rsidR="000C0BA1" w:rsidRPr="469479B5">
        <w:rPr>
          <w:rFonts w:ascii="Times New Roman" w:hAnsi="Times New Roman"/>
          <w:sz w:val="24"/>
          <w:szCs w:val="24"/>
        </w:rPr>
        <w:t>202</w:t>
      </w:r>
      <w:r w:rsidR="000C0BA1">
        <w:rPr>
          <w:rFonts w:ascii="Times New Roman" w:hAnsi="Times New Roman"/>
          <w:sz w:val="24"/>
          <w:szCs w:val="24"/>
        </w:rPr>
        <w:t>6</w:t>
      </w:r>
      <w:r w:rsidR="16044854" w:rsidRPr="469479B5">
        <w:rPr>
          <w:rFonts w:ascii="Times New Roman" w:hAnsi="Times New Roman"/>
          <w:sz w:val="24"/>
          <w:szCs w:val="24"/>
        </w:rPr>
        <w:t>.</w:t>
      </w:r>
      <w:r w:rsidR="6F651FC7" w:rsidRPr="469479B5">
        <w:rPr>
          <w:rFonts w:ascii="Times New Roman" w:hAnsi="Times New Roman"/>
          <w:b/>
          <w:bCs/>
          <w:sz w:val="24"/>
          <w:szCs w:val="24"/>
        </w:rPr>
        <w:t xml:space="preserve"> </w:t>
      </w:r>
      <w:r w:rsidR="16044854" w:rsidRPr="469479B5">
        <w:rPr>
          <w:rFonts w:ascii="Times New Roman" w:hAnsi="Times New Roman"/>
          <w:sz w:val="24"/>
          <w:szCs w:val="24"/>
        </w:rPr>
        <w:t xml:space="preserve">gadā </w:t>
      </w:r>
      <w:r w:rsidR="00597FA9" w:rsidRPr="469479B5">
        <w:rPr>
          <w:rFonts w:ascii="Times New Roman" w:hAnsi="Times New Roman"/>
          <w:color w:val="000000" w:themeColor="text1"/>
          <w:sz w:val="24"/>
          <w:szCs w:val="24"/>
        </w:rPr>
        <w:t>–</w:t>
      </w:r>
      <w:r w:rsidR="16044854" w:rsidRPr="469479B5">
        <w:rPr>
          <w:rFonts w:ascii="Times New Roman" w:hAnsi="Times New Roman"/>
          <w:sz w:val="24"/>
          <w:szCs w:val="24"/>
        </w:rPr>
        <w:t xml:space="preserve"> </w:t>
      </w:r>
      <w:r w:rsidR="00E248CE">
        <w:rPr>
          <w:rFonts w:ascii="Times New Roman" w:hAnsi="Times New Roman"/>
          <w:sz w:val="24"/>
          <w:szCs w:val="24"/>
        </w:rPr>
        <w:t>1,32</w:t>
      </w:r>
      <w:r w:rsidR="16044854" w:rsidRPr="469479B5">
        <w:rPr>
          <w:rFonts w:ascii="Times New Roman" w:hAnsi="Times New Roman"/>
          <w:sz w:val="24"/>
          <w:szCs w:val="24"/>
        </w:rPr>
        <w:t> milj. </w:t>
      </w:r>
      <w:r w:rsidR="16044854" w:rsidRPr="469479B5">
        <w:rPr>
          <w:rFonts w:ascii="Times New Roman" w:hAnsi="Times New Roman"/>
          <w:i/>
          <w:iCs/>
          <w:sz w:val="24"/>
          <w:szCs w:val="24"/>
        </w:rPr>
        <w:t>euro</w:t>
      </w:r>
      <w:r w:rsidR="16044854" w:rsidRPr="469479B5">
        <w:rPr>
          <w:rFonts w:ascii="Times New Roman" w:hAnsi="Times New Roman"/>
          <w:sz w:val="24"/>
          <w:szCs w:val="24"/>
        </w:rPr>
        <w:t xml:space="preserve"> apmērā, </w:t>
      </w:r>
      <w:r w:rsidR="000C0BA1" w:rsidRPr="469479B5">
        <w:rPr>
          <w:rFonts w:ascii="Times New Roman" w:hAnsi="Times New Roman"/>
          <w:sz w:val="24"/>
          <w:szCs w:val="24"/>
        </w:rPr>
        <w:t>202</w:t>
      </w:r>
      <w:r w:rsidR="000C0BA1">
        <w:rPr>
          <w:rFonts w:ascii="Times New Roman" w:hAnsi="Times New Roman"/>
          <w:sz w:val="24"/>
          <w:szCs w:val="24"/>
        </w:rPr>
        <w:t>7</w:t>
      </w:r>
      <w:r w:rsidR="16044854" w:rsidRPr="469479B5">
        <w:rPr>
          <w:rFonts w:ascii="Times New Roman" w:hAnsi="Times New Roman"/>
          <w:sz w:val="24"/>
          <w:szCs w:val="24"/>
        </w:rPr>
        <w:t>.</w:t>
      </w:r>
      <w:r w:rsidR="66ACA4E6" w:rsidRPr="469479B5">
        <w:rPr>
          <w:rFonts w:ascii="Times New Roman" w:hAnsi="Times New Roman"/>
          <w:b/>
          <w:bCs/>
          <w:sz w:val="24"/>
          <w:szCs w:val="24"/>
        </w:rPr>
        <w:t xml:space="preserve"> </w:t>
      </w:r>
      <w:r w:rsidR="16044854" w:rsidRPr="469479B5">
        <w:rPr>
          <w:rFonts w:ascii="Times New Roman" w:hAnsi="Times New Roman"/>
          <w:sz w:val="24"/>
          <w:szCs w:val="24"/>
        </w:rPr>
        <w:t xml:space="preserve">gadam – </w:t>
      </w:r>
      <w:r w:rsidR="00E248CE">
        <w:rPr>
          <w:rFonts w:ascii="Times New Roman" w:hAnsi="Times New Roman"/>
          <w:sz w:val="24"/>
          <w:szCs w:val="24"/>
        </w:rPr>
        <w:t>1,38</w:t>
      </w:r>
      <w:r w:rsidR="16044854" w:rsidRPr="469479B5">
        <w:rPr>
          <w:rFonts w:ascii="Times New Roman" w:hAnsi="Times New Roman"/>
          <w:sz w:val="24"/>
          <w:szCs w:val="24"/>
        </w:rPr>
        <w:t> milj. </w:t>
      </w:r>
      <w:r w:rsidR="16044854" w:rsidRPr="469479B5">
        <w:rPr>
          <w:rFonts w:ascii="Times New Roman" w:hAnsi="Times New Roman"/>
          <w:i/>
          <w:iCs/>
          <w:sz w:val="24"/>
          <w:szCs w:val="24"/>
        </w:rPr>
        <w:t xml:space="preserve">euro </w:t>
      </w:r>
      <w:r w:rsidR="16044854" w:rsidRPr="469479B5">
        <w:rPr>
          <w:rFonts w:ascii="Times New Roman" w:hAnsi="Times New Roman"/>
          <w:sz w:val="24"/>
          <w:szCs w:val="24"/>
        </w:rPr>
        <w:t xml:space="preserve">un </w:t>
      </w:r>
      <w:r w:rsidR="000C0BA1" w:rsidRPr="469479B5">
        <w:rPr>
          <w:rFonts w:ascii="Times New Roman" w:hAnsi="Times New Roman"/>
          <w:sz w:val="24"/>
          <w:szCs w:val="24"/>
        </w:rPr>
        <w:t>202</w:t>
      </w:r>
      <w:r w:rsidR="000C0BA1">
        <w:rPr>
          <w:rFonts w:ascii="Times New Roman" w:hAnsi="Times New Roman"/>
          <w:sz w:val="24"/>
          <w:szCs w:val="24"/>
        </w:rPr>
        <w:t>8</w:t>
      </w:r>
      <w:r w:rsidR="16044854" w:rsidRPr="469479B5">
        <w:rPr>
          <w:rFonts w:ascii="Times New Roman" w:hAnsi="Times New Roman"/>
          <w:sz w:val="24"/>
          <w:szCs w:val="24"/>
        </w:rPr>
        <w:t>.</w:t>
      </w:r>
      <w:r w:rsidR="68DF1F91" w:rsidRPr="469479B5">
        <w:rPr>
          <w:rFonts w:ascii="Times New Roman" w:hAnsi="Times New Roman"/>
          <w:b/>
          <w:bCs/>
          <w:sz w:val="24"/>
          <w:szCs w:val="24"/>
        </w:rPr>
        <w:t xml:space="preserve"> </w:t>
      </w:r>
      <w:r w:rsidR="16044854" w:rsidRPr="469479B5">
        <w:rPr>
          <w:rFonts w:ascii="Times New Roman" w:hAnsi="Times New Roman"/>
          <w:sz w:val="24"/>
          <w:szCs w:val="24"/>
        </w:rPr>
        <w:t xml:space="preserve">gadam – </w:t>
      </w:r>
      <w:r w:rsidR="00643BA5">
        <w:rPr>
          <w:rFonts w:ascii="Times New Roman" w:hAnsi="Times New Roman"/>
          <w:sz w:val="24"/>
          <w:szCs w:val="24"/>
        </w:rPr>
        <w:t>2,89</w:t>
      </w:r>
      <w:r w:rsidR="16044854" w:rsidRPr="469479B5">
        <w:rPr>
          <w:rFonts w:ascii="Times New Roman" w:hAnsi="Times New Roman"/>
          <w:sz w:val="24"/>
          <w:szCs w:val="24"/>
        </w:rPr>
        <w:t xml:space="preserve"> milj. </w:t>
      </w:r>
      <w:r w:rsidR="16044854" w:rsidRPr="469479B5">
        <w:rPr>
          <w:rFonts w:ascii="Times New Roman" w:hAnsi="Times New Roman"/>
          <w:i/>
          <w:iCs/>
          <w:sz w:val="24"/>
          <w:szCs w:val="24"/>
        </w:rPr>
        <w:t>euro</w:t>
      </w:r>
      <w:r w:rsidR="77AC115E" w:rsidRPr="469479B5">
        <w:rPr>
          <w:rFonts w:ascii="Times New Roman" w:hAnsi="Times New Roman"/>
          <w:i/>
          <w:iCs/>
          <w:sz w:val="24"/>
          <w:szCs w:val="24"/>
        </w:rPr>
        <w:t>;</w:t>
      </w:r>
    </w:p>
    <w:p w14:paraId="1F0BDCCF" w14:textId="59D5A54A" w:rsidR="004E162A" w:rsidRPr="00E9469F" w:rsidRDefault="004E162A" w:rsidP="00A4103C">
      <w:pPr>
        <w:pStyle w:val="ListParagraph"/>
        <w:numPr>
          <w:ilvl w:val="0"/>
          <w:numId w:val="7"/>
        </w:numPr>
        <w:ind w:left="1134"/>
        <w:rPr>
          <w:rFonts w:ascii="Times New Roman" w:hAnsi="Times New Roman"/>
          <w:sz w:val="24"/>
          <w:szCs w:val="24"/>
        </w:rPr>
      </w:pPr>
      <w:r>
        <w:rPr>
          <w:rFonts w:ascii="Times New Roman" w:hAnsi="Times New Roman"/>
          <w:sz w:val="24"/>
          <w:szCs w:val="24"/>
        </w:rPr>
        <w:t xml:space="preserve">Kvantificējamam nesimetriskajam fiskālajam riskam, kas rodas no dižpasākumu organizēšanas un ārvalstu filmu uzņemšanas Latvijā, tiek novērtēta fiskālā nodrošinājuma rezerve 2026. gadā – 4,395 milj. </w:t>
      </w:r>
      <w:r w:rsidRPr="003D7001">
        <w:rPr>
          <w:rFonts w:ascii="Times New Roman" w:hAnsi="Times New Roman"/>
          <w:i/>
          <w:iCs/>
          <w:sz w:val="24"/>
          <w:szCs w:val="24"/>
        </w:rPr>
        <w:t>euro</w:t>
      </w:r>
      <w:r>
        <w:rPr>
          <w:rFonts w:ascii="Times New Roman" w:hAnsi="Times New Roman"/>
          <w:sz w:val="24"/>
          <w:szCs w:val="24"/>
        </w:rPr>
        <w:t xml:space="preserve">, 2027. gadā – 4,603 milj. </w:t>
      </w:r>
      <w:r w:rsidRPr="003D7001">
        <w:rPr>
          <w:rFonts w:ascii="Times New Roman" w:hAnsi="Times New Roman"/>
          <w:i/>
          <w:iCs/>
          <w:sz w:val="24"/>
          <w:szCs w:val="24"/>
        </w:rPr>
        <w:t>euro</w:t>
      </w:r>
      <w:r>
        <w:rPr>
          <w:rFonts w:ascii="Times New Roman" w:hAnsi="Times New Roman"/>
          <w:sz w:val="24"/>
          <w:szCs w:val="24"/>
        </w:rPr>
        <w:t xml:space="preserve"> un 2028. gadā – 4,815 milj. </w:t>
      </w:r>
      <w:r w:rsidRPr="003D7001">
        <w:rPr>
          <w:rFonts w:ascii="Times New Roman" w:hAnsi="Times New Roman"/>
          <w:i/>
          <w:iCs/>
          <w:sz w:val="24"/>
          <w:szCs w:val="24"/>
        </w:rPr>
        <w:t>euro</w:t>
      </w:r>
      <w:r>
        <w:rPr>
          <w:rFonts w:ascii="Times New Roman" w:hAnsi="Times New Roman"/>
          <w:sz w:val="24"/>
          <w:szCs w:val="24"/>
        </w:rPr>
        <w:t xml:space="preserve">. </w:t>
      </w:r>
    </w:p>
    <w:p w14:paraId="724CCFFF" w14:textId="3905AB79" w:rsidR="00A4103C" w:rsidRPr="00E9469F" w:rsidRDefault="00A4103C" w:rsidP="00A4103C">
      <w:pPr>
        <w:pStyle w:val="ListParagraph"/>
        <w:numPr>
          <w:ilvl w:val="0"/>
          <w:numId w:val="7"/>
        </w:numPr>
        <w:ind w:left="1134"/>
        <w:rPr>
          <w:rFonts w:ascii="Times New Roman" w:hAnsi="Times New Roman"/>
          <w:sz w:val="24"/>
          <w:szCs w:val="24"/>
        </w:rPr>
      </w:pPr>
      <w:r>
        <w:rPr>
          <w:rFonts w:ascii="Times New Roman" w:hAnsi="Times New Roman"/>
          <w:sz w:val="24"/>
          <w:szCs w:val="24"/>
        </w:rPr>
        <w:t xml:space="preserve">Kvantificējamam nesimetriskajam fiskālajam riskam, kas rodas no EPT saimnieciskās darbības prognozēm, tiek novērtēta fiskālā nodrošinājuma rezerve 2026. gadā – 10,1 milj. </w:t>
      </w:r>
      <w:r w:rsidRPr="00E9469F">
        <w:rPr>
          <w:rFonts w:ascii="Times New Roman" w:hAnsi="Times New Roman"/>
          <w:i/>
          <w:iCs/>
          <w:sz w:val="24"/>
          <w:szCs w:val="24"/>
        </w:rPr>
        <w:t xml:space="preserve">euro </w:t>
      </w:r>
      <w:r>
        <w:rPr>
          <w:rFonts w:ascii="Times New Roman" w:hAnsi="Times New Roman"/>
          <w:sz w:val="24"/>
          <w:szCs w:val="24"/>
        </w:rPr>
        <w:t xml:space="preserve">apmērā, 2027. gadā – 10,1 milj. </w:t>
      </w:r>
      <w:r w:rsidRPr="00881BC1">
        <w:rPr>
          <w:rFonts w:ascii="Times New Roman" w:hAnsi="Times New Roman"/>
          <w:i/>
          <w:iCs/>
          <w:sz w:val="24"/>
          <w:szCs w:val="24"/>
        </w:rPr>
        <w:t xml:space="preserve">euro </w:t>
      </w:r>
      <w:r>
        <w:rPr>
          <w:rFonts w:ascii="Times New Roman" w:hAnsi="Times New Roman"/>
          <w:sz w:val="24"/>
          <w:szCs w:val="24"/>
        </w:rPr>
        <w:t xml:space="preserve">apmērā un 2028. gadā – 10,1 milj. </w:t>
      </w:r>
      <w:r w:rsidRPr="00881BC1">
        <w:rPr>
          <w:rFonts w:ascii="Times New Roman" w:hAnsi="Times New Roman"/>
          <w:i/>
          <w:iCs/>
          <w:sz w:val="24"/>
          <w:szCs w:val="24"/>
        </w:rPr>
        <w:t xml:space="preserve">euro </w:t>
      </w:r>
      <w:r>
        <w:rPr>
          <w:rFonts w:ascii="Times New Roman" w:hAnsi="Times New Roman"/>
          <w:sz w:val="24"/>
          <w:szCs w:val="24"/>
        </w:rPr>
        <w:t>apmērā.</w:t>
      </w:r>
    </w:p>
    <w:p w14:paraId="7F94C602" w14:textId="35773830" w:rsidR="00A4103C" w:rsidRPr="00E9469F" w:rsidRDefault="00E36452" w:rsidP="005C2B0A">
      <w:pPr>
        <w:pStyle w:val="ListParagraph"/>
        <w:numPr>
          <w:ilvl w:val="0"/>
          <w:numId w:val="7"/>
        </w:numPr>
        <w:ind w:left="1134"/>
        <w:rPr>
          <w:rFonts w:ascii="Times New Roman" w:hAnsi="Times New Roman"/>
          <w:b/>
          <w:sz w:val="24"/>
        </w:rPr>
      </w:pPr>
      <w:r w:rsidRPr="00B46BA2">
        <w:rPr>
          <w:rFonts w:ascii="Times New Roman" w:hAnsi="Times New Roman"/>
          <w:bCs/>
          <w:sz w:val="24"/>
        </w:rPr>
        <w:t>Liela daļa no kvantificējamiem fiskālajiem riskiem ir</w:t>
      </w:r>
      <w:r w:rsidR="005B4098" w:rsidRPr="00B46BA2">
        <w:rPr>
          <w:rFonts w:ascii="Times New Roman" w:hAnsi="Times New Roman"/>
          <w:bCs/>
          <w:sz w:val="24"/>
        </w:rPr>
        <w:t xml:space="preserve"> </w:t>
      </w:r>
      <w:r w:rsidRPr="00B46BA2">
        <w:rPr>
          <w:rFonts w:ascii="Times New Roman" w:hAnsi="Times New Roman"/>
          <w:bCs/>
          <w:sz w:val="24"/>
        </w:rPr>
        <w:t>simetriski fiskālie riski</w:t>
      </w:r>
      <w:r w:rsidR="005B4098" w:rsidRPr="00B46BA2">
        <w:rPr>
          <w:rFonts w:ascii="Times New Roman" w:hAnsi="Times New Roman"/>
          <w:bCs/>
          <w:sz w:val="24"/>
        </w:rPr>
        <w:t xml:space="preserve"> vai ar zemu iestāšanās varbūtību,</w:t>
      </w:r>
      <w:r w:rsidRPr="00B46BA2">
        <w:rPr>
          <w:rFonts w:ascii="Times New Roman" w:hAnsi="Times New Roman"/>
          <w:bCs/>
          <w:sz w:val="24"/>
        </w:rPr>
        <w:t xml:space="preserve"> un tāpēc fiskālā nodrošinājuma rezerve šiem riskiem netiek veidota</w:t>
      </w:r>
      <w:r w:rsidR="00F86A0B" w:rsidRPr="00B46BA2">
        <w:rPr>
          <w:rFonts w:ascii="Times New Roman" w:hAnsi="Times New Roman"/>
          <w:bCs/>
          <w:sz w:val="24"/>
        </w:rPr>
        <w:t>.</w:t>
      </w:r>
    </w:p>
    <w:p w14:paraId="2BE32BEC" w14:textId="77777777" w:rsidR="005C2B0A" w:rsidRPr="00E9469F" w:rsidRDefault="005C2B0A" w:rsidP="00E9469F">
      <w:pPr>
        <w:pStyle w:val="ListParagraph"/>
        <w:ind w:left="1134"/>
        <w:rPr>
          <w:rFonts w:ascii="Times New Roman" w:hAnsi="Times New Roman"/>
          <w:b/>
          <w:sz w:val="24"/>
        </w:rPr>
      </w:pPr>
    </w:p>
    <w:p w14:paraId="04DE1EC5" w14:textId="7E45415C" w:rsidR="00A95824" w:rsidRPr="00883EE7" w:rsidRDefault="4CEA7645" w:rsidP="0006220F">
      <w:pPr>
        <w:ind w:firstLine="720"/>
        <w:jc w:val="both"/>
        <w:rPr>
          <w:rFonts w:ascii="Times New Roman" w:hAnsi="Times New Roman"/>
          <w:b/>
          <w:bCs/>
          <w:sz w:val="24"/>
          <w:szCs w:val="24"/>
          <w:highlight w:val="yellow"/>
        </w:rPr>
      </w:pPr>
      <w:r w:rsidRPr="469479B5">
        <w:rPr>
          <w:rFonts w:ascii="Times New Roman" w:hAnsi="Times New Roman"/>
          <w:b/>
          <w:bCs/>
          <w:sz w:val="24"/>
          <w:szCs w:val="24"/>
        </w:rPr>
        <w:t xml:space="preserve">Ņemot vērā minēto, no šīs deklarācijas izriet, ka fiskālā nodrošinājuma rezerve </w:t>
      </w:r>
      <w:r w:rsidR="00066409" w:rsidRPr="469479B5">
        <w:rPr>
          <w:rFonts w:ascii="Times New Roman" w:hAnsi="Times New Roman"/>
          <w:b/>
          <w:bCs/>
          <w:sz w:val="24"/>
          <w:szCs w:val="24"/>
        </w:rPr>
        <w:t>202</w:t>
      </w:r>
      <w:r w:rsidR="00066409">
        <w:rPr>
          <w:rFonts w:ascii="Times New Roman" w:hAnsi="Times New Roman"/>
          <w:b/>
          <w:bCs/>
          <w:sz w:val="24"/>
          <w:szCs w:val="24"/>
        </w:rPr>
        <w:t>6</w:t>
      </w:r>
      <w:r w:rsidRPr="469479B5">
        <w:rPr>
          <w:rFonts w:ascii="Times New Roman" w:hAnsi="Times New Roman"/>
          <w:b/>
          <w:bCs/>
          <w:sz w:val="24"/>
          <w:szCs w:val="24"/>
        </w:rPr>
        <w:t>.</w:t>
      </w:r>
      <w:r w:rsidR="004E162A">
        <w:rPr>
          <w:rFonts w:ascii="Times New Roman" w:hAnsi="Times New Roman"/>
          <w:b/>
          <w:bCs/>
          <w:sz w:val="24"/>
          <w:szCs w:val="24"/>
        </w:rPr>
        <w:t>, 2027. un 2028. gadā</w:t>
      </w:r>
      <w:r w:rsidR="000076DA">
        <w:rPr>
          <w:rFonts w:ascii="Times New Roman" w:hAnsi="Times New Roman"/>
          <w:b/>
          <w:bCs/>
          <w:sz w:val="24"/>
          <w:szCs w:val="24"/>
        </w:rPr>
        <w:t xml:space="preserve"> ir jāveido 0,1% </w:t>
      </w:r>
      <w:r w:rsidR="004E162A">
        <w:rPr>
          <w:rFonts w:ascii="Times New Roman" w:hAnsi="Times New Roman"/>
          <w:b/>
          <w:bCs/>
          <w:sz w:val="24"/>
          <w:szCs w:val="24"/>
        </w:rPr>
        <w:t>no IKP apmērā</w:t>
      </w:r>
      <w:r w:rsidRPr="469479B5">
        <w:rPr>
          <w:rFonts w:ascii="Times New Roman" w:hAnsi="Times New Roman"/>
          <w:b/>
          <w:bCs/>
          <w:sz w:val="24"/>
          <w:szCs w:val="24"/>
        </w:rPr>
        <w:t xml:space="preserve">. </w:t>
      </w:r>
    </w:p>
    <w:p w14:paraId="024B63F7" w14:textId="41E964FA" w:rsidR="0040451F" w:rsidRPr="00883EE7" w:rsidRDefault="00A40190" w:rsidP="00AF78B3">
      <w:pPr>
        <w:spacing w:after="0"/>
        <w:jc w:val="both"/>
        <w:rPr>
          <w:rFonts w:ascii="Times New Roman" w:hAnsi="Times New Roman" w:cs="Times New Roman"/>
          <w:sz w:val="24"/>
          <w:szCs w:val="24"/>
          <w:highlight w:val="yellow"/>
        </w:rPr>
      </w:pPr>
      <w:r>
        <w:rPr>
          <w:rFonts w:ascii="Times New Roman" w:hAnsi="Times New Roman" w:cs="Times New Roman"/>
          <w:noProof/>
          <w:sz w:val="24"/>
          <w:szCs w:val="24"/>
        </w:rPr>
        <w:drawing>
          <wp:anchor distT="0" distB="0" distL="114300" distR="114300" simplePos="0" relativeHeight="251668480" behindDoc="1" locked="0" layoutInCell="1" allowOverlap="1" wp14:anchorId="4F742B96" wp14:editId="7675AAD7">
            <wp:simplePos x="0" y="0"/>
            <wp:positionH relativeFrom="column">
              <wp:posOffset>-2006600</wp:posOffset>
            </wp:positionH>
            <wp:positionV relativeFrom="paragraph">
              <wp:posOffset>8890</wp:posOffset>
            </wp:positionV>
            <wp:extent cx="6224270" cy="4968875"/>
            <wp:effectExtent l="0" t="0" r="5080" b="3175"/>
            <wp:wrapNone/>
            <wp:docPr id="9605427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24270" cy="4968875"/>
                    </a:xfrm>
                    <a:prstGeom prst="rect">
                      <a:avLst/>
                    </a:prstGeom>
                    <a:noFill/>
                  </pic:spPr>
                </pic:pic>
              </a:graphicData>
            </a:graphic>
            <wp14:sizeRelH relativeFrom="page">
              <wp14:pctWidth>0</wp14:pctWidth>
            </wp14:sizeRelH>
            <wp14:sizeRelV relativeFrom="page">
              <wp14:pctHeight>0</wp14:pctHeight>
            </wp14:sizeRelV>
          </wp:anchor>
        </w:drawing>
      </w:r>
    </w:p>
    <w:p w14:paraId="32DD7615" w14:textId="4118900B" w:rsidR="00746F79" w:rsidRPr="00883EE7" w:rsidRDefault="00746F79" w:rsidP="00AF78B3">
      <w:pPr>
        <w:spacing w:after="0"/>
        <w:jc w:val="both"/>
        <w:rPr>
          <w:rFonts w:ascii="Times New Roman" w:hAnsi="Times New Roman" w:cs="Times New Roman"/>
          <w:sz w:val="24"/>
          <w:szCs w:val="24"/>
          <w:highlight w:val="yellow"/>
        </w:rPr>
      </w:pPr>
    </w:p>
    <w:p w14:paraId="46C9DA18" w14:textId="0C872201" w:rsidR="00746F79" w:rsidRPr="00883EE7" w:rsidRDefault="00746F79" w:rsidP="00AF78B3">
      <w:pPr>
        <w:spacing w:after="0"/>
        <w:jc w:val="both"/>
        <w:rPr>
          <w:rFonts w:ascii="Times New Roman" w:hAnsi="Times New Roman" w:cs="Times New Roman"/>
          <w:sz w:val="24"/>
          <w:szCs w:val="24"/>
          <w:highlight w:val="yellow"/>
        </w:rPr>
      </w:pPr>
    </w:p>
    <w:p w14:paraId="5741AAC8" w14:textId="121ADA18" w:rsidR="00A7020A" w:rsidRDefault="003510C2" w:rsidP="00AF78B3">
      <w:pPr>
        <w:spacing w:after="0"/>
        <w:jc w:val="both"/>
        <w:rPr>
          <w:rFonts w:ascii="Times New Roman" w:hAnsi="Times New Roman" w:cs="Times New Roman"/>
          <w:sz w:val="24"/>
          <w:szCs w:val="24"/>
        </w:rPr>
      </w:pPr>
      <w:r w:rsidRPr="0039424C">
        <w:rPr>
          <w:rFonts w:ascii="Times New Roman" w:hAnsi="Times New Roman" w:cs="Times New Roman"/>
          <w:sz w:val="24"/>
          <w:szCs w:val="24"/>
        </w:rPr>
        <w:t>Finanšu ministrs</w:t>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123748" w:rsidRPr="0039424C">
        <w:rPr>
          <w:rFonts w:ascii="Times New Roman" w:hAnsi="Times New Roman" w:cs="Times New Roman"/>
          <w:sz w:val="24"/>
          <w:szCs w:val="24"/>
        </w:rPr>
        <w:tab/>
      </w:r>
      <w:r w:rsidR="00E8195D" w:rsidRPr="0039424C">
        <w:rPr>
          <w:rFonts w:ascii="Times New Roman" w:hAnsi="Times New Roman" w:cs="Times New Roman"/>
          <w:sz w:val="24"/>
          <w:szCs w:val="24"/>
        </w:rPr>
        <w:t>A.Ašeradens</w:t>
      </w:r>
    </w:p>
    <w:p w14:paraId="0A6C000E" w14:textId="77777777" w:rsidR="00896738" w:rsidRDefault="00896738" w:rsidP="00AF78B3">
      <w:pPr>
        <w:spacing w:after="0"/>
        <w:jc w:val="both"/>
        <w:rPr>
          <w:rFonts w:ascii="Times New Roman" w:hAnsi="Times New Roman" w:cs="Times New Roman"/>
          <w:sz w:val="24"/>
          <w:szCs w:val="24"/>
        </w:rPr>
      </w:pPr>
    </w:p>
    <w:p w14:paraId="0F510290" w14:textId="77777777" w:rsidR="00896738" w:rsidRDefault="00896738" w:rsidP="00AF78B3">
      <w:pPr>
        <w:spacing w:after="0"/>
        <w:jc w:val="both"/>
        <w:rPr>
          <w:rFonts w:ascii="Times New Roman" w:hAnsi="Times New Roman" w:cs="Times New Roman"/>
          <w:sz w:val="24"/>
          <w:szCs w:val="24"/>
        </w:rPr>
      </w:pPr>
    </w:p>
    <w:p w14:paraId="08DEF579" w14:textId="77777777" w:rsidR="00896738" w:rsidRDefault="00896738" w:rsidP="00AF78B3">
      <w:pPr>
        <w:spacing w:after="0"/>
        <w:jc w:val="both"/>
        <w:rPr>
          <w:rFonts w:ascii="Times New Roman" w:hAnsi="Times New Roman" w:cs="Times New Roman"/>
          <w:sz w:val="24"/>
          <w:szCs w:val="24"/>
        </w:rPr>
      </w:pPr>
    </w:p>
    <w:p w14:paraId="0734E7F9" w14:textId="77777777" w:rsidR="00896738" w:rsidRDefault="00896738" w:rsidP="00AF78B3">
      <w:pPr>
        <w:spacing w:after="0"/>
        <w:jc w:val="both"/>
        <w:rPr>
          <w:rFonts w:ascii="Times New Roman" w:hAnsi="Times New Roman" w:cs="Times New Roman"/>
          <w:sz w:val="20"/>
          <w:szCs w:val="20"/>
        </w:rPr>
      </w:pPr>
    </w:p>
    <w:p w14:paraId="317ACC71" w14:textId="30494DA8" w:rsidR="00896738" w:rsidRDefault="00896738" w:rsidP="00AF78B3">
      <w:pPr>
        <w:spacing w:after="0"/>
        <w:jc w:val="both"/>
        <w:rPr>
          <w:rFonts w:ascii="Times New Roman" w:hAnsi="Times New Roman" w:cs="Times New Roman"/>
          <w:sz w:val="20"/>
          <w:szCs w:val="20"/>
        </w:rPr>
      </w:pPr>
      <w:r w:rsidRPr="00896738">
        <w:rPr>
          <w:rFonts w:ascii="Times New Roman" w:hAnsi="Times New Roman" w:cs="Times New Roman"/>
          <w:sz w:val="20"/>
          <w:szCs w:val="20"/>
        </w:rPr>
        <w:t>Pogule, 28320492</w:t>
      </w:r>
    </w:p>
    <w:p w14:paraId="293D020E" w14:textId="13B3E8F1" w:rsidR="008158D8" w:rsidRPr="00896738" w:rsidRDefault="00896738" w:rsidP="005C2B0A">
      <w:pPr>
        <w:spacing w:after="0"/>
        <w:jc w:val="both"/>
        <w:rPr>
          <w:rFonts w:ascii="Times New Roman" w:hAnsi="Times New Roman" w:cs="Times New Roman"/>
          <w:sz w:val="20"/>
          <w:szCs w:val="20"/>
        </w:rPr>
      </w:pPr>
      <w:hyperlink r:id="rId33" w:history="1">
        <w:r w:rsidRPr="00896738">
          <w:rPr>
            <w:rStyle w:val="Hyperlink"/>
            <w:rFonts w:ascii="Times New Roman" w:hAnsi="Times New Roman" w:cs="Times New Roman"/>
            <w:color w:val="auto"/>
            <w:sz w:val="20"/>
            <w:szCs w:val="20"/>
          </w:rPr>
          <w:t>laura.pogule@fm.gov.lv</w:t>
        </w:r>
      </w:hyperlink>
    </w:p>
    <w:sectPr w:rsidR="008158D8" w:rsidRPr="00896738" w:rsidSect="009D39BF">
      <w:headerReference w:type="default" r:id="rId34"/>
      <w:footerReference w:type="default" r:id="rId35"/>
      <w:headerReference w:type="first" r:id="rId36"/>
      <w:footerReference w:type="first" r:id="rId37"/>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15E97" w14:textId="77777777" w:rsidR="00CD3637" w:rsidRDefault="00CD3637" w:rsidP="00B95E92">
      <w:pPr>
        <w:spacing w:after="0" w:line="240" w:lineRule="auto"/>
      </w:pPr>
      <w:r>
        <w:separator/>
      </w:r>
    </w:p>
  </w:endnote>
  <w:endnote w:type="continuationSeparator" w:id="0">
    <w:p w14:paraId="3F16CD10" w14:textId="77777777" w:rsidR="00CD3637" w:rsidRDefault="00CD3637" w:rsidP="00B95E92">
      <w:pPr>
        <w:spacing w:after="0" w:line="240" w:lineRule="auto"/>
      </w:pPr>
      <w:r>
        <w:continuationSeparator/>
      </w:r>
    </w:p>
  </w:endnote>
  <w:endnote w:type="continuationNotice" w:id="1">
    <w:p w14:paraId="04A2CC56" w14:textId="77777777" w:rsidR="00CD3637" w:rsidRDefault="00CD36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CIDFont+F1">
    <w:altName w:val="Calibri"/>
    <w:panose1 w:val="00000000000000000000"/>
    <w:charset w:val="EE"/>
    <w:family w:val="auto"/>
    <w:notTrueType/>
    <w:pitch w:val="default"/>
    <w:sig w:usb0="00000005" w:usb1="00000000" w:usb2="00000000" w:usb3="00000000" w:csb0="00000002" w:csb1="00000000"/>
  </w:font>
  <w:font w:name="RobustaTLPro-Regular">
    <w:altName w:val="Cambria"/>
    <w:charset w:val="00"/>
    <w:family w:val="auto"/>
    <w:pitch w:val="default"/>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067287"/>
      <w:docPartObj>
        <w:docPartGallery w:val="Page Numbers (Bottom of Page)"/>
        <w:docPartUnique/>
      </w:docPartObj>
    </w:sdtPr>
    <w:sdtEndPr>
      <w:rPr>
        <w:rFonts w:ascii="Times New Roman" w:hAnsi="Times New Roman" w:cs="Times New Roman"/>
        <w:noProof/>
      </w:rPr>
    </w:sdtEndPr>
    <w:sdtContent>
      <w:p w14:paraId="1931FB71" w14:textId="75121B0E" w:rsidR="00CA7612" w:rsidRPr="0008255A" w:rsidRDefault="00CA7612" w:rsidP="003D3613">
        <w:pPr>
          <w:pStyle w:val="Footer"/>
          <w:rPr>
            <w:rFonts w:ascii="Times New Roman" w:hAnsi="Times New Roman"/>
            <w:sz w:val="20"/>
          </w:rPr>
        </w:pPr>
      </w:p>
      <w:p w14:paraId="74A8D41E" w14:textId="2F4773CA" w:rsidR="00CA7612" w:rsidRPr="007C05CF" w:rsidRDefault="00CA7612">
        <w:pPr>
          <w:pStyle w:val="Footer"/>
          <w:jc w:val="right"/>
          <w:rPr>
            <w:rFonts w:ascii="Times New Roman" w:hAnsi="Times New Roman" w:cs="Times New Roman"/>
          </w:rPr>
        </w:pPr>
        <w:r w:rsidRPr="007C05CF">
          <w:rPr>
            <w:rFonts w:ascii="Times New Roman" w:hAnsi="Times New Roman" w:cs="Times New Roman"/>
          </w:rPr>
          <w:fldChar w:fldCharType="begin"/>
        </w:r>
        <w:r w:rsidRPr="007C05CF">
          <w:rPr>
            <w:rFonts w:ascii="Times New Roman" w:hAnsi="Times New Roman" w:cs="Times New Roman"/>
          </w:rPr>
          <w:instrText xml:space="preserve"> PAGE   \* MERGEFORMAT </w:instrText>
        </w:r>
        <w:r w:rsidRPr="007C05CF">
          <w:rPr>
            <w:rFonts w:ascii="Times New Roman" w:hAnsi="Times New Roman" w:cs="Times New Roman"/>
          </w:rPr>
          <w:fldChar w:fldCharType="separate"/>
        </w:r>
        <w:r w:rsidR="008B1F6F">
          <w:rPr>
            <w:rFonts w:ascii="Times New Roman" w:hAnsi="Times New Roman" w:cs="Times New Roman"/>
            <w:noProof/>
          </w:rPr>
          <w:t>3</w:t>
        </w:r>
        <w:r w:rsidR="008B1F6F">
          <w:rPr>
            <w:rFonts w:ascii="Times New Roman" w:hAnsi="Times New Roman" w:cs="Times New Roman"/>
            <w:noProof/>
          </w:rPr>
          <w:t>9</w:t>
        </w:r>
        <w:r w:rsidRPr="007C05CF">
          <w:rPr>
            <w:rFonts w:ascii="Times New Roman" w:hAnsi="Times New Roman" w:cs="Times New Roman"/>
            <w:noProof/>
          </w:rPr>
          <w:fldChar w:fldCharType="end"/>
        </w:r>
      </w:p>
    </w:sdtContent>
  </w:sdt>
  <w:p w14:paraId="7CAFF498" w14:textId="79E58193" w:rsidR="00CA7612" w:rsidRPr="00D50D85" w:rsidRDefault="00CA7612">
    <w:pPr>
      <w:pStyle w:val="Footer"/>
      <w:rPr>
        <w:rFonts w:ascii="Times New Roman" w:hAnsi="Times New Roman" w:cs="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5"/>
      <w:gridCol w:w="3265"/>
      <w:gridCol w:w="3265"/>
    </w:tblGrid>
    <w:tr w:rsidR="469479B5" w14:paraId="573847F1" w14:textId="77777777" w:rsidTr="00940337">
      <w:trPr>
        <w:trHeight w:val="300"/>
      </w:trPr>
      <w:tc>
        <w:tcPr>
          <w:tcW w:w="3265" w:type="dxa"/>
        </w:tcPr>
        <w:p w14:paraId="5D9D771F" w14:textId="4A827380" w:rsidR="469479B5" w:rsidRDefault="469479B5" w:rsidP="00940337">
          <w:pPr>
            <w:pStyle w:val="Header"/>
            <w:ind w:left="-115"/>
          </w:pPr>
        </w:p>
      </w:tc>
      <w:tc>
        <w:tcPr>
          <w:tcW w:w="3265" w:type="dxa"/>
        </w:tcPr>
        <w:p w14:paraId="2052C917" w14:textId="0EFAB89F" w:rsidR="469479B5" w:rsidRDefault="469479B5" w:rsidP="00940337">
          <w:pPr>
            <w:pStyle w:val="Header"/>
            <w:jc w:val="center"/>
          </w:pPr>
        </w:p>
      </w:tc>
      <w:tc>
        <w:tcPr>
          <w:tcW w:w="3265" w:type="dxa"/>
        </w:tcPr>
        <w:p w14:paraId="055B5F40" w14:textId="62FD52E7" w:rsidR="469479B5" w:rsidRDefault="469479B5" w:rsidP="00940337">
          <w:pPr>
            <w:pStyle w:val="Header"/>
            <w:ind w:right="-115"/>
            <w:jc w:val="right"/>
          </w:pPr>
        </w:p>
      </w:tc>
    </w:tr>
  </w:tbl>
  <w:p w14:paraId="5C3E8DBB" w14:textId="5701FAD1" w:rsidR="469479B5" w:rsidRDefault="469479B5" w:rsidP="00940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AB7D5" w14:textId="77777777" w:rsidR="00CD3637" w:rsidRDefault="00CD3637" w:rsidP="00B95E92">
      <w:pPr>
        <w:spacing w:after="0" w:line="240" w:lineRule="auto"/>
      </w:pPr>
      <w:r>
        <w:separator/>
      </w:r>
    </w:p>
  </w:footnote>
  <w:footnote w:type="continuationSeparator" w:id="0">
    <w:p w14:paraId="3BA1D965" w14:textId="77777777" w:rsidR="00CD3637" w:rsidRDefault="00CD3637" w:rsidP="00B95E92">
      <w:pPr>
        <w:spacing w:after="0" w:line="240" w:lineRule="auto"/>
      </w:pPr>
      <w:r>
        <w:continuationSeparator/>
      </w:r>
    </w:p>
  </w:footnote>
  <w:footnote w:type="continuationNotice" w:id="1">
    <w:p w14:paraId="51BA030D" w14:textId="77777777" w:rsidR="00CD3637" w:rsidRDefault="00CD3637">
      <w:pPr>
        <w:spacing w:after="0" w:line="240" w:lineRule="auto"/>
      </w:pPr>
    </w:p>
  </w:footnote>
  <w:footnote w:id="2">
    <w:p w14:paraId="6F7D11C6" w14:textId="02D46841" w:rsidR="009333BF" w:rsidRPr="00A06DD0" w:rsidRDefault="009333BF" w:rsidP="009333BF">
      <w:pPr>
        <w:pStyle w:val="FootnoteText"/>
      </w:pPr>
      <w:r>
        <w:rPr>
          <w:rStyle w:val="FootnoteReference"/>
        </w:rPr>
        <w:footnoteRef/>
      </w:r>
      <w:r>
        <w:t xml:space="preserve"> EK tehniskā atbalsta instruments projekta ziņojums </w:t>
      </w:r>
      <w:r w:rsidRPr="00647F68">
        <w:rPr>
          <w:i/>
          <w:iCs/>
        </w:rPr>
        <w:t>“</w:t>
      </w:r>
      <w:r w:rsidRPr="00647F68">
        <w:rPr>
          <w:i/>
          <w:iCs/>
          <w:lang w:val="en-US"/>
        </w:rPr>
        <w:t>Improving the functioning of public financial management in Latvia – budget preparation and implementation</w:t>
      </w:r>
      <w:r w:rsidRPr="00647F68">
        <w:rPr>
          <w:i/>
          <w:iCs/>
        </w:rPr>
        <w:t>”</w:t>
      </w:r>
      <w:r>
        <w:t xml:space="preserve">, pieejams: </w:t>
      </w:r>
      <w:hyperlink r:id="rId1" w:history="1">
        <w:r w:rsidRPr="004A2E8B">
          <w:rPr>
            <w:rStyle w:val="Hyperlink"/>
            <w:color w:val="auto"/>
            <w:u w:val="none"/>
          </w:rPr>
          <w:t>https://www.fm.gov.lv/lv/media/21846/download?attachment</w:t>
        </w:r>
      </w:hyperlink>
      <w:r w:rsidRPr="00366F79">
        <w:t xml:space="preserve"> </w:t>
      </w:r>
    </w:p>
  </w:footnote>
  <w:footnote w:id="3">
    <w:p w14:paraId="618BF431" w14:textId="77777777" w:rsidR="00CA7612" w:rsidRDefault="00CA7612"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Saskaņā ar Starptautiskās Standartu organizācijas izstrādāto standartu risku vadībā </w:t>
      </w:r>
      <w:r w:rsidR="469479B5" w:rsidRPr="00940337">
        <w:rPr>
          <w:rFonts w:eastAsia="Times New Roman" w:cs="Times New Roman"/>
          <w:i/>
          <w:iCs/>
        </w:rPr>
        <w:t>ISO Guide 73:2009</w:t>
      </w:r>
      <w:r w:rsidR="469479B5" w:rsidRPr="00940337">
        <w:rPr>
          <w:rFonts w:eastAsia="Times New Roman" w:cs="Times New Roman"/>
        </w:rPr>
        <w:t xml:space="preserve"> risks tiek definēts kā nenoteiktības ietekme uz mērķiem (</w:t>
      </w:r>
      <w:r w:rsidR="469479B5" w:rsidRPr="00940337">
        <w:rPr>
          <w:rFonts w:eastAsia="Times New Roman" w:cs="Times New Roman"/>
          <w:i/>
          <w:iCs/>
        </w:rPr>
        <w:t>effect of uncertainity on objectives</w:t>
      </w:r>
      <w:r w:rsidR="469479B5" w:rsidRPr="00940337">
        <w:rPr>
          <w:rFonts w:eastAsia="Times New Roman" w:cs="Times New Roman"/>
        </w:rPr>
        <w:t xml:space="preserve"> – angļu valodā).</w:t>
      </w:r>
    </w:p>
  </w:footnote>
  <w:footnote w:id="4">
    <w:p w14:paraId="035C035E" w14:textId="7A620371" w:rsidR="00D84C00" w:rsidRPr="00F81AF8" w:rsidRDefault="00D84C00"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Riska ietekmes aprēķinā nav iekļauti valsts galvotie aizdevumu atlikumi darījumu partneriem, kuru kredītspēja tiek vērtēta kā “spēcīga” saskaņā ar VK iekšējiem noteikumiem, kā arī valsts galvotā aizdevuma atlikums Latvijas Olimpiskai Komitejai, jo, saskaņā ar likuma “Par valsts budžetu 202</w:t>
      </w:r>
      <w:r w:rsidR="00F7208C">
        <w:rPr>
          <w:rFonts w:eastAsia="Times New Roman" w:cs="Times New Roman"/>
        </w:rPr>
        <w:t>5</w:t>
      </w:r>
      <w:r w:rsidR="469479B5" w:rsidRPr="00940337">
        <w:rPr>
          <w:rFonts w:eastAsia="Times New Roman" w:cs="Times New Roman"/>
        </w:rPr>
        <w:t>.</w:t>
      </w:r>
      <w:r w:rsidR="005B24ED">
        <w:rPr>
          <w:rFonts w:eastAsia="Times New Roman" w:cs="Times New Roman"/>
        </w:rPr>
        <w:t xml:space="preserve"> </w:t>
      </w:r>
      <w:r w:rsidR="469479B5" w:rsidRPr="00940337">
        <w:rPr>
          <w:rFonts w:eastAsia="Times New Roman" w:cs="Times New Roman"/>
        </w:rPr>
        <w:t>gadam un budžeta ietvaru 2025., 2026. un 2027.</w:t>
      </w:r>
      <w:r w:rsidR="005B24ED">
        <w:rPr>
          <w:rFonts w:eastAsia="Times New Roman" w:cs="Times New Roman"/>
        </w:rPr>
        <w:t xml:space="preserve"> </w:t>
      </w:r>
      <w:r w:rsidR="469479B5" w:rsidRPr="00940337">
        <w:rPr>
          <w:rFonts w:eastAsia="Times New Roman" w:cs="Times New Roman"/>
        </w:rPr>
        <w:t>gadam” 11. pielikumu “Valsts budžeta ilgtermiņa saistību maksimāli pieļaujamais apjoms”, saistības ir iekļautas valsts budžeta ilgtermiņa saistībās, paredzot valsts budžeta dotāciju to izpildei.</w:t>
      </w:r>
    </w:p>
  </w:footnote>
  <w:footnote w:id="5">
    <w:p w14:paraId="7BF9F081" w14:textId="25FA464F" w:rsidR="00D84C00" w:rsidRDefault="00D84C00"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Līdz 202</w:t>
      </w:r>
      <w:r w:rsidR="00F7208C">
        <w:rPr>
          <w:rFonts w:eastAsia="Times New Roman" w:cs="Times New Roman"/>
        </w:rPr>
        <w:t>5</w:t>
      </w:r>
      <w:r w:rsidR="469479B5" w:rsidRPr="00940337">
        <w:rPr>
          <w:rFonts w:eastAsia="Times New Roman" w:cs="Times New Roman"/>
        </w:rPr>
        <w:t>.</w:t>
      </w:r>
      <w:r w:rsidR="005B24ED">
        <w:rPr>
          <w:rFonts w:eastAsia="Times New Roman" w:cs="Times New Roman"/>
        </w:rPr>
        <w:t xml:space="preserve"> </w:t>
      </w:r>
      <w:r w:rsidR="469479B5" w:rsidRPr="00940337">
        <w:rPr>
          <w:rFonts w:eastAsia="Times New Roman" w:cs="Times New Roman"/>
        </w:rPr>
        <w:t>gada 30. aprīlim uzņemto saistību plānotās pamatsummas un procentu maksājumi valsts galvotā aizņēmuma ņēmējiem, kuri klasificējas ārpus vispārējās valdības sektora un kuru kredītspēja nav noteikta kā “spēcīga”.</w:t>
      </w:r>
    </w:p>
  </w:footnote>
  <w:footnote w:id="6">
    <w:p w14:paraId="730CD4A1" w14:textId="326D2F4D" w:rsidR="006802CE" w:rsidRDefault="006802CE" w:rsidP="008B085D">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Šajā aprēķinā nav iekļauti tie valsts aizdevumi, kuru kredītspēja tiek vērtēta kā </w:t>
      </w:r>
      <w:r w:rsidR="00FD0ED2">
        <w:rPr>
          <w:rFonts w:eastAsia="Times New Roman" w:cs="Times New Roman"/>
        </w:rPr>
        <w:t>“</w:t>
      </w:r>
      <w:r w:rsidR="469479B5" w:rsidRPr="00940337">
        <w:rPr>
          <w:rFonts w:eastAsia="Times New Roman" w:cs="Times New Roman"/>
        </w:rPr>
        <w:t xml:space="preserve">spēcīga” saskaņā ar VK iekšējiem noteikumiem, kā arī tie aizdevumi, kuru saistības ir pilnībā nodrošinātas ar pašvaldības galvojumu. </w:t>
      </w:r>
    </w:p>
  </w:footnote>
  <w:footnote w:id="7">
    <w:p w14:paraId="0BFF56DD" w14:textId="144C70A7" w:rsidR="001B6B1B" w:rsidRDefault="001B6B1B" w:rsidP="00855E7A">
      <w:pPr>
        <w:pStyle w:val="FootnoteText"/>
        <w:jc w:val="both"/>
      </w:pPr>
      <w:r>
        <w:rPr>
          <w:rStyle w:val="FootnoteReference"/>
        </w:rPr>
        <w:footnoteRef/>
      </w:r>
      <w:r>
        <w:t xml:space="preserve"> </w:t>
      </w:r>
      <w:r w:rsidRPr="00940337">
        <w:rPr>
          <w:rFonts w:eastAsia="Times New Roman" w:cs="Times New Roman"/>
        </w:rPr>
        <w:t>Aizdevumu riska fiskālā ietekme 2026.</w:t>
      </w:r>
      <w:r>
        <w:rPr>
          <w:rFonts w:eastAsia="Times New Roman" w:cs="Times New Roman"/>
        </w:rPr>
        <w:t xml:space="preserve"> </w:t>
      </w:r>
      <w:r w:rsidRPr="00940337">
        <w:rPr>
          <w:rFonts w:eastAsia="Times New Roman" w:cs="Times New Roman"/>
        </w:rPr>
        <w:t>gadam ir mazinājusies, ņemot vērā 2024.</w:t>
      </w:r>
      <w:r>
        <w:rPr>
          <w:rFonts w:eastAsia="Times New Roman" w:cs="Times New Roman"/>
        </w:rPr>
        <w:t> </w:t>
      </w:r>
      <w:r w:rsidRPr="00940337">
        <w:rPr>
          <w:rFonts w:eastAsia="Times New Roman" w:cs="Times New Roman"/>
        </w:rPr>
        <w:t>gada 16. maijā Air Baltic Corporation AS veikto aizņēmuma pirmstermiņa atmaksu 36</w:t>
      </w:r>
      <w:r>
        <w:rPr>
          <w:rFonts w:eastAsia="Times New Roman" w:cs="Times New Roman"/>
        </w:rPr>
        <w:t>,</w:t>
      </w:r>
      <w:r w:rsidRPr="00940337">
        <w:rPr>
          <w:rFonts w:eastAsia="Times New Roman" w:cs="Times New Roman"/>
        </w:rPr>
        <w:t xml:space="preserve">1 milj. </w:t>
      </w:r>
      <w:r w:rsidRPr="008904FF">
        <w:rPr>
          <w:rFonts w:eastAsia="Times New Roman" w:cs="Times New Roman"/>
          <w:i/>
          <w:iCs/>
        </w:rPr>
        <w:t>euro</w:t>
      </w:r>
      <w:r w:rsidRPr="00940337">
        <w:rPr>
          <w:rFonts w:eastAsia="Times New Roman" w:cs="Times New Roman"/>
        </w:rPr>
        <w:t xml:space="preserve"> apmērā.</w:t>
      </w:r>
    </w:p>
  </w:footnote>
  <w:footnote w:id="8">
    <w:p w14:paraId="725C7EAB" w14:textId="495D8E0C" w:rsidR="006802CE" w:rsidRDefault="006802CE" w:rsidP="008B085D">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Līdz 202</w:t>
      </w:r>
      <w:r w:rsidR="0055425D">
        <w:rPr>
          <w:rFonts w:eastAsia="Times New Roman" w:cs="Times New Roman"/>
        </w:rPr>
        <w:t>5</w:t>
      </w:r>
      <w:r w:rsidR="469479B5" w:rsidRPr="00940337">
        <w:rPr>
          <w:rFonts w:eastAsia="Times New Roman" w:cs="Times New Roman"/>
        </w:rPr>
        <w:t>.</w:t>
      </w:r>
      <w:r w:rsidR="00D35122">
        <w:rPr>
          <w:rFonts w:eastAsia="Times New Roman" w:cs="Times New Roman"/>
        </w:rPr>
        <w:t xml:space="preserve"> </w:t>
      </w:r>
      <w:r w:rsidR="469479B5" w:rsidRPr="00940337">
        <w:rPr>
          <w:rFonts w:eastAsia="Times New Roman" w:cs="Times New Roman"/>
        </w:rPr>
        <w:t xml:space="preserve">gada </w:t>
      </w:r>
      <w:r w:rsidR="0055425D">
        <w:rPr>
          <w:rFonts w:eastAsia="Times New Roman" w:cs="Times New Roman"/>
        </w:rPr>
        <w:t>30.aprīlim</w:t>
      </w:r>
      <w:r w:rsidR="469479B5" w:rsidRPr="00940337">
        <w:rPr>
          <w:rFonts w:eastAsia="Times New Roman" w:cs="Times New Roman"/>
        </w:rPr>
        <w:t xml:space="preserve"> uzņemto saistību plānotās pamatsummas un procentu maksājumi valsts aizņēmuma ņēmējiem, kuri klasificējas ārpus vispārējās valdības sektora un kuru kredītspēja nav noteikta kā “spēcīga”.</w:t>
      </w:r>
    </w:p>
  </w:footnote>
  <w:footnote w:id="9">
    <w:p w14:paraId="2A2F1A6D" w14:textId="11D39DBB" w:rsidR="00FC7743" w:rsidRPr="00E82A0D" w:rsidRDefault="00FC7743" w:rsidP="00366F79">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Ziņojums izstrādāts, pamatojoties uz FM 2020. gada 21. augusta rīkojuma Nr. 317 </w:t>
      </w:r>
      <w:r w:rsidR="009C2E1C">
        <w:rPr>
          <w:rFonts w:eastAsia="Times New Roman" w:cs="Times New Roman"/>
        </w:rPr>
        <w:t>“</w:t>
      </w:r>
      <w:r w:rsidR="469479B5" w:rsidRPr="00940337">
        <w:rPr>
          <w:rFonts w:eastAsia="Times New Roman" w:cs="Times New Roman"/>
        </w:rPr>
        <w:t>Par pilnvarojumu VK un paraksta tiesībām</w:t>
      </w:r>
      <w:r w:rsidR="009C2E1C">
        <w:rPr>
          <w:rFonts w:eastAsia="Times New Roman" w:cs="Times New Roman"/>
        </w:rPr>
        <w:t>”</w:t>
      </w:r>
      <w:r w:rsidR="469479B5" w:rsidRPr="00940337">
        <w:rPr>
          <w:rFonts w:eastAsia="Times New Roman" w:cs="Times New Roman"/>
        </w:rPr>
        <w:t xml:space="preserve"> 7. punktu, – divas reizes gadā, līdz 31. augustam un 28. februārim, iesniegt ziņojumu finanšu ministram par valsts aizdevumiem.</w:t>
      </w:r>
    </w:p>
    <w:p w14:paraId="6C15A182" w14:textId="77777777" w:rsidR="00FC7743" w:rsidRDefault="00FC7743" w:rsidP="469479B5">
      <w:pPr>
        <w:pStyle w:val="FootnoteText"/>
      </w:pPr>
    </w:p>
  </w:footnote>
  <w:footnote w:id="10">
    <w:p w14:paraId="6A74D93F" w14:textId="1649B4AC" w:rsidR="006C252A" w:rsidRDefault="006C252A" w:rsidP="469479B5">
      <w:pPr>
        <w:pStyle w:val="FootnoteText"/>
      </w:pPr>
      <w:r w:rsidRPr="00940337">
        <w:rPr>
          <w:rStyle w:val="FootnoteReference"/>
          <w:rFonts w:eastAsia="Times New Roman" w:cs="Times New Roman"/>
        </w:rPr>
        <w:footnoteRef/>
      </w:r>
      <w:r w:rsidR="469479B5" w:rsidRPr="00940337">
        <w:rPr>
          <w:rFonts w:eastAsia="Times New Roman" w:cs="Times New Roman"/>
        </w:rPr>
        <w:t xml:space="preserve"> MK 2023. gada 3. oktobra rīkojumu Nr.645 “Par apropriācijas pārdali no budžeta resora “74. Gadskārtējā valsts budžeta izpildes procesā pārdalāmais finansējums”; FM 13.10.2023. rīkojumu Nr.358 “Par apropriācijas pārdali”</w:t>
      </w:r>
    </w:p>
  </w:footnote>
  <w:footnote w:id="11">
    <w:p w14:paraId="5FAE1180" w14:textId="621264F6" w:rsidR="00D41016" w:rsidRDefault="00D41016" w:rsidP="00855E7A">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PADOMES LĒMUMS (ES, Euratom) 2020/2053 (2020.</w:t>
      </w:r>
      <w:r w:rsidR="008A74D1">
        <w:rPr>
          <w:rFonts w:eastAsia="Times New Roman" w:cs="Times New Roman"/>
        </w:rPr>
        <w:t xml:space="preserve"> </w:t>
      </w:r>
      <w:r w:rsidR="469479B5" w:rsidRPr="00940337">
        <w:rPr>
          <w:rFonts w:eastAsia="Times New Roman" w:cs="Times New Roman"/>
        </w:rPr>
        <w:t>gada 14.</w:t>
      </w:r>
      <w:r w:rsidR="008A74D1">
        <w:rPr>
          <w:rFonts w:eastAsia="Times New Roman" w:cs="Times New Roman"/>
        </w:rPr>
        <w:t xml:space="preserve"> </w:t>
      </w:r>
      <w:r w:rsidR="469479B5" w:rsidRPr="00940337">
        <w:rPr>
          <w:rFonts w:eastAsia="Times New Roman" w:cs="Times New Roman"/>
        </w:rPr>
        <w:t>decembra) par ES pašu resursu sistēmu un ar ko atceļ Lēmumu 2014/335/ES, Euratom.</w:t>
      </w:r>
    </w:p>
  </w:footnote>
  <w:footnote w:id="12">
    <w:p w14:paraId="0E655F44" w14:textId="3F4FE687" w:rsidR="00F552B1" w:rsidRDefault="00F552B1" w:rsidP="00855E7A">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2024. gadā Ukrainas aizdevuma procentu maksājuma apmērs, kas jāsedz Latvijai, ir 1 450 924,58 </w:t>
      </w:r>
      <w:r w:rsidR="00846DC7" w:rsidRPr="00846DC7">
        <w:rPr>
          <w:rFonts w:eastAsia="Times New Roman" w:cs="Times New Roman"/>
          <w:i/>
          <w:iCs/>
        </w:rPr>
        <w:t>euro</w:t>
      </w:r>
      <w:r w:rsidR="469479B5" w:rsidRPr="00940337">
        <w:rPr>
          <w:rFonts w:eastAsia="Times New Roman" w:cs="Times New Roman"/>
        </w:rPr>
        <w:t>.</w:t>
      </w:r>
    </w:p>
  </w:footnote>
  <w:footnote w:id="13">
    <w:p w14:paraId="555EF32A" w14:textId="1AB84AD6" w:rsidR="00715D05" w:rsidRDefault="00715D05" w:rsidP="00855E7A">
      <w:pPr>
        <w:pStyle w:val="FootnoteText"/>
        <w:jc w:val="both"/>
      </w:pPr>
      <w:r>
        <w:rPr>
          <w:rStyle w:val="FootnoteReference"/>
        </w:rPr>
        <w:footnoteRef/>
      </w:r>
      <w:r>
        <w:t xml:space="preserve"> </w:t>
      </w:r>
      <w:r w:rsidR="00D606CA" w:rsidRPr="00D606CA">
        <w:t>ES fondu 2021.</w:t>
      </w:r>
      <w:r w:rsidR="00035061">
        <w:t xml:space="preserve"> – 2027.</w:t>
      </w:r>
      <w:r w:rsidR="00D606CA" w:rsidRPr="00D606CA">
        <w:t xml:space="preserve"> gada plānošanas periodā</w:t>
      </w:r>
      <w:r w:rsidR="00D606CA">
        <w:rPr>
          <w:sz w:val="24"/>
          <w:szCs w:val="24"/>
        </w:rPr>
        <w:t xml:space="preserve"> </w:t>
      </w:r>
      <w:r>
        <w:t>vairs nav paredzēts virssaistību mehānisms</w:t>
      </w:r>
    </w:p>
  </w:footnote>
  <w:footnote w:id="14">
    <w:p w14:paraId="6373DD3E" w14:textId="0E0C1D4D" w:rsidR="00B92B22" w:rsidRPr="00455297" w:rsidRDefault="00B92B22" w:rsidP="003C25FA">
      <w:pPr>
        <w:pStyle w:val="FootnoteText"/>
        <w:jc w:val="both"/>
        <w:rPr>
          <w:rFonts w:cs="Times New Roman"/>
          <w:color w:val="000000" w:themeColor="text1"/>
        </w:rPr>
      </w:pPr>
      <w:r w:rsidRPr="00455297">
        <w:rPr>
          <w:rStyle w:val="FootnoteReference"/>
          <w:rFonts w:eastAsia="Times New Roman" w:cs="Times New Roman"/>
          <w:color w:val="000000" w:themeColor="text1"/>
        </w:rPr>
        <w:footnoteRef/>
      </w:r>
      <w:r w:rsidRPr="00455297">
        <w:rPr>
          <w:rFonts w:eastAsia="Times New Roman" w:cs="Times New Roman"/>
          <w:color w:val="000000" w:themeColor="text1"/>
        </w:rPr>
        <w:t xml:space="preserve"> Rail Baltica Global Project CostBenefit Analysis Final Report, pieejams: </w:t>
      </w:r>
      <w:hyperlink r:id="rId2" w:history="1">
        <w:r w:rsidRPr="00455297">
          <w:rPr>
            <w:rStyle w:val="Hyperlink"/>
            <w:rFonts w:eastAsia="Times New Roman" w:cs="Times New Roman"/>
            <w:color w:val="000000" w:themeColor="text1"/>
            <w:u w:val="none"/>
          </w:rPr>
          <w:t>https://www.railbaltica.org/wp-content/uploads/2017/04/RB_CBA_FINAL_REPORT_0405.pdf</w:t>
        </w:r>
      </w:hyperlink>
      <w:r w:rsidR="00B03A56" w:rsidRPr="00455297">
        <w:rPr>
          <w:rFonts w:cs="Times New Roman"/>
        </w:rPr>
        <w:t xml:space="preserve"> (skatīts 31.07.2025)</w:t>
      </w:r>
      <w:r w:rsidRPr="00455297">
        <w:rPr>
          <w:rFonts w:eastAsia="Times New Roman" w:cs="Times New Roman"/>
          <w:color w:val="000000" w:themeColor="text1"/>
        </w:rPr>
        <w:t xml:space="preserve"> </w:t>
      </w:r>
    </w:p>
  </w:footnote>
  <w:footnote w:id="15">
    <w:p w14:paraId="6EFB75E7" w14:textId="490FC150" w:rsidR="00B92B22" w:rsidRPr="00455297" w:rsidRDefault="00B92B22" w:rsidP="003C25FA">
      <w:pPr>
        <w:pStyle w:val="FootnoteText"/>
        <w:jc w:val="both"/>
        <w:rPr>
          <w:rFonts w:cs="Times New Roman"/>
          <w:color w:val="000000" w:themeColor="text1"/>
        </w:rPr>
      </w:pPr>
      <w:r w:rsidRPr="00455297">
        <w:rPr>
          <w:rStyle w:val="FootnoteReference"/>
          <w:rFonts w:eastAsia="Times New Roman" w:cs="Times New Roman"/>
          <w:color w:val="000000" w:themeColor="text1"/>
        </w:rPr>
        <w:footnoteRef/>
      </w:r>
      <w:r w:rsidRPr="00455297">
        <w:rPr>
          <w:rFonts w:eastAsia="Times New Roman" w:cs="Times New Roman"/>
          <w:color w:val="000000" w:themeColor="text1"/>
        </w:rPr>
        <w:t xml:space="preserve"> Valsts kontroles situācijas izpēte par Rail Baltica projekta Latvijas posmu “Rail Baltica Latvijas posma tvēruma izmaiņu pieņemšanas gaita”, pieejams: </w:t>
      </w:r>
      <w:hyperlink r:id="rId3" w:history="1">
        <w:r w:rsidRPr="00455297">
          <w:rPr>
            <w:rStyle w:val="Hyperlink"/>
            <w:rFonts w:eastAsia="Times New Roman" w:cs="Times New Roman"/>
            <w:color w:val="000000" w:themeColor="text1"/>
            <w:u w:val="none"/>
          </w:rPr>
          <w:t>https://lrvk.gov.lv/lv/getrevisionfile/29755-YgMhcy9os0HqqiAcQzAGLPM3Czcub93j.pdf</w:t>
        </w:r>
      </w:hyperlink>
      <w:r w:rsidRPr="00455297">
        <w:rPr>
          <w:rFonts w:eastAsia="Times New Roman" w:cs="Times New Roman"/>
          <w:color w:val="000000" w:themeColor="text1"/>
        </w:rPr>
        <w:t xml:space="preserve"> </w:t>
      </w:r>
      <w:r w:rsidR="00B03A56" w:rsidRPr="00455297">
        <w:rPr>
          <w:rFonts w:eastAsia="Times New Roman" w:cs="Times New Roman"/>
          <w:color w:val="000000" w:themeColor="text1"/>
        </w:rPr>
        <w:t>(skatīts 31.07.2025)</w:t>
      </w:r>
    </w:p>
  </w:footnote>
  <w:footnote w:id="16">
    <w:p w14:paraId="3FE70BB7" w14:textId="3EA9C032" w:rsidR="00B92B22" w:rsidRPr="00455297" w:rsidRDefault="00B92B22" w:rsidP="003C25FA">
      <w:pPr>
        <w:pStyle w:val="FootnoteText"/>
        <w:jc w:val="both"/>
        <w:rPr>
          <w:rFonts w:cs="Times New Roman"/>
          <w:color w:val="000000" w:themeColor="text1"/>
        </w:rPr>
      </w:pPr>
      <w:r w:rsidRPr="00455297">
        <w:rPr>
          <w:rStyle w:val="FootnoteReference"/>
          <w:rFonts w:eastAsia="Times New Roman" w:cs="Times New Roman"/>
          <w:color w:val="000000" w:themeColor="text1"/>
        </w:rPr>
        <w:footnoteRef/>
      </w:r>
      <w:r w:rsidRPr="00455297">
        <w:rPr>
          <w:rFonts w:eastAsia="Times New Roman" w:cs="Times New Roman"/>
          <w:color w:val="000000" w:themeColor="text1"/>
        </w:rPr>
        <w:t xml:space="preserve"> Eiropas Parlamenta un Padomes Regula (ES) Nr. 1315/2013 (2013. gada 11. decembris) par Savienības pamatnostādnēm Eiropas transporta tīkla attīstībai un ar ko atceļ Lēmumu Nr. 661/2010/ES.</w:t>
      </w:r>
    </w:p>
  </w:footnote>
  <w:footnote w:id="17">
    <w:p w14:paraId="1DB93B6E" w14:textId="2A7EE13D" w:rsidR="00B92B22" w:rsidRPr="00455297" w:rsidRDefault="00B92B22" w:rsidP="003C25FA">
      <w:pPr>
        <w:spacing w:after="0"/>
        <w:jc w:val="both"/>
        <w:rPr>
          <w:rFonts w:ascii="Times New Roman" w:eastAsia="Times New Roman" w:hAnsi="Times New Roman" w:cs="Times New Roman"/>
          <w:color w:val="000000" w:themeColor="text1"/>
          <w:sz w:val="20"/>
          <w:szCs w:val="20"/>
        </w:rPr>
      </w:pPr>
      <w:r w:rsidRPr="00455297">
        <w:rPr>
          <w:rFonts w:ascii="Times New Roman" w:eastAsia="Times New Roman" w:hAnsi="Times New Roman" w:cs="Times New Roman"/>
          <w:color w:val="000000" w:themeColor="text1"/>
          <w:sz w:val="20"/>
          <w:szCs w:val="20"/>
          <w:vertAlign w:val="superscript"/>
        </w:rPr>
        <w:footnoteRef/>
      </w:r>
      <w:r w:rsidRPr="00455297">
        <w:rPr>
          <w:rFonts w:ascii="Times New Roman" w:eastAsia="Times New Roman" w:hAnsi="Times New Roman" w:cs="Times New Roman"/>
          <w:color w:val="000000" w:themeColor="text1"/>
          <w:sz w:val="20"/>
          <w:szCs w:val="20"/>
        </w:rPr>
        <w:t xml:space="preserve"> SM informatīvais ziņojums </w:t>
      </w:r>
      <w:r w:rsidR="00E31135">
        <w:rPr>
          <w:rFonts w:ascii="Times New Roman" w:eastAsia="Times New Roman" w:hAnsi="Times New Roman" w:cs="Times New Roman"/>
          <w:color w:val="000000" w:themeColor="text1"/>
          <w:sz w:val="20"/>
          <w:szCs w:val="20"/>
        </w:rPr>
        <w:t>“</w:t>
      </w:r>
      <w:r w:rsidRPr="00455297">
        <w:rPr>
          <w:rFonts w:ascii="Times New Roman" w:eastAsia="Times New Roman" w:hAnsi="Times New Roman" w:cs="Times New Roman"/>
          <w:color w:val="000000" w:themeColor="text1"/>
          <w:sz w:val="20"/>
          <w:szCs w:val="20"/>
        </w:rPr>
        <w:t>Par Rail Baltica projekta tvērumu un īstenoš</w:t>
      </w:r>
      <w:r w:rsidR="00455297">
        <w:rPr>
          <w:rFonts w:ascii="Times New Roman" w:eastAsia="Times New Roman" w:hAnsi="Times New Roman" w:cs="Times New Roman"/>
          <w:color w:val="000000" w:themeColor="text1"/>
          <w:sz w:val="20"/>
          <w:szCs w:val="20"/>
        </w:rPr>
        <w:t>a</w:t>
      </w:r>
      <w:r w:rsidRPr="00455297">
        <w:rPr>
          <w:rFonts w:ascii="Times New Roman" w:eastAsia="Times New Roman" w:hAnsi="Times New Roman" w:cs="Times New Roman"/>
          <w:color w:val="000000" w:themeColor="text1"/>
          <w:sz w:val="20"/>
          <w:szCs w:val="20"/>
        </w:rPr>
        <w:t>nas plāniem, nodrošinot projekta funkcionalitāti un starpvalstu dzelzceļa līniju savienojumu</w:t>
      </w:r>
      <w:r w:rsidR="00E31135">
        <w:rPr>
          <w:rFonts w:ascii="Times New Roman" w:eastAsia="Times New Roman" w:hAnsi="Times New Roman" w:cs="Times New Roman"/>
          <w:color w:val="000000" w:themeColor="text1"/>
          <w:sz w:val="20"/>
          <w:szCs w:val="20"/>
        </w:rPr>
        <w:t>”</w:t>
      </w:r>
      <w:r w:rsidRPr="00455297">
        <w:rPr>
          <w:rFonts w:ascii="Times New Roman" w:eastAsia="Times New Roman" w:hAnsi="Times New Roman" w:cs="Times New Roman"/>
          <w:color w:val="000000" w:themeColor="text1"/>
          <w:sz w:val="20"/>
          <w:szCs w:val="20"/>
        </w:rPr>
        <w:t xml:space="preserve">, pieejams: </w:t>
      </w:r>
      <w:hyperlink r:id="rId4" w:history="1">
        <w:r w:rsidR="00B03A56" w:rsidRPr="003C25FA">
          <w:rPr>
            <w:rStyle w:val="Hyperlink"/>
            <w:rFonts w:ascii="Times New Roman" w:eastAsia="Times New Roman" w:hAnsi="Times New Roman" w:cs="Times New Roman"/>
            <w:color w:val="auto"/>
            <w:sz w:val="20"/>
            <w:szCs w:val="20"/>
            <w:u w:val="none"/>
          </w:rPr>
          <w:t>https://www.sam.gov.lv/lv/media/12396/download?attachment</w:t>
        </w:r>
      </w:hyperlink>
      <w:r w:rsidR="00B03A56" w:rsidRPr="003C25FA">
        <w:rPr>
          <w:rFonts w:ascii="Times New Roman" w:hAnsi="Times New Roman" w:cs="Times New Roman"/>
          <w:sz w:val="20"/>
          <w:szCs w:val="20"/>
        </w:rPr>
        <w:t xml:space="preserve"> (</w:t>
      </w:r>
      <w:r w:rsidRPr="00455297">
        <w:rPr>
          <w:rFonts w:ascii="Times New Roman" w:eastAsia="Times New Roman" w:hAnsi="Times New Roman" w:cs="Times New Roman"/>
          <w:color w:val="000000" w:themeColor="text1"/>
          <w:sz w:val="20"/>
          <w:szCs w:val="20"/>
        </w:rPr>
        <w:t>skatīts 31.07.202</w:t>
      </w:r>
      <w:r w:rsidR="00B03A56" w:rsidRPr="00455297">
        <w:rPr>
          <w:rFonts w:ascii="Times New Roman" w:eastAsia="Times New Roman" w:hAnsi="Times New Roman" w:cs="Times New Roman"/>
          <w:color w:val="000000" w:themeColor="text1"/>
          <w:sz w:val="20"/>
          <w:szCs w:val="20"/>
        </w:rPr>
        <w:t>5</w:t>
      </w:r>
      <w:r w:rsidRPr="00455297">
        <w:rPr>
          <w:rFonts w:ascii="Times New Roman" w:eastAsia="Times New Roman" w:hAnsi="Times New Roman" w:cs="Times New Roman"/>
          <w:color w:val="000000" w:themeColor="text1"/>
          <w:sz w:val="20"/>
          <w:szCs w:val="20"/>
        </w:rPr>
        <w:t>).</w:t>
      </w:r>
    </w:p>
  </w:footnote>
  <w:footnote w:id="18">
    <w:p w14:paraId="3EC1F6F1" w14:textId="77777777" w:rsidR="00B35163" w:rsidRPr="00455297" w:rsidRDefault="00B35163" w:rsidP="003C25FA">
      <w:pPr>
        <w:pStyle w:val="FootnoteText"/>
        <w:jc w:val="both"/>
        <w:rPr>
          <w:rFonts w:cs="Times New Roman"/>
        </w:rPr>
      </w:pPr>
      <w:r w:rsidRPr="00455297">
        <w:rPr>
          <w:rStyle w:val="FootnoteReference"/>
          <w:rFonts w:eastAsia="Times New Roman" w:cs="Times New Roman"/>
          <w:color w:val="000000" w:themeColor="text1"/>
        </w:rPr>
        <w:footnoteRef/>
      </w:r>
      <w:r w:rsidRPr="00455297">
        <w:rPr>
          <w:rFonts w:eastAsia="Times New Roman" w:cs="Times New Roman"/>
          <w:color w:val="000000" w:themeColor="text1"/>
        </w:rPr>
        <w:t xml:space="preserve"> Igaunijas, Latvijas un Lietuvas augstākās revīzijas iestāžu kopīgā situācijas izpēte par </w:t>
      </w:r>
      <w:r w:rsidRPr="00455297">
        <w:rPr>
          <w:rFonts w:eastAsia="Times New Roman" w:cs="Times New Roman"/>
          <w:i/>
          <w:iCs/>
          <w:color w:val="000000" w:themeColor="text1"/>
        </w:rPr>
        <w:t>Rail Baltica</w:t>
      </w:r>
      <w:r w:rsidRPr="00455297">
        <w:rPr>
          <w:rFonts w:eastAsia="Times New Roman" w:cs="Times New Roman"/>
          <w:color w:val="000000" w:themeColor="text1"/>
        </w:rPr>
        <w:t xml:space="preserve"> projektu, pieejams: </w:t>
      </w:r>
      <w:hyperlink r:id="rId5" w:history="1">
        <w:r w:rsidRPr="00455297">
          <w:rPr>
            <w:rStyle w:val="Hyperlink"/>
            <w:rFonts w:eastAsia="Times New Roman" w:cs="Times New Roman"/>
            <w:color w:val="000000" w:themeColor="text1"/>
            <w:u w:val="none"/>
          </w:rPr>
          <w:t>https://lrvk.gov.lv/lv/getrevisionfile/29755-TP4jWroXJpDxwrWIQxESURJGzTdtBZvv.pdf</w:t>
        </w:r>
      </w:hyperlink>
      <w:r w:rsidRPr="00455297">
        <w:rPr>
          <w:rFonts w:eastAsia="Times New Roman" w:cs="Times New Roman"/>
          <w:color w:val="000000" w:themeColor="text1"/>
        </w:rPr>
        <w:t xml:space="preserve"> (skatīts 31.07.2025)</w:t>
      </w:r>
    </w:p>
  </w:footnote>
  <w:footnote w:id="19">
    <w:p w14:paraId="4544C3AA" w14:textId="7ABA124C" w:rsidR="0070333B" w:rsidRPr="00455297" w:rsidRDefault="0070333B" w:rsidP="003C25FA">
      <w:pPr>
        <w:pStyle w:val="FootnoteText"/>
        <w:jc w:val="both"/>
        <w:rPr>
          <w:rFonts w:cs="Times New Roman"/>
        </w:rPr>
      </w:pPr>
      <w:r w:rsidRPr="00455297">
        <w:rPr>
          <w:rStyle w:val="FootnoteReference"/>
          <w:rFonts w:cs="Times New Roman"/>
        </w:rPr>
        <w:footnoteRef/>
      </w:r>
      <w:r w:rsidRPr="00455297">
        <w:rPr>
          <w:rFonts w:cs="Times New Roman"/>
        </w:rPr>
        <w:t xml:space="preserve"> MK 2024. gada 11. jūnija sēde (protokols Nr.24 78.§).</w:t>
      </w:r>
    </w:p>
  </w:footnote>
  <w:footnote w:id="20">
    <w:p w14:paraId="0618BC3C" w14:textId="6372D79E" w:rsidR="00F8028A" w:rsidRDefault="00F8028A" w:rsidP="003C25FA">
      <w:pPr>
        <w:pStyle w:val="FootnoteText"/>
        <w:jc w:val="both"/>
      </w:pPr>
      <w:r w:rsidRPr="00455297">
        <w:rPr>
          <w:rStyle w:val="FootnoteReference"/>
          <w:rFonts w:cs="Times New Roman"/>
        </w:rPr>
        <w:footnoteRef/>
      </w:r>
      <w:r w:rsidRPr="00455297">
        <w:rPr>
          <w:rFonts w:cs="Times New Roman"/>
        </w:rPr>
        <w:t xml:space="preserve"> </w:t>
      </w:r>
      <w:r w:rsidR="0000785E" w:rsidRPr="00455297">
        <w:rPr>
          <w:rFonts w:cs="Times New Roman"/>
        </w:rPr>
        <w:t>MK 2024. gada 10. decembra sēde (protokols Nr.52 102.§).</w:t>
      </w:r>
    </w:p>
  </w:footnote>
  <w:footnote w:id="21">
    <w:p w14:paraId="39576D04" w14:textId="3BE74BD7" w:rsidR="002A0226" w:rsidRDefault="002A0226">
      <w:pPr>
        <w:pStyle w:val="FootnoteText"/>
      </w:pPr>
      <w:r>
        <w:rPr>
          <w:rStyle w:val="FootnoteReference"/>
        </w:rPr>
        <w:footnoteRef/>
      </w:r>
      <w:r>
        <w:t xml:space="preserve"> MK 2024. gada 10. decembra sēde (protokols Nr.52 102</w:t>
      </w:r>
      <w:r w:rsidRPr="0070333B">
        <w:t>.§)</w:t>
      </w:r>
      <w:r>
        <w:t>.</w:t>
      </w:r>
    </w:p>
  </w:footnote>
  <w:footnote w:id="22">
    <w:p w14:paraId="55097FAF" w14:textId="2C453A0C" w:rsidR="00290E2D" w:rsidRDefault="00290E2D">
      <w:pPr>
        <w:pStyle w:val="FootnoteText"/>
      </w:pPr>
      <w:r>
        <w:rPr>
          <w:rStyle w:val="FootnoteReference"/>
        </w:rPr>
        <w:footnoteRef/>
      </w:r>
      <w:r>
        <w:t xml:space="preserve"> MK 2025. gada 18. februāra sēde (protokols Nr.7 33</w:t>
      </w:r>
      <w:r w:rsidRPr="0070333B">
        <w:t>.§)</w:t>
      </w:r>
      <w:r>
        <w:t>.</w:t>
      </w:r>
    </w:p>
  </w:footnote>
  <w:footnote w:id="23">
    <w:p w14:paraId="729F2092" w14:textId="3E29B95D" w:rsidR="00D05E7C" w:rsidRDefault="00D05E7C" w:rsidP="00F72D06">
      <w:pPr>
        <w:pStyle w:val="FootnoteText"/>
        <w:jc w:val="both"/>
      </w:pPr>
      <w:r>
        <w:rPr>
          <w:rStyle w:val="FootnoteReference"/>
        </w:rPr>
        <w:footnoteRef/>
      </w:r>
      <w:r>
        <w:t xml:space="preserve"> Saeimas Eiropas lietu komisijas sēdē apstiprina nacionālo pozīciju par ES daudzgadu budžetu (2028-2034), pieejams: </w:t>
      </w:r>
      <w:hyperlink r:id="rId6" w:history="1">
        <w:r w:rsidRPr="004A2E8B">
          <w:rPr>
            <w:rStyle w:val="Hyperlink"/>
            <w:color w:val="000000" w:themeColor="text1"/>
            <w:u w:val="none"/>
          </w:rPr>
          <w:t>https://www.mfa.gov.lv/lv/jaunums/saeimas-eiropas-lietu-komisijas-sede-apstiprina-nacionalo-poziciju-par-es-daudzgadu-budzetu-2028-2034</w:t>
        </w:r>
      </w:hyperlink>
      <w:r w:rsidRPr="004A2E8B">
        <w:rPr>
          <w:color w:val="000000" w:themeColor="text1"/>
        </w:rPr>
        <w:t xml:space="preserve"> (skatīts 31.07.2025).</w:t>
      </w:r>
    </w:p>
  </w:footnote>
  <w:footnote w:id="24">
    <w:p w14:paraId="3A35AACE" w14:textId="5D3AD05F" w:rsidR="000508F1" w:rsidRDefault="000508F1" w:rsidP="000C1547">
      <w:pPr>
        <w:pStyle w:val="FootnoteText"/>
        <w:jc w:val="both"/>
      </w:pPr>
      <w:r>
        <w:rPr>
          <w:rStyle w:val="FootnoteReference"/>
        </w:rPr>
        <w:footnoteRef/>
      </w:r>
      <w:r>
        <w:t xml:space="preserve"> </w:t>
      </w:r>
      <w:r w:rsidRPr="000508F1">
        <w:t>https://eur-lex.europa.eu/legal-content/LV/TXT/?uri=CELEX:32025R1106</w:t>
      </w:r>
    </w:p>
  </w:footnote>
  <w:footnote w:id="25">
    <w:p w14:paraId="42577D78" w14:textId="77777777" w:rsidR="00BF61D0" w:rsidRDefault="00BF61D0" w:rsidP="00F72D06">
      <w:pPr>
        <w:pStyle w:val="FootnoteText"/>
        <w:jc w:val="both"/>
      </w:pPr>
      <w:r>
        <w:rPr>
          <w:rStyle w:val="FootnoteReference"/>
        </w:rPr>
        <w:footnoteRef/>
      </w:r>
      <w:r>
        <w:t xml:space="preserve"> </w:t>
      </w:r>
      <w:hyperlink r:id="rId7" w:history="1">
        <w:r w:rsidRPr="004A2E8B">
          <w:rPr>
            <w:rStyle w:val="Hyperlink"/>
            <w:color w:val="auto"/>
            <w:u w:val="none"/>
          </w:rPr>
          <w:t>https://commission.europa.eu/business-economy-euro/economic-recovery/recovery-and-resilience-facility_lv</w:t>
        </w:r>
      </w:hyperlink>
      <w:r w:rsidRPr="00C1458C">
        <w:t xml:space="preserve"> </w:t>
      </w:r>
    </w:p>
  </w:footnote>
  <w:footnote w:id="26">
    <w:p w14:paraId="637979C8" w14:textId="5C090660" w:rsidR="00E94B5E" w:rsidRDefault="00E94B5E" w:rsidP="00F72D06">
      <w:pPr>
        <w:pStyle w:val="FootnoteText"/>
        <w:jc w:val="both"/>
      </w:pPr>
      <w:r>
        <w:rPr>
          <w:rStyle w:val="FootnoteReference"/>
        </w:rPr>
        <w:footnoteRef/>
      </w:r>
      <w:r>
        <w:t xml:space="preserve"> </w:t>
      </w:r>
      <w:hyperlink r:id="rId8" w:history="1">
        <w:r w:rsidRPr="00002D28">
          <w:rPr>
            <w:rStyle w:val="Hyperlink"/>
            <w:color w:val="auto"/>
            <w:u w:val="none"/>
          </w:rPr>
          <w:t>https://data.consilium.europa.eu/doc/document/ST-5730-2025-INIT/lv/pdf</w:t>
        </w:r>
      </w:hyperlink>
    </w:p>
  </w:footnote>
  <w:footnote w:id="27">
    <w:p w14:paraId="5656093A" w14:textId="522019C4" w:rsidR="0041599F" w:rsidRDefault="0041599F" w:rsidP="00855E7A">
      <w:pPr>
        <w:pStyle w:val="FootnoteText"/>
        <w:jc w:val="both"/>
      </w:pPr>
      <w:r>
        <w:rPr>
          <w:rStyle w:val="FootnoteReference"/>
        </w:rPr>
        <w:footnoteRef/>
      </w:r>
      <w:r>
        <w:t xml:space="preserve"> Apstiprināta p</w:t>
      </w:r>
      <w:r w:rsidRPr="0041599F">
        <w:t>amatojoties uz 2024.</w:t>
      </w:r>
      <w:r w:rsidR="00EB29E3">
        <w:t xml:space="preserve"> </w:t>
      </w:r>
      <w:r w:rsidRPr="0041599F">
        <w:t>gada 28.</w:t>
      </w:r>
      <w:r w:rsidR="00EB29E3">
        <w:t xml:space="preserve"> </w:t>
      </w:r>
      <w:r w:rsidRPr="0041599F">
        <w:t>augusta risku pārvaldības darba grupas lēmumu protokola Nr.5.2-1/11/22</w:t>
      </w:r>
    </w:p>
  </w:footnote>
  <w:footnote w:id="28">
    <w:p w14:paraId="2FC3254B" w14:textId="21CEA4A3" w:rsidR="007D0F55" w:rsidRDefault="007D0F55" w:rsidP="00855E7A">
      <w:pPr>
        <w:pStyle w:val="FootnoteText"/>
        <w:jc w:val="both"/>
      </w:pPr>
      <w:r>
        <w:rPr>
          <w:rStyle w:val="FootnoteReference"/>
        </w:rPr>
        <w:footnoteRef/>
      </w:r>
      <w:r>
        <w:t xml:space="preserve"> </w:t>
      </w:r>
      <w:r w:rsidRPr="007D0F55">
        <w:t>Pret sākotnējo SAM uzsākšanas laika grafiku</w:t>
      </w:r>
    </w:p>
  </w:footnote>
  <w:footnote w:id="29">
    <w:p w14:paraId="31754F85" w14:textId="77777777" w:rsidR="00BF61D0" w:rsidRPr="00C1458C" w:rsidRDefault="00BF61D0" w:rsidP="00855E7A">
      <w:pPr>
        <w:pStyle w:val="FootnoteText"/>
        <w:jc w:val="both"/>
      </w:pPr>
      <w:r>
        <w:rPr>
          <w:rStyle w:val="FootnoteReference"/>
        </w:rPr>
        <w:footnoteRef/>
      </w:r>
      <w:r>
        <w:t xml:space="preserve"> </w:t>
      </w:r>
      <w:hyperlink r:id="rId9" w:history="1">
        <w:r w:rsidRPr="004A2E8B">
          <w:rPr>
            <w:rStyle w:val="Hyperlink"/>
            <w:color w:val="auto"/>
            <w:u w:val="none"/>
          </w:rPr>
          <w:t>https://eur-lex.europa.eu/eli/reg/2021/241/oj/?locale=LV</w:t>
        </w:r>
      </w:hyperlink>
      <w:r w:rsidRPr="00C1458C">
        <w:t xml:space="preserve"> </w:t>
      </w:r>
    </w:p>
  </w:footnote>
  <w:footnote w:id="30">
    <w:p w14:paraId="60E6C27D" w14:textId="39AD7201" w:rsidR="00254085" w:rsidRPr="004A2E8B" w:rsidRDefault="00254085" w:rsidP="00855E7A">
      <w:pPr>
        <w:pStyle w:val="FootnoteText"/>
        <w:jc w:val="both"/>
        <w:rPr>
          <w:color w:val="000000" w:themeColor="text1"/>
        </w:rPr>
      </w:pPr>
      <w:r w:rsidRPr="004A2E8B">
        <w:rPr>
          <w:rStyle w:val="FootnoteReference"/>
          <w:color w:val="000000" w:themeColor="text1"/>
        </w:rPr>
        <w:footnoteRef/>
      </w:r>
      <w:r w:rsidRPr="004A2E8B">
        <w:rPr>
          <w:color w:val="000000" w:themeColor="text1"/>
        </w:rPr>
        <w:t xml:space="preserve"> Informācija par Atveseļošanas fonda ieviešanas progresu ir pieejama ES fondu tīmekļa vietnē, pieejama: </w:t>
      </w:r>
      <w:hyperlink r:id="rId10" w:history="1">
        <w:r w:rsidRPr="004A2E8B">
          <w:rPr>
            <w:rStyle w:val="Hyperlink"/>
            <w:color w:val="000000" w:themeColor="text1"/>
            <w:u w:val="none"/>
          </w:rPr>
          <w:t>https://www.esfondi.lv/profesionaliem/ieviesana/ieviesanas-plani-un-to-izpilde/atveselosanas-fonds-2</w:t>
        </w:r>
      </w:hyperlink>
      <w:r w:rsidRPr="004A2E8B">
        <w:rPr>
          <w:color w:val="000000" w:themeColor="text1"/>
        </w:rPr>
        <w:t xml:space="preserve"> (skatīts 31.07.2025).</w:t>
      </w:r>
    </w:p>
  </w:footnote>
  <w:footnote w:id="31">
    <w:p w14:paraId="7D105818" w14:textId="6C3524DA" w:rsidR="00561E55" w:rsidRPr="0043659D" w:rsidRDefault="00561E55" w:rsidP="00855E7A">
      <w:pPr>
        <w:pStyle w:val="FootnoteText"/>
        <w:jc w:val="both"/>
        <w:rPr>
          <w:rFonts w:cs="Times New Roman"/>
        </w:rPr>
      </w:pPr>
      <w:r w:rsidRPr="00940337">
        <w:rPr>
          <w:rStyle w:val="FootnoteReference"/>
          <w:rFonts w:eastAsia="Times New Roman" w:cs="Times New Roman"/>
        </w:rPr>
        <w:footnoteRef/>
      </w:r>
      <w:r w:rsidR="469479B5" w:rsidRPr="00940337">
        <w:rPr>
          <w:rFonts w:eastAsia="Times New Roman" w:cs="Times New Roman"/>
        </w:rPr>
        <w:t xml:space="preserve"> </w:t>
      </w:r>
      <w:r w:rsidR="469479B5" w:rsidRPr="00940337">
        <w:rPr>
          <w:rStyle w:val="cf01"/>
          <w:rFonts w:ascii="Times New Roman" w:eastAsia="Times New Roman" w:hAnsi="Times New Roman" w:cs="Times New Roman"/>
          <w:sz w:val="20"/>
          <w:szCs w:val="20"/>
        </w:rPr>
        <w:t>Šo apropriāciju atļauj veikt FDL 7.</w:t>
      </w:r>
      <w:r w:rsidR="00917BA6">
        <w:rPr>
          <w:rStyle w:val="cf01"/>
          <w:rFonts w:ascii="Times New Roman" w:eastAsia="Times New Roman" w:hAnsi="Times New Roman" w:cs="Times New Roman"/>
          <w:sz w:val="20"/>
          <w:szCs w:val="20"/>
        </w:rPr>
        <w:t xml:space="preserve"> </w:t>
      </w:r>
      <w:r w:rsidR="469479B5" w:rsidRPr="00940337">
        <w:rPr>
          <w:rStyle w:val="cf01"/>
          <w:rFonts w:ascii="Times New Roman" w:eastAsia="Times New Roman" w:hAnsi="Times New Roman" w:cs="Times New Roman"/>
          <w:sz w:val="20"/>
          <w:szCs w:val="20"/>
        </w:rPr>
        <w:t>panta 3.</w:t>
      </w:r>
      <w:r w:rsidR="00917BA6">
        <w:rPr>
          <w:rStyle w:val="cf01"/>
          <w:rFonts w:ascii="Times New Roman" w:eastAsia="Times New Roman" w:hAnsi="Times New Roman" w:cs="Times New Roman"/>
          <w:sz w:val="20"/>
          <w:szCs w:val="20"/>
        </w:rPr>
        <w:t xml:space="preserve"> </w:t>
      </w:r>
      <w:r w:rsidR="469479B5" w:rsidRPr="00940337">
        <w:rPr>
          <w:rStyle w:val="cf01"/>
          <w:rFonts w:ascii="Times New Roman" w:eastAsia="Times New Roman" w:hAnsi="Times New Roman" w:cs="Times New Roman"/>
          <w:sz w:val="20"/>
          <w:szCs w:val="20"/>
        </w:rPr>
        <w:t>daļa</w:t>
      </w:r>
    </w:p>
  </w:footnote>
  <w:footnote w:id="32">
    <w:p w14:paraId="41BADD60" w14:textId="613DB9B3" w:rsidR="00C9368A" w:rsidRDefault="00C9368A">
      <w:pPr>
        <w:pStyle w:val="FootnoteText"/>
      </w:pPr>
      <w:r>
        <w:rPr>
          <w:rStyle w:val="FootnoteReference"/>
        </w:rPr>
        <w:footnoteRef/>
      </w:r>
      <w:r>
        <w:t xml:space="preserve"> </w:t>
      </w:r>
      <w:r w:rsidRPr="00E37140">
        <w:rPr>
          <w:rFonts w:eastAsia="Times New Roman" w:cs="Times New Roman"/>
          <w:color w:val="212529"/>
        </w:rPr>
        <w:t xml:space="preserve">2025. gada </w:t>
      </w:r>
      <w:r>
        <w:rPr>
          <w:rFonts w:eastAsia="Times New Roman" w:cs="Times New Roman"/>
          <w:color w:val="212529"/>
        </w:rPr>
        <w:t>3</w:t>
      </w:r>
      <w:r w:rsidRPr="00E37140">
        <w:rPr>
          <w:rFonts w:eastAsia="Times New Roman" w:cs="Times New Roman"/>
          <w:color w:val="212529"/>
        </w:rPr>
        <w:t xml:space="preserve">. </w:t>
      </w:r>
      <w:r>
        <w:rPr>
          <w:rFonts w:eastAsia="Times New Roman" w:cs="Times New Roman"/>
          <w:color w:val="212529"/>
        </w:rPr>
        <w:t>jūnija</w:t>
      </w:r>
      <w:r w:rsidRPr="00E37140">
        <w:rPr>
          <w:rFonts w:eastAsia="Times New Roman" w:cs="Times New Roman"/>
          <w:color w:val="212529"/>
        </w:rPr>
        <w:t xml:space="preserve"> sēdes prot. Nr.</w:t>
      </w:r>
      <w:r>
        <w:rPr>
          <w:rFonts w:eastAsia="Times New Roman" w:cs="Times New Roman"/>
          <w:color w:val="212529"/>
        </w:rPr>
        <w:t>22</w:t>
      </w:r>
      <w:r w:rsidRPr="00E37140">
        <w:rPr>
          <w:rFonts w:eastAsia="Times New Roman" w:cs="Times New Roman"/>
          <w:color w:val="212529"/>
        </w:rPr>
        <w:t xml:space="preserve"> </w:t>
      </w:r>
      <w:r>
        <w:rPr>
          <w:rFonts w:eastAsia="Times New Roman" w:cs="Times New Roman"/>
          <w:color w:val="212529"/>
        </w:rPr>
        <w:t>2</w:t>
      </w:r>
      <w:r w:rsidRPr="00E37140">
        <w:rPr>
          <w:rFonts w:eastAsia="Times New Roman" w:cs="Times New Roman"/>
          <w:color w:val="212529"/>
        </w:rPr>
        <w:t>.§</w:t>
      </w:r>
    </w:p>
  </w:footnote>
  <w:footnote w:id="33">
    <w:p w14:paraId="4BD51C61" w14:textId="129C7327" w:rsidR="00431493" w:rsidRPr="004A3A15" w:rsidRDefault="00431493" w:rsidP="00431493">
      <w:pPr>
        <w:pStyle w:val="FootnoteText"/>
        <w:jc w:val="both"/>
        <w:rPr>
          <w:rFonts w:asciiTheme="majorBidi" w:hAnsiTheme="majorBidi" w:cstheme="majorBidi"/>
          <w:sz w:val="24"/>
          <w:szCs w:val="24"/>
        </w:rPr>
      </w:pPr>
      <w:r>
        <w:rPr>
          <w:rStyle w:val="FootnoteReference"/>
        </w:rPr>
        <w:footnoteRef/>
      </w:r>
      <w:r>
        <w:t xml:space="preserve"> </w:t>
      </w:r>
      <w:r w:rsidRPr="004A3A15">
        <w:rPr>
          <w:rFonts w:asciiTheme="majorBidi" w:hAnsiTheme="majorBidi" w:cstheme="majorBidi"/>
        </w:rPr>
        <w:t>2006.</w:t>
      </w:r>
      <w:r w:rsidR="00E9469F">
        <w:rPr>
          <w:rFonts w:asciiTheme="majorBidi" w:hAnsiTheme="majorBidi" w:cstheme="majorBidi"/>
        </w:rPr>
        <w:t xml:space="preserve"> </w:t>
      </w:r>
      <w:r w:rsidRPr="004A3A15">
        <w:rPr>
          <w:rFonts w:asciiTheme="majorBidi" w:hAnsiTheme="majorBidi" w:cstheme="majorBidi"/>
        </w:rPr>
        <w:t>gada 17.</w:t>
      </w:r>
      <w:r w:rsidR="001141AD">
        <w:rPr>
          <w:rFonts w:asciiTheme="majorBidi" w:hAnsiTheme="majorBidi" w:cstheme="majorBidi"/>
        </w:rPr>
        <w:t xml:space="preserve"> </w:t>
      </w:r>
      <w:r w:rsidRPr="004A3A15">
        <w:rPr>
          <w:rFonts w:asciiTheme="majorBidi" w:hAnsiTheme="majorBidi" w:cstheme="majorBidi"/>
        </w:rPr>
        <w:t xml:space="preserve">oktobrī apstiprināts </w:t>
      </w:r>
      <w:r w:rsidR="00E31135">
        <w:rPr>
          <w:rFonts w:asciiTheme="majorBidi" w:hAnsiTheme="majorBidi" w:cstheme="majorBidi"/>
        </w:rPr>
        <w:t>“</w:t>
      </w:r>
      <w:r w:rsidRPr="004A3A15">
        <w:rPr>
          <w:rFonts w:asciiTheme="majorBidi" w:hAnsiTheme="majorBidi" w:cstheme="majorBidi"/>
        </w:rPr>
        <w:t xml:space="preserve">Rīcības plānu muzeju kolekciju mobilitātes un patapinājumu standartu izveidošanai ES mērogā”, kurā viens no uzdevumiem bija visās </w:t>
      </w:r>
      <w:r w:rsidR="00EA2840">
        <w:rPr>
          <w:rFonts w:asciiTheme="majorBidi" w:hAnsiTheme="majorBidi" w:cstheme="majorBidi"/>
        </w:rPr>
        <w:t>ES</w:t>
      </w:r>
      <w:r w:rsidRPr="004A3A15">
        <w:rPr>
          <w:rFonts w:asciiTheme="majorBidi" w:hAnsiTheme="majorBidi" w:cstheme="majorBidi"/>
        </w:rPr>
        <w:t xml:space="preserve"> dalībvalstīs ieviest starptautiskajiem standartiem atbilstošu valsts garantijas sistēmu kā alternatīvu komerciālajai apdrošināšanai.</w:t>
      </w:r>
      <w:r w:rsidRPr="004A3A15">
        <w:rPr>
          <w:rFonts w:asciiTheme="majorBidi" w:hAnsiTheme="majorBidi" w:cstheme="majorBidi"/>
          <w14:ligatures w14:val="standardContextual"/>
        </w:rPr>
        <w:t xml:space="preserve"> </w:t>
      </w:r>
      <w:r w:rsidRPr="004A3A15">
        <w:rPr>
          <w:rFonts w:asciiTheme="majorBidi" w:hAnsiTheme="majorBidi" w:cstheme="majorBidi"/>
        </w:rPr>
        <w:t>Īpaši atzinīgi tiek vērtētas Igaunijas sistēmas priekšrocības, kas paredz gan Igaunijas muzeju uz ārvalstīm deponēto izstāžu, gan no citām valstīm patapināto, Igaunijas muzejos eksponēto izstāžu valsts garantētu apdrošināšanu.</w:t>
      </w:r>
    </w:p>
  </w:footnote>
  <w:footnote w:id="34">
    <w:p w14:paraId="49AEA1CF" w14:textId="26F88F40" w:rsidR="00431493" w:rsidRDefault="00431493" w:rsidP="00431493">
      <w:pPr>
        <w:pStyle w:val="FootnoteText"/>
        <w:jc w:val="both"/>
      </w:pPr>
      <w:r>
        <w:rPr>
          <w:rStyle w:val="FootnoteReference"/>
        </w:rPr>
        <w:footnoteRef/>
      </w:r>
      <w:r>
        <w:t xml:space="preserve"> </w:t>
      </w:r>
      <w:r w:rsidR="00CE51DD">
        <w:t>MK</w:t>
      </w:r>
      <w:r w:rsidRPr="004A3A15">
        <w:t xml:space="preserve"> 17.06.2025. sēde</w:t>
      </w:r>
      <w:r>
        <w:t xml:space="preserve">s protokola </w:t>
      </w:r>
      <w:r w:rsidRPr="002910A9">
        <w:t>Nr.24/52.§</w:t>
      </w:r>
      <w:r>
        <w:t xml:space="preserve"> 2. punkts </w:t>
      </w:r>
      <w:r w:rsidRPr="004A3A15">
        <w:t xml:space="preserve">Kultūras ministrijai izstrādāt un kultūras ministram līdz 2025. gada 1. oktobrim noteiktā kārtībā iesniegt izskatīšanai </w:t>
      </w:r>
      <w:r w:rsidR="00CE51DD">
        <w:t>MK</w:t>
      </w:r>
      <w:r w:rsidRPr="004A3A15">
        <w:t xml:space="preserve"> noteikumu projektu </w:t>
      </w:r>
      <w:r w:rsidR="00E31135">
        <w:t>“</w:t>
      </w:r>
      <w:r w:rsidRPr="004A3A15">
        <w:t>Kārtība, kādā akreditētie valsts muzeji var saņemt valsts garantētu apdrošināšanu starptautisku izstāžu rīkošanai</w:t>
      </w:r>
      <w:r w:rsidR="00E31135">
        <w:t>”</w:t>
      </w:r>
      <w:r w:rsidRPr="004A3A15">
        <w:t>, kurā paredzēt, ka noteikumi stājas spēkā 2026. gada 1. janvārī.</w:t>
      </w:r>
    </w:p>
  </w:footnote>
  <w:footnote w:id="35">
    <w:p w14:paraId="23AAA90C" w14:textId="77777777" w:rsidR="00600D7F" w:rsidRDefault="00600D7F" w:rsidP="008B085D">
      <w:pPr>
        <w:pStyle w:val="FootnoteText"/>
        <w:jc w:val="both"/>
      </w:pPr>
      <w:r>
        <w:rPr>
          <w:rStyle w:val="FootnoteReference"/>
        </w:rPr>
        <w:footnoteRef/>
      </w:r>
      <w:r>
        <w:t xml:space="preserve"> Kvantitatīvā testa metodoloģija ir detalizēti aprakstīta: </w:t>
      </w:r>
      <w:r w:rsidRPr="00BC0FE3">
        <w:rPr>
          <w:lang w:val="en-US"/>
        </w:rPr>
        <w:t>Inventory of the methods, procedures and sources used for the compilation of deficit and debt data and the underlying government sector accounts according to ESA 2010: https://s-circabc.europa.eu/ui/group/ca7c9cc4-b473-4abc-8e95-263dcd57d79d/library/69848122-ea17-4f0e-8e3a-3980b9430985/details</w:t>
      </w:r>
    </w:p>
  </w:footnote>
  <w:footnote w:id="36">
    <w:p w14:paraId="1ACB6DF0" w14:textId="77777777" w:rsidR="006E6090" w:rsidRPr="007E00B9" w:rsidRDefault="006E6090" w:rsidP="00855E7A">
      <w:pPr>
        <w:pStyle w:val="FootnoteText"/>
        <w:jc w:val="both"/>
        <w:rPr>
          <w:rFonts w:cs="Times New Roman"/>
        </w:rPr>
      </w:pPr>
      <w:r w:rsidRPr="00BE0D4F">
        <w:rPr>
          <w:rStyle w:val="FootnoteReference"/>
          <w:rFonts w:cs="Times New Roman"/>
        </w:rPr>
        <w:footnoteRef/>
      </w:r>
      <w:r w:rsidRPr="00BE0D4F">
        <w:rPr>
          <w:rFonts w:cs="Times New Roman"/>
        </w:rPr>
        <w:t xml:space="preserve"> https://tapportals.mk.gov.lv/legal_acts/26f063d9-ad10-4aac-8690-59772b71fa73</w:t>
      </w:r>
    </w:p>
  </w:footnote>
  <w:footnote w:id="37">
    <w:p w14:paraId="09455DF7" w14:textId="77777777" w:rsidR="006E6090" w:rsidRDefault="006E6090" w:rsidP="006E6090">
      <w:pPr>
        <w:pStyle w:val="FootnoteText"/>
      </w:pPr>
      <w:r>
        <w:rPr>
          <w:rStyle w:val="FootnoteReference"/>
        </w:rPr>
        <w:footnoteRef/>
      </w:r>
      <w:r>
        <w:t xml:space="preserve"> </w:t>
      </w:r>
      <w:r w:rsidRPr="00F25E25">
        <w:rPr>
          <w:rFonts w:cs="Times New Roman"/>
        </w:rPr>
        <w:t>https://tapportals.mk.gov.lv/legal_acts/668e6430-4e9d-4c78-b9bf-cfaca6a1a038</w:t>
      </w:r>
    </w:p>
  </w:footnote>
  <w:footnote w:id="38">
    <w:p w14:paraId="45329509" w14:textId="77777777" w:rsidR="006E6090" w:rsidRDefault="006E6090" w:rsidP="006E6090">
      <w:pPr>
        <w:pStyle w:val="FootnoteText"/>
      </w:pPr>
      <w:r>
        <w:rPr>
          <w:rStyle w:val="FootnoteReference"/>
        </w:rPr>
        <w:footnoteRef/>
      </w:r>
      <w:r>
        <w:t xml:space="preserve"> </w:t>
      </w:r>
      <w:r w:rsidRPr="00F25E25">
        <w:rPr>
          <w:rFonts w:cs="Times New Roman"/>
        </w:rPr>
        <w:t>https://tapportals.mk.gov.lv/legal_acts/91a87ac6-6f15-4aba-b9dd-b0d6b9d0ea73</w:t>
      </w:r>
    </w:p>
  </w:footnote>
  <w:footnote w:id="39">
    <w:p w14:paraId="147505BE" w14:textId="7AEF1E61" w:rsidR="008A2B5F" w:rsidRDefault="008A2B5F" w:rsidP="469479B5">
      <w:pPr>
        <w:spacing w:after="0" w:line="240" w:lineRule="auto"/>
        <w:jc w:val="both"/>
        <w:rPr>
          <w:rFonts w:ascii="Times New Roman" w:hAnsi="Times New Roman" w:cs="Times New Roman"/>
          <w:sz w:val="24"/>
          <w:szCs w:val="24"/>
        </w:rPr>
      </w:pPr>
      <w:r w:rsidRPr="00940337">
        <w:rPr>
          <w:rStyle w:val="FootnoteReference"/>
          <w:rFonts w:ascii="Times New Roman" w:eastAsia="Times New Roman" w:hAnsi="Times New Roman" w:cs="Times New Roman"/>
          <w:sz w:val="20"/>
          <w:szCs w:val="20"/>
        </w:rPr>
        <w:footnoteRef/>
      </w:r>
      <w:r w:rsidR="469479B5" w:rsidRPr="00940337">
        <w:rPr>
          <w:rFonts w:ascii="Times New Roman" w:eastAsia="Times New Roman" w:hAnsi="Times New Roman" w:cs="Times New Roman"/>
          <w:sz w:val="20"/>
          <w:szCs w:val="20"/>
        </w:rPr>
        <w:t xml:space="preserve"> Altum izveide norisinājās divos posmos. Pirmais posms ietvēra Altum, SIA “Latvijas Garantiju aģentūra” (LGA) un VAS “Lauku attīstības fonds” (LAF) kapitāldaļu nodošanu AFI, izveidojot attīstības finanšu institūciju koncernu. Otrajā posmā norisinājās AFI, Altum, LGA un LAF reorganizācija. Šis posms noslēdzās 2015.</w:t>
      </w:r>
      <w:r w:rsidR="003C514A">
        <w:rPr>
          <w:rFonts w:ascii="Times New Roman" w:eastAsia="Times New Roman" w:hAnsi="Times New Roman" w:cs="Times New Roman"/>
          <w:sz w:val="20"/>
          <w:szCs w:val="20"/>
        </w:rPr>
        <w:t xml:space="preserve"> </w:t>
      </w:r>
      <w:r w:rsidR="469479B5" w:rsidRPr="00940337">
        <w:rPr>
          <w:rFonts w:ascii="Times New Roman" w:eastAsia="Times New Roman" w:hAnsi="Times New Roman" w:cs="Times New Roman"/>
          <w:sz w:val="20"/>
          <w:szCs w:val="20"/>
        </w:rPr>
        <w:t>gada 15.</w:t>
      </w:r>
      <w:r w:rsidR="003C514A">
        <w:rPr>
          <w:rFonts w:ascii="Times New Roman" w:eastAsia="Times New Roman" w:hAnsi="Times New Roman" w:cs="Times New Roman"/>
          <w:sz w:val="20"/>
          <w:szCs w:val="20"/>
        </w:rPr>
        <w:t xml:space="preserve"> </w:t>
      </w:r>
      <w:r w:rsidR="469479B5" w:rsidRPr="00940337">
        <w:rPr>
          <w:rFonts w:ascii="Times New Roman" w:eastAsia="Times New Roman" w:hAnsi="Times New Roman" w:cs="Times New Roman"/>
          <w:sz w:val="20"/>
          <w:szCs w:val="20"/>
        </w:rPr>
        <w:t xml:space="preserve">aprīlī, izveidojot vienotu sabiedrību. Visas Altum balsstiesīgās akcijas pieder Latvijas valstij – akciju turētāji ir FM (40 %), </w:t>
      </w:r>
      <w:r w:rsidR="0027032B">
        <w:rPr>
          <w:rFonts w:ascii="Times New Roman" w:eastAsia="Times New Roman" w:hAnsi="Times New Roman" w:cs="Times New Roman"/>
          <w:sz w:val="20"/>
          <w:szCs w:val="20"/>
        </w:rPr>
        <w:t>EM</w:t>
      </w:r>
      <w:r w:rsidR="469479B5" w:rsidRPr="00940337">
        <w:rPr>
          <w:rFonts w:ascii="Times New Roman" w:eastAsia="Times New Roman" w:hAnsi="Times New Roman" w:cs="Times New Roman"/>
          <w:sz w:val="20"/>
          <w:szCs w:val="20"/>
        </w:rPr>
        <w:t xml:space="preserve"> (30 %) un </w:t>
      </w:r>
      <w:r w:rsidR="0027032B">
        <w:rPr>
          <w:rFonts w:ascii="Times New Roman" w:eastAsia="Times New Roman" w:hAnsi="Times New Roman" w:cs="Times New Roman"/>
          <w:sz w:val="20"/>
          <w:szCs w:val="20"/>
        </w:rPr>
        <w:t>ZM</w:t>
      </w:r>
      <w:r w:rsidR="469479B5" w:rsidRPr="00940337">
        <w:rPr>
          <w:rFonts w:ascii="Times New Roman" w:eastAsia="Times New Roman" w:hAnsi="Times New Roman" w:cs="Times New Roman"/>
          <w:sz w:val="20"/>
          <w:szCs w:val="20"/>
        </w:rPr>
        <w:t xml:space="preserve"> (30 %).</w:t>
      </w:r>
    </w:p>
    <w:p w14:paraId="686A1433" w14:textId="77777777" w:rsidR="008A2B5F" w:rsidRDefault="008A2B5F" w:rsidP="469479B5">
      <w:pPr>
        <w:pStyle w:val="FootnoteText"/>
      </w:pPr>
    </w:p>
  </w:footnote>
  <w:footnote w:id="40">
    <w:p w14:paraId="776207D9" w14:textId="32E7A418" w:rsidR="00B34278" w:rsidRPr="00962A15" w:rsidRDefault="00B34278" w:rsidP="00B34278">
      <w:pPr>
        <w:pStyle w:val="FootnoteText"/>
        <w:rPr>
          <w:color w:val="000000" w:themeColor="text1"/>
        </w:rPr>
      </w:pPr>
      <w:r w:rsidRPr="00962A15">
        <w:rPr>
          <w:rStyle w:val="FootnoteReference"/>
          <w:rFonts w:eastAsia="Times New Roman" w:cs="Times New Roman"/>
          <w:color w:val="000000" w:themeColor="text1"/>
        </w:rPr>
        <w:footnoteRef/>
      </w:r>
      <w:r w:rsidR="00153559">
        <w:rPr>
          <w:rFonts w:eastAsia="Times New Roman" w:cs="Times New Roman"/>
          <w:color w:val="000000" w:themeColor="text1"/>
        </w:rPr>
        <w:t xml:space="preserve"> </w:t>
      </w:r>
      <w:r w:rsidR="00153559" w:rsidRPr="00322C21">
        <w:rPr>
          <w:rFonts w:eastAsia="Times New Roman" w:cs="Times New Roman"/>
        </w:rPr>
        <w:t>Informatīvie ziņojumi par 2021., 2022., 2023., 2024. gadu pieejami: https://www.cfla.gov.lv/lv/informativie-zinojumi-ministru-kabinetam</w:t>
      </w:r>
    </w:p>
  </w:footnote>
  <w:footnote w:id="41">
    <w:p w14:paraId="4D362F1A" w14:textId="3FCAEADB" w:rsidR="00CA7612" w:rsidRPr="00962A15" w:rsidRDefault="00CA7612" w:rsidP="469479B5">
      <w:pPr>
        <w:pStyle w:val="FootnoteText"/>
        <w:rPr>
          <w:color w:val="000000" w:themeColor="text1"/>
          <w:sz w:val="18"/>
          <w:szCs w:val="18"/>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w:t>
      </w:r>
      <w:r w:rsidR="469479B5" w:rsidRPr="00962A15">
        <w:rPr>
          <w:rFonts w:eastAsia="Times New Roman" w:cs="Times New Roman"/>
          <w:i/>
          <w:iCs/>
          <w:color w:val="000000" w:themeColor="text1"/>
        </w:rPr>
        <w:t>Eurostat</w:t>
      </w:r>
      <w:r w:rsidR="469479B5" w:rsidRPr="00962A15">
        <w:rPr>
          <w:rFonts w:eastAsia="Times New Roman" w:cs="Times New Roman"/>
          <w:color w:val="000000" w:themeColor="text1"/>
        </w:rPr>
        <w:t xml:space="preserve"> viedoklis, </w:t>
      </w:r>
      <w:r w:rsidR="00275610" w:rsidRPr="00275610">
        <w:rPr>
          <w:rFonts w:eastAsia="Times New Roman" w:cs="Times New Roman"/>
          <w:color w:val="000000" w:themeColor="text1"/>
        </w:rPr>
        <w:t>https://s-circabc.europa.eu/ui/group/ca7c9cc4-b473-4abc-8e95-263dcd57d79d/library/c7da5e36-73a8-4d39-b779-db1349b9e77a/details</w:t>
      </w:r>
    </w:p>
  </w:footnote>
  <w:footnote w:id="42">
    <w:p w14:paraId="57E5C291" w14:textId="77777777" w:rsidR="00060124" w:rsidRPr="00EE46A3" w:rsidRDefault="00060124" w:rsidP="469479B5">
      <w:pPr>
        <w:pStyle w:val="FootnoteText"/>
        <w:rPr>
          <w:sz w:val="18"/>
          <w:szCs w:val="18"/>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https://lvceli.lv/aktuali/satiksmei-atklas-kekavas-apvedcelu/</w:t>
      </w:r>
    </w:p>
  </w:footnote>
  <w:footnote w:id="43">
    <w:p w14:paraId="7E018172" w14:textId="4EF039CE" w:rsidR="005A3028" w:rsidRPr="00EE46A3" w:rsidRDefault="005A3028" w:rsidP="469479B5">
      <w:pPr>
        <w:pStyle w:val="FootnoteText"/>
        <w:rPr>
          <w:sz w:val="18"/>
          <w:szCs w:val="18"/>
        </w:rPr>
      </w:pPr>
      <w:r w:rsidRPr="00940337">
        <w:rPr>
          <w:rStyle w:val="FootnoteReference"/>
          <w:rFonts w:eastAsia="Times New Roman" w:cs="Times New Roman"/>
        </w:rPr>
        <w:footnoteRef/>
      </w:r>
      <w:r w:rsidR="469479B5" w:rsidRPr="00940337">
        <w:rPr>
          <w:rFonts w:eastAsia="Times New Roman" w:cs="Times New Roman"/>
        </w:rPr>
        <w:t xml:space="preserve"> https://tapportals.mk.gov.lv/structuralizer/data/nodes/a97cde0a-0dd0-4b0b-91a9-35786730f805/preview</w:t>
      </w:r>
    </w:p>
  </w:footnote>
  <w:footnote w:id="44">
    <w:p w14:paraId="604C0E3F" w14:textId="3CCFFE89" w:rsidR="005962CD" w:rsidRPr="00544ECA" w:rsidRDefault="005962CD" w:rsidP="469479B5">
      <w:pPr>
        <w:pStyle w:val="FootnoteText"/>
        <w:jc w:val="both"/>
      </w:pPr>
      <w:r w:rsidRPr="00F80585">
        <w:rPr>
          <w:rFonts w:eastAsia="Times New Roman" w:cs="Times New Roman"/>
          <w:vertAlign w:val="superscript"/>
        </w:rPr>
        <w:footnoteRef/>
      </w:r>
      <w:r w:rsidR="469479B5" w:rsidRPr="00940337">
        <w:rPr>
          <w:rFonts w:eastAsia="Times New Roman" w:cs="Times New Roman"/>
        </w:rPr>
        <w:t xml:space="preserve"> </w:t>
      </w:r>
      <w:r w:rsidR="00196B0D" w:rsidRPr="00940337">
        <w:rPr>
          <w:rFonts w:eastAsia="Times New Roman" w:cs="Times New Roman"/>
        </w:rPr>
        <w:t xml:space="preserve">Atbilstoši </w:t>
      </w:r>
      <w:hyperlink r:id="rId11" w:tgtFrame="_blank" w:history="1">
        <w:r w:rsidR="00196B0D" w:rsidRPr="00940337">
          <w:rPr>
            <w:rFonts w:eastAsia="Times New Roman" w:cs="Times New Roman"/>
          </w:rPr>
          <w:t>MK noteikumiem Nr.262 no 2010.</w:t>
        </w:r>
        <w:r w:rsidR="00196B0D">
          <w:rPr>
            <w:rFonts w:eastAsia="Times New Roman" w:cs="Times New Roman"/>
          </w:rPr>
          <w:t xml:space="preserve"> </w:t>
        </w:r>
        <w:r w:rsidR="00196B0D" w:rsidRPr="00940337">
          <w:rPr>
            <w:rFonts w:eastAsia="Times New Roman" w:cs="Times New Roman"/>
          </w:rPr>
          <w:t>gada 16.</w:t>
        </w:r>
        <w:r w:rsidR="00196B0D">
          <w:rPr>
            <w:rFonts w:eastAsia="Times New Roman" w:cs="Times New Roman"/>
          </w:rPr>
          <w:t xml:space="preserve"> </w:t>
        </w:r>
        <w:r w:rsidR="00196B0D" w:rsidRPr="00940337">
          <w:rPr>
            <w:rFonts w:eastAsia="Times New Roman" w:cs="Times New Roman"/>
          </w:rPr>
          <w:t>marta Noteikumi par elektroenerģijas ražošanu, izmantojot atjaunojamos energoresursus</w:t>
        </w:r>
      </w:hyperlink>
      <w:r w:rsidR="00196B0D" w:rsidRPr="00940337">
        <w:rPr>
          <w:rFonts w:eastAsia="Times New Roman" w:cs="Times New Roman"/>
        </w:rPr>
        <w:t>, 29.</w:t>
      </w:r>
      <w:r w:rsidR="00196B0D">
        <w:rPr>
          <w:rFonts w:eastAsia="Times New Roman" w:cs="Times New Roman"/>
        </w:rPr>
        <w:t xml:space="preserve"> </w:t>
      </w:r>
      <w:r w:rsidR="00196B0D" w:rsidRPr="00940337">
        <w:rPr>
          <w:rFonts w:eastAsia="Times New Roman" w:cs="Times New Roman"/>
        </w:rPr>
        <w:t>punktam – “sistēmas operatori uzskaita to sistēmām pieslēgto galalietotāju – tirgus dalībnieku – elektroenerģijas patēriņam atbilstošo OIK katrā norēķinu periodā, sniedz publiskajam tirgotājam nepieciešamo informāciju norēķinu veikšanai un norēķinās ar publisko tirgotāju par to sistēmām pieslēgto galalietotāju – tirgus dalībnieku – elektroenerģijas patēriņam atbilstošo komponenti.”</w:t>
      </w:r>
    </w:p>
  </w:footnote>
  <w:footnote w:id="45">
    <w:p w14:paraId="48B885EE" w14:textId="26D376C6" w:rsidR="00C441F0" w:rsidRDefault="00C441F0">
      <w:pPr>
        <w:pStyle w:val="FootnoteText"/>
      </w:pPr>
      <w:r>
        <w:rPr>
          <w:rStyle w:val="FootnoteReference"/>
        </w:rPr>
        <w:footnoteRef/>
      </w:r>
      <w:r>
        <w:t xml:space="preserve"> </w:t>
      </w:r>
      <w:r w:rsidRPr="00C441F0">
        <w:t>https://www.bvkb.gov.lv/lv/media/3999/download?attachment</w:t>
      </w:r>
    </w:p>
  </w:footnote>
  <w:footnote w:id="46">
    <w:p w14:paraId="765D7DF1" w14:textId="4CC45724" w:rsidR="00C441F0" w:rsidRDefault="00C441F0">
      <w:pPr>
        <w:pStyle w:val="FootnoteText"/>
      </w:pPr>
      <w:r>
        <w:rPr>
          <w:rStyle w:val="FootnoteReference"/>
        </w:rPr>
        <w:footnoteRef/>
      </w:r>
      <w:r>
        <w:t xml:space="preserve"> </w:t>
      </w:r>
      <w:r w:rsidRPr="00C441F0">
        <w:t>https://www.bvkb.gov.lv/lv/media/4851/download?attachment</w:t>
      </w:r>
    </w:p>
  </w:footnote>
  <w:footnote w:id="47">
    <w:p w14:paraId="1A703DCB" w14:textId="718C8A08" w:rsidR="00175C1E" w:rsidRPr="00962A15" w:rsidRDefault="00175C1E">
      <w:pPr>
        <w:pStyle w:val="FootnoteText"/>
        <w:rPr>
          <w:color w:val="000000" w:themeColor="text1"/>
        </w:rPr>
      </w:pPr>
      <w:r w:rsidRPr="00962A15">
        <w:rPr>
          <w:rStyle w:val="FootnoteReference"/>
          <w:color w:val="000000" w:themeColor="text1"/>
        </w:rPr>
        <w:footnoteRef/>
      </w:r>
      <w:r w:rsidRPr="00962A15">
        <w:rPr>
          <w:color w:val="000000" w:themeColor="text1"/>
        </w:rPr>
        <w:t xml:space="preserve"> </w:t>
      </w:r>
      <w:r w:rsidR="005E6C5D" w:rsidRPr="00322C21">
        <w:rPr>
          <w:i/>
          <w:iCs/>
          <w:color w:val="000000" w:themeColor="text1"/>
        </w:rPr>
        <w:t xml:space="preserve">Eurostat </w:t>
      </w:r>
      <w:r w:rsidR="005E6C5D">
        <w:rPr>
          <w:color w:val="000000" w:themeColor="text1"/>
        </w:rPr>
        <w:t xml:space="preserve">viedoklis: </w:t>
      </w:r>
      <w:r w:rsidR="005E6C5D" w:rsidRPr="005E6C5D">
        <w:t>https://s-circabc.europa.eu/ui/group/ca7c9cc4-b473-4abc-8e95-263dcd57d79d/library/b2549086-f478-409f-b80a-4e7c96bb346c/details</w:t>
      </w:r>
    </w:p>
  </w:footnote>
  <w:footnote w:id="48">
    <w:p w14:paraId="4FEEB6FA" w14:textId="3B068DC0" w:rsidR="007D3184" w:rsidRPr="00962A15" w:rsidRDefault="007D3184" w:rsidP="00855E7A">
      <w:pPr>
        <w:pStyle w:val="FootnoteText"/>
        <w:jc w:val="both"/>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w:t>
      </w:r>
      <w:r w:rsidR="00322C21" w:rsidRPr="00322C21">
        <w:rPr>
          <w:rFonts w:eastAsia="Times New Roman" w:cs="Times New Roman"/>
          <w:color w:val="000000" w:themeColor="text1"/>
        </w:rPr>
        <w:t>https://www.srb.europa.eu/en/content/no-additional-srf-bank-levies-needed-2025-fund-continues-meet-target-level</w:t>
      </w:r>
    </w:p>
  </w:footnote>
  <w:footnote w:id="49">
    <w:p w14:paraId="352DB24A" w14:textId="77777777" w:rsidR="001C210B" w:rsidRPr="008874A0" w:rsidRDefault="001C210B" w:rsidP="00855E7A">
      <w:pPr>
        <w:pStyle w:val="FootnoteText"/>
        <w:jc w:val="both"/>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atjaunojamā kredītlīnija.</w:t>
      </w:r>
    </w:p>
  </w:footnote>
  <w:footnote w:id="50">
    <w:p w14:paraId="26D5FE01" w14:textId="5434D496" w:rsidR="009851AD" w:rsidRPr="003F686D" w:rsidRDefault="009851AD" w:rsidP="009851AD">
      <w:pPr>
        <w:pStyle w:val="FootnoteText"/>
      </w:pPr>
      <w:r w:rsidRPr="003F686D">
        <w:rPr>
          <w:rStyle w:val="FootnoteReference"/>
          <w:rFonts w:eastAsia="Times New Roman" w:cs="Times New Roman"/>
        </w:rPr>
        <w:footnoteRef/>
      </w:r>
      <w:r w:rsidRPr="000D14AB">
        <w:rPr>
          <w:rFonts w:eastAsia="Times New Roman" w:cs="Times New Roman"/>
        </w:rPr>
        <w:t>https://www.bankingsupervision.europa.eu/framework/priorities/html/ssm.supervisory_priorities202412~6f69ad032f.lv.html</w:t>
      </w:r>
    </w:p>
  </w:footnote>
  <w:footnote w:id="51">
    <w:p w14:paraId="100574B8" w14:textId="471E7058" w:rsidR="00DF1254" w:rsidRPr="008874A0" w:rsidRDefault="00DF1254" w:rsidP="469479B5">
      <w:pPr>
        <w:pStyle w:val="Char1"/>
      </w:pPr>
      <w:r w:rsidRPr="00940337">
        <w:rPr>
          <w:rStyle w:val="FootnoteReference"/>
          <w:rFonts w:eastAsia="Times New Roman" w:cs="Times New Roman"/>
        </w:rPr>
        <w:footnoteRef/>
      </w:r>
      <w:r w:rsidR="006E3148">
        <w:rPr>
          <w:rFonts w:eastAsia="Times New Roman" w:cs="Times New Roman"/>
        </w:rPr>
        <w:t xml:space="preserve"> </w:t>
      </w:r>
      <w:r w:rsidR="469479B5" w:rsidRPr="00940337">
        <w:rPr>
          <w:rFonts w:eastAsia="Times New Roman" w:cs="Times New Roman"/>
        </w:rPr>
        <w:t>https://www.bank.lv/darbibas-jomas/klientu-aizsardziba/kompensaciju-izmaksas-sistemas/noguldijumu-garantiju-fonds</w:t>
      </w:r>
    </w:p>
  </w:footnote>
  <w:footnote w:id="52">
    <w:p w14:paraId="75EBE8D4" w14:textId="77777777" w:rsidR="002E49B0" w:rsidRPr="002E49B0" w:rsidRDefault="002E49B0" w:rsidP="008B085D">
      <w:pPr>
        <w:pStyle w:val="FootnoteText"/>
        <w:jc w:val="both"/>
      </w:pPr>
      <w:r>
        <w:rPr>
          <w:rStyle w:val="FootnoteReference"/>
        </w:rPr>
        <w:footnoteRef/>
      </w:r>
      <w:r>
        <w:t xml:space="preserve"> </w:t>
      </w:r>
      <w:hyperlink r:id="rId12" w:history="1">
        <w:r w:rsidRPr="002E49B0">
          <w:rPr>
            <w:rStyle w:val="Hyperlink"/>
            <w:color w:val="auto"/>
            <w:u w:val="none"/>
          </w:rPr>
          <w:t>https://www.bank.lv/images/stories/pielikumi/publikacijas/Noregulejuma_garantiju_fonda_2024_parskats.pdf</w:t>
        </w:r>
      </w:hyperlink>
      <w:r w:rsidRPr="002E49B0">
        <w:t xml:space="preserve"> </w:t>
      </w:r>
    </w:p>
  </w:footnote>
  <w:footnote w:id="53">
    <w:p w14:paraId="03B107CB" w14:textId="45802683" w:rsidR="00775590" w:rsidRPr="0058124B" w:rsidRDefault="00775590" w:rsidP="008B085D">
      <w:pPr>
        <w:pStyle w:val="FootnoteText"/>
        <w:jc w:val="both"/>
        <w:rPr>
          <w:i/>
          <w:iCs/>
        </w:rPr>
      </w:pPr>
      <w:r w:rsidRPr="00C1458C">
        <w:rPr>
          <w:rStyle w:val="FootnoteReference"/>
          <w:rFonts w:eastAsia="Times New Roman" w:cs="Times New Roman"/>
        </w:rPr>
        <w:footnoteRef/>
      </w:r>
      <w:r w:rsidR="469479B5" w:rsidRPr="00C1458C">
        <w:rPr>
          <w:rFonts w:eastAsia="Times New Roman" w:cs="Times New Roman"/>
        </w:rPr>
        <w:t xml:space="preserve"> Informācija par NGF bilanci un pieejamajiem resursiem ir pieejama Latvijas Bankas tīmekļa vietnē - </w:t>
      </w:r>
      <w:hyperlink r:id="rId13" w:history="1">
        <w:r w:rsidR="469479B5" w:rsidRPr="002E49B0">
          <w:rPr>
            <w:rStyle w:val="Hyperlink"/>
            <w:rFonts w:eastAsia="Times New Roman" w:cs="Times New Roman"/>
            <w:color w:val="auto"/>
            <w:u w:val="none"/>
          </w:rPr>
          <w:t>https://www.bank.lv/darbibas-jomas/klientu-aizsardziba/kompensaciju-izmaksas-sistemas/noguldijumu-garantiju-fonds</w:t>
        </w:r>
      </w:hyperlink>
    </w:p>
  </w:footnote>
  <w:footnote w:id="54">
    <w:p w14:paraId="68E21430" w14:textId="4DACDEFC" w:rsidR="00E8772D" w:rsidRDefault="00E8772D" w:rsidP="0064250D">
      <w:pPr>
        <w:pStyle w:val="FootnoteText"/>
        <w:jc w:val="both"/>
      </w:pPr>
      <w:r>
        <w:rPr>
          <w:rStyle w:val="FootnoteReference"/>
        </w:rPr>
        <w:footnoteRef/>
      </w:r>
      <w:r>
        <w:t xml:space="preserve"> </w:t>
      </w:r>
      <w:r w:rsidRPr="00E8772D">
        <w:t>“Par Sociālo pakalpojumu un sociālās palīdzības likuma 33.panta pirmās daļas un likuma “Par sociālo drošību” 2.</w:t>
      </w:r>
      <w:r w:rsidRPr="00FD0ED2">
        <w:rPr>
          <w:vertAlign w:val="superscript"/>
        </w:rPr>
        <w:t>2</w:t>
      </w:r>
      <w:r>
        <w:rPr>
          <w:vertAlign w:val="superscript"/>
        </w:rPr>
        <w:t xml:space="preserve"> </w:t>
      </w:r>
      <w:r w:rsidRPr="00E8772D">
        <w:t>panta otrās un trešās daļas atbilstību Latvijas Republikas Satversmes 1. un 109.pantam”</w:t>
      </w:r>
    </w:p>
  </w:footnote>
  <w:footnote w:id="55">
    <w:p w14:paraId="02B4629F" w14:textId="06AFE137" w:rsidR="008463F3" w:rsidRPr="000A78F6" w:rsidRDefault="008463F3" w:rsidP="0064250D">
      <w:pPr>
        <w:pStyle w:val="FootnoteText"/>
        <w:jc w:val="both"/>
      </w:pPr>
      <w:r w:rsidRPr="000A78F6">
        <w:rPr>
          <w:rStyle w:val="FootnoteReference"/>
        </w:rPr>
        <w:footnoteRef/>
      </w:r>
      <w:r w:rsidRPr="000A78F6">
        <w:t xml:space="preserve"> </w:t>
      </w:r>
      <w:r w:rsidR="009324B2" w:rsidRPr="009324B2">
        <w:t>https://www.satv.tiesa.gov.lv/wp-content/uploads/2024/04/2024-15-01_RS_lemums_par_lietu_apvienosanu.pdf#search=</w:t>
      </w:r>
    </w:p>
  </w:footnote>
  <w:footnote w:id="56">
    <w:p w14:paraId="5D381A0B" w14:textId="65A26FEE" w:rsidR="008463F3" w:rsidRDefault="008463F3" w:rsidP="0064250D">
      <w:pPr>
        <w:pStyle w:val="FootnoteText"/>
        <w:jc w:val="both"/>
      </w:pPr>
      <w:r w:rsidRPr="000A78F6">
        <w:rPr>
          <w:rStyle w:val="FootnoteReference"/>
        </w:rPr>
        <w:footnoteRef/>
      </w:r>
      <w:r w:rsidRPr="000A78F6">
        <w:t xml:space="preserve"> “Par Patērētāju tiesību aizsardzības likuma 8.</w:t>
      </w:r>
      <w:r w:rsidRPr="000A78F6">
        <w:rPr>
          <w:vertAlign w:val="superscript"/>
        </w:rPr>
        <w:t xml:space="preserve">4 </w:t>
      </w:r>
      <w:r w:rsidRPr="000A78F6">
        <w:t xml:space="preserve">panta otrās, trešās </w:t>
      </w:r>
      <w:r w:rsidRPr="00D05C4E">
        <w:t>(redakcijā, kas bija spēkā no 2024.</w:t>
      </w:r>
      <w:r>
        <w:t xml:space="preserve"> </w:t>
      </w:r>
      <w:r w:rsidRPr="00D05C4E">
        <w:t>gada 1.</w:t>
      </w:r>
      <w:r>
        <w:t xml:space="preserve"> </w:t>
      </w:r>
      <w:r w:rsidRPr="00D05C4E">
        <w:t>janvāra līdz 2024.</w:t>
      </w:r>
      <w:r>
        <w:t xml:space="preserve"> </w:t>
      </w:r>
      <w:r w:rsidRPr="00D05C4E">
        <w:t>gada 4.</w:t>
      </w:r>
      <w:r>
        <w:t xml:space="preserve"> </w:t>
      </w:r>
      <w:r w:rsidRPr="00D05C4E">
        <w:t>jūnijam), ceturtās, piektās, sestās, desmitās, vienpadsmitās, divpadsmitās, trīspadsmitās,</w:t>
      </w:r>
      <w:r>
        <w:t xml:space="preserve"> </w:t>
      </w:r>
      <w:r w:rsidRPr="00D05C4E">
        <w:t>piecpadsmitās daļas</w:t>
      </w:r>
      <w:r>
        <w:t xml:space="preserve"> </w:t>
      </w:r>
      <w:r w:rsidRPr="00D05C4E">
        <w:t>un</w:t>
      </w:r>
      <w:r>
        <w:t xml:space="preserve"> </w:t>
      </w:r>
      <w:r w:rsidRPr="00D05C4E">
        <w:t>pārejas noteikumu 43.</w:t>
      </w:r>
      <w:r>
        <w:t xml:space="preserve"> </w:t>
      </w:r>
      <w:r w:rsidRPr="00D05C4E">
        <w:t>punkta atbilstību Latvijas Republikas Satversmes 1.</w:t>
      </w:r>
      <w:r>
        <w:t xml:space="preserve"> </w:t>
      </w:r>
      <w:r w:rsidRPr="00D05C4E">
        <w:t>pantam un 105.</w:t>
      </w:r>
      <w:r>
        <w:t xml:space="preserve"> </w:t>
      </w:r>
      <w:r w:rsidRPr="00D05C4E">
        <w:t>panta pirmajiem trim teikumiem, kā arī</w:t>
      </w:r>
      <w:r>
        <w:t xml:space="preserve"> </w:t>
      </w:r>
      <w:r w:rsidRPr="00D05C4E">
        <w:t>Patērētāju tiesību aizsardzības likuma 8.</w:t>
      </w:r>
      <w:r w:rsidRPr="00DE7C88">
        <w:rPr>
          <w:vertAlign w:val="superscript"/>
        </w:rPr>
        <w:t>4</w:t>
      </w:r>
      <w:r>
        <w:rPr>
          <w:vertAlign w:val="superscript"/>
        </w:rPr>
        <w:t xml:space="preserve"> </w:t>
      </w:r>
      <w:r w:rsidRPr="00D05C4E">
        <w:t>panta desmitās daļas 2.</w:t>
      </w:r>
      <w:r>
        <w:t xml:space="preserve"> </w:t>
      </w:r>
      <w:r w:rsidRPr="00D05C4E">
        <w:t>punkta atbilstību Latvijas Republikas Satversmes 91.</w:t>
      </w:r>
      <w:r>
        <w:t xml:space="preserve"> </w:t>
      </w:r>
      <w:r w:rsidRPr="00D05C4E">
        <w:t>panta pirmajam teikumam”</w:t>
      </w:r>
    </w:p>
  </w:footnote>
  <w:footnote w:id="57">
    <w:p w14:paraId="4C4BFF40" w14:textId="4F58BBB3" w:rsidR="008463F3" w:rsidRPr="00F205E8" w:rsidRDefault="008463F3" w:rsidP="008463F3">
      <w:pPr>
        <w:pStyle w:val="FootnoteText"/>
      </w:pPr>
      <w:r>
        <w:rPr>
          <w:rStyle w:val="FootnoteReference"/>
        </w:rPr>
        <w:footnoteRef/>
      </w:r>
      <w:r>
        <w:t xml:space="preserve"> </w:t>
      </w:r>
      <w:r w:rsidR="008674A0" w:rsidRPr="008674A0">
        <w:t>https://www.satv.tiesa.gov.lv/wp-content/uploads/2025/03/2024-09-01-Lemums_par_versanos_EST.pdf</w:t>
      </w:r>
    </w:p>
  </w:footnote>
  <w:footnote w:id="58">
    <w:p w14:paraId="1A8C1045" w14:textId="3BC9B144" w:rsidR="008463F3" w:rsidRDefault="008463F3" w:rsidP="008463F3">
      <w:pPr>
        <w:pStyle w:val="FootnoteText"/>
      </w:pPr>
      <w:r w:rsidRPr="00F205E8">
        <w:rPr>
          <w:rStyle w:val="FootnoteReference"/>
        </w:rPr>
        <w:footnoteRef/>
      </w:r>
      <w:r w:rsidRPr="00F205E8">
        <w:t xml:space="preserve"> </w:t>
      </w:r>
      <w:r w:rsidR="008674A0" w:rsidRPr="008674A0">
        <w:t>https://www.satv.tiesa.gov.lv/wp-content/uploads/2024/04/2024-09-01_lemums_par_ECB_lugumu.pdf#search=</w:t>
      </w:r>
    </w:p>
  </w:footnote>
  <w:footnote w:id="59">
    <w:p w14:paraId="0A58EEA0" w14:textId="77777777" w:rsidR="008463F3" w:rsidRPr="00F205E8" w:rsidRDefault="008463F3" w:rsidP="0064250D">
      <w:pPr>
        <w:pStyle w:val="FootnoteText"/>
        <w:jc w:val="both"/>
        <w:rPr>
          <w:rFonts w:cs="Times New Roman"/>
        </w:rPr>
      </w:pPr>
      <w:r w:rsidRPr="00C21385">
        <w:rPr>
          <w:rStyle w:val="FootnoteReference"/>
          <w:rFonts w:cs="Times New Roman"/>
        </w:rPr>
        <w:footnoteRef/>
      </w:r>
      <w:r w:rsidRPr="00C21385">
        <w:rPr>
          <w:rFonts w:cs="Times New Roman"/>
        </w:rPr>
        <w:t xml:space="preserve"> </w:t>
      </w:r>
      <w:hyperlink r:id="rId14" w:history="1">
        <w:r w:rsidRPr="0064250D">
          <w:rPr>
            <w:rStyle w:val="Hyperlink"/>
            <w:rFonts w:cs="Times New Roman"/>
            <w:color w:val="auto"/>
            <w:u w:val="none"/>
          </w:rPr>
          <w:t>https://likumi.lv/ta/id/357481-grozijumi-valsts-fondeto-pensiju-likuma</w:t>
        </w:r>
      </w:hyperlink>
      <w:r w:rsidRPr="00F205E8">
        <w:rPr>
          <w:rFonts w:cs="Times New Roman"/>
        </w:rPr>
        <w:t xml:space="preserve"> </w:t>
      </w:r>
    </w:p>
  </w:footnote>
  <w:footnote w:id="60">
    <w:p w14:paraId="10C73583" w14:textId="77777777" w:rsidR="008463F3" w:rsidRPr="000D2C30" w:rsidRDefault="008463F3" w:rsidP="0064250D">
      <w:pPr>
        <w:pStyle w:val="FootnoteText"/>
        <w:jc w:val="both"/>
        <w:rPr>
          <w:rFonts w:cs="Times New Roman"/>
        </w:rPr>
      </w:pPr>
      <w:r w:rsidRPr="00F205E8">
        <w:rPr>
          <w:rStyle w:val="FootnoteReference"/>
          <w:rFonts w:cs="Times New Roman"/>
        </w:rPr>
        <w:footnoteRef/>
      </w:r>
      <w:r w:rsidRPr="00F205E8">
        <w:t xml:space="preserve"> </w:t>
      </w:r>
      <w:hyperlink r:id="rId15" w:history="1">
        <w:r w:rsidRPr="0064250D">
          <w:rPr>
            <w:rStyle w:val="Hyperlink"/>
            <w:rFonts w:cs="Times New Roman"/>
            <w:color w:val="auto"/>
            <w:u w:val="none"/>
          </w:rPr>
          <w:t>https://titania.saeima.lv/LIVS14/SaeimaLIVS14.nsf/0/A4D269BEB6E841ADC2258BB3005A72B8?OpenDocument</w:t>
        </w:r>
      </w:hyperlink>
      <w:r w:rsidRPr="000D2C30">
        <w:rPr>
          <w:rFonts w:cs="Times New Roman"/>
        </w:rPr>
        <w:t xml:space="preserve"> </w:t>
      </w:r>
    </w:p>
  </w:footnote>
  <w:footnote w:id="61">
    <w:p w14:paraId="455C9DB5" w14:textId="6F5BCEC1" w:rsidR="008463F3" w:rsidRPr="000D2C30" w:rsidRDefault="008463F3" w:rsidP="008B085D">
      <w:pPr>
        <w:pStyle w:val="FootnoteText"/>
        <w:jc w:val="both"/>
      </w:pPr>
      <w:r w:rsidRPr="000D2C30">
        <w:rPr>
          <w:rStyle w:val="FootnoteReference"/>
        </w:rPr>
        <w:footnoteRef/>
      </w:r>
      <w:r w:rsidRPr="000D2C30">
        <w:t xml:space="preserve"> </w:t>
      </w:r>
      <w:r w:rsidRPr="000C4109">
        <w:rPr>
          <w:rFonts w:cs="Times New Roman"/>
        </w:rPr>
        <w:t>Laik</w:t>
      </w:r>
      <w:r w:rsidRPr="000D2C30">
        <w:rPr>
          <w:rFonts w:cs="Times New Roman"/>
        </w:rPr>
        <w:t xml:space="preserve">a </w:t>
      </w:r>
      <w:r w:rsidRPr="000C4109">
        <w:rPr>
          <w:rFonts w:cs="Times New Roman"/>
        </w:rPr>
        <w:t>posmā no </w:t>
      </w:r>
      <w:hyperlink r:id="rId16" w:anchor="n2025" w:history="1">
        <w:r w:rsidRPr="001E3254">
          <w:rPr>
            <w:rStyle w:val="Hyperlink"/>
            <w:rFonts w:cs="Times New Roman"/>
            <w:color w:val="auto"/>
            <w:u w:val="none"/>
          </w:rPr>
          <w:t>2025.</w:t>
        </w:r>
      </w:hyperlink>
      <w:r w:rsidRPr="000C4109">
        <w:rPr>
          <w:rFonts w:cs="Times New Roman"/>
        </w:rPr>
        <w:t> gada </w:t>
      </w:r>
      <w:hyperlink r:id="rId17" w:anchor="n1" w:history="1">
        <w:r w:rsidRPr="001E3254">
          <w:rPr>
            <w:rStyle w:val="Hyperlink"/>
            <w:rFonts w:cs="Times New Roman"/>
            <w:color w:val="auto"/>
            <w:u w:val="none"/>
          </w:rPr>
          <w:t>1.</w:t>
        </w:r>
      </w:hyperlink>
      <w:r w:rsidRPr="000C4109">
        <w:rPr>
          <w:rFonts w:cs="Times New Roman"/>
        </w:rPr>
        <w:t> janvāra līdz </w:t>
      </w:r>
      <w:hyperlink r:id="rId18" w:anchor="n2028" w:history="1">
        <w:r w:rsidRPr="001E3254">
          <w:rPr>
            <w:rStyle w:val="Hyperlink"/>
            <w:rFonts w:cs="Times New Roman"/>
            <w:color w:val="auto"/>
            <w:u w:val="none"/>
          </w:rPr>
          <w:t>2028.</w:t>
        </w:r>
      </w:hyperlink>
      <w:r w:rsidRPr="000C4109">
        <w:rPr>
          <w:rFonts w:cs="Times New Roman"/>
        </w:rPr>
        <w:t> gada </w:t>
      </w:r>
      <w:hyperlink r:id="rId19" w:anchor="n31" w:history="1">
        <w:r w:rsidRPr="001E3254">
          <w:rPr>
            <w:rStyle w:val="Hyperlink"/>
            <w:rFonts w:cs="Times New Roman"/>
            <w:color w:val="auto"/>
            <w:u w:val="none"/>
          </w:rPr>
          <w:t>31.</w:t>
        </w:r>
      </w:hyperlink>
      <w:r w:rsidRPr="000C4109">
        <w:rPr>
          <w:rFonts w:cs="Times New Roman"/>
        </w:rPr>
        <w:t> decembrim šā likuma </w:t>
      </w:r>
      <w:hyperlink r:id="rId20" w:anchor="p4" w:history="1">
        <w:r w:rsidRPr="001E3254">
          <w:rPr>
            <w:rStyle w:val="Hyperlink"/>
            <w:rFonts w:cs="Times New Roman"/>
            <w:color w:val="auto"/>
            <w:u w:val="none"/>
          </w:rPr>
          <w:t>4.</w:t>
        </w:r>
      </w:hyperlink>
      <w:r w:rsidRPr="000C4109">
        <w:rPr>
          <w:rFonts w:cs="Times New Roman"/>
        </w:rPr>
        <w:t xml:space="preserve"> panta otrajā daļā noteiktā iemaksu likme fondēto pensiju shēmā ir pieci procenti no iemaksu objekta, kas noteikts likumā </w:t>
      </w:r>
      <w:r w:rsidR="00E31135">
        <w:rPr>
          <w:rFonts w:cs="Times New Roman"/>
        </w:rPr>
        <w:t>“</w:t>
      </w:r>
      <w:hyperlink r:id="rId21" w:history="1">
        <w:r w:rsidRPr="001E3254">
          <w:rPr>
            <w:rStyle w:val="Hyperlink"/>
            <w:rFonts w:cs="Times New Roman"/>
            <w:color w:val="auto"/>
            <w:u w:val="none"/>
          </w:rPr>
          <w:t>Par valsts sociālo apdrošināšanu</w:t>
        </w:r>
      </w:hyperlink>
      <w:r w:rsidR="00E31135">
        <w:rPr>
          <w:rFonts w:cs="Times New Roman"/>
        </w:rPr>
        <w:t>”</w:t>
      </w:r>
      <w:r w:rsidRPr="000C4109">
        <w:rPr>
          <w:rFonts w:cs="Times New Roman"/>
        </w:rPr>
        <w:t>.</w:t>
      </w:r>
    </w:p>
  </w:footnote>
  <w:footnote w:id="62">
    <w:p w14:paraId="0D1B0EA9" w14:textId="77777777" w:rsidR="008463F3" w:rsidRPr="000D2C30" w:rsidRDefault="008463F3" w:rsidP="008B085D">
      <w:pPr>
        <w:pStyle w:val="FootnoteText"/>
        <w:jc w:val="both"/>
        <w:rPr>
          <w:rFonts w:cs="Times New Roman"/>
        </w:rPr>
      </w:pPr>
      <w:r w:rsidRPr="000D2C30">
        <w:rPr>
          <w:rStyle w:val="FootnoteReference"/>
          <w:rFonts w:cs="Times New Roman"/>
        </w:rPr>
        <w:footnoteRef/>
      </w:r>
      <w:r w:rsidRPr="000D2C30">
        <w:rPr>
          <w:rFonts w:cs="Times New Roman"/>
        </w:rPr>
        <w:t xml:space="preserve"> </w:t>
      </w:r>
      <w:hyperlink r:id="rId22" w:history="1">
        <w:r w:rsidRPr="0064250D">
          <w:rPr>
            <w:rStyle w:val="Hyperlink"/>
            <w:rFonts w:cs="Times New Roman"/>
            <w:color w:val="auto"/>
            <w:u w:val="none"/>
          </w:rPr>
          <w:t>https://www.satv.tiesa.gov.lv/wp-content/uploads/2025/05/2025_lemums_Saeimas-dep._Valsts_fond_pensiju_lik_-1.pdf</w:t>
        </w:r>
      </w:hyperlink>
      <w:r w:rsidRPr="000D2C30">
        <w:rPr>
          <w:rFonts w:cs="Times New Roman"/>
        </w:rPr>
        <w:t xml:space="preserve"> </w:t>
      </w:r>
    </w:p>
  </w:footnote>
  <w:footnote w:id="63">
    <w:p w14:paraId="620E1E11" w14:textId="77777777" w:rsidR="008463F3" w:rsidRDefault="008463F3" w:rsidP="008B085D">
      <w:pPr>
        <w:pStyle w:val="FootnoteText"/>
        <w:jc w:val="both"/>
      </w:pPr>
      <w:r>
        <w:rPr>
          <w:rStyle w:val="FootnoteReference"/>
        </w:rPr>
        <w:footnoteRef/>
      </w:r>
      <w:r>
        <w:t xml:space="preserve"> </w:t>
      </w:r>
      <w:r w:rsidRPr="000C4109">
        <w:rPr>
          <w:rFonts w:cs="Times New Roman"/>
        </w:rPr>
        <w:t>https://www.satv.tiesa.gov.lv/web/viewer.html?file=/wp-content/uploads/2016/02/2010-21-01_Spriedums.pdf#search=</w:t>
      </w:r>
    </w:p>
  </w:footnote>
  <w:footnote w:id="64">
    <w:p w14:paraId="52A4669D" w14:textId="76B80A9B" w:rsidR="008463F3" w:rsidRPr="000D2C30" w:rsidRDefault="008463F3" w:rsidP="008B085D">
      <w:pPr>
        <w:pStyle w:val="FootnoteText"/>
        <w:jc w:val="both"/>
        <w:rPr>
          <w:rFonts w:cs="Times New Roman"/>
        </w:rPr>
      </w:pPr>
      <w:r w:rsidRPr="000D2C30">
        <w:rPr>
          <w:rStyle w:val="FootnoteReference"/>
          <w:rFonts w:cs="Times New Roman"/>
        </w:rPr>
        <w:footnoteRef/>
      </w:r>
      <w:r w:rsidRPr="000D2C30">
        <w:rPr>
          <w:rFonts w:cs="Times New Roman"/>
        </w:rPr>
        <w:t xml:space="preserve"> Iemaksu likme VFPS 2013.</w:t>
      </w:r>
      <w:r w:rsidR="001416C1">
        <w:rPr>
          <w:rFonts w:cs="Times New Roman"/>
        </w:rPr>
        <w:t>-</w:t>
      </w:r>
      <w:r w:rsidRPr="000D2C30">
        <w:rPr>
          <w:rFonts w:cs="Times New Roman"/>
        </w:rPr>
        <w:t>2014.</w:t>
      </w:r>
      <w:r w:rsidR="008A74D1">
        <w:rPr>
          <w:rFonts w:cs="Times New Roman"/>
        </w:rPr>
        <w:t xml:space="preserve"> </w:t>
      </w:r>
      <w:r w:rsidRPr="000D2C30">
        <w:rPr>
          <w:rFonts w:cs="Times New Roman"/>
        </w:rPr>
        <w:t>gadā bija 4%, 2015. gadā 5%, no 2016. gada un turpmāk attiecīgi 6%.</w:t>
      </w:r>
    </w:p>
  </w:footnote>
  <w:footnote w:id="65">
    <w:p w14:paraId="59CA9F3E" w14:textId="77777777" w:rsidR="004A3446" w:rsidRDefault="00E94E31" w:rsidP="004A2E8B">
      <w:pPr>
        <w:pStyle w:val="FootnoteText"/>
      </w:pPr>
      <w:r>
        <w:rPr>
          <w:rStyle w:val="FootnoteReference"/>
        </w:rPr>
        <w:footnoteRef/>
      </w:r>
      <w:r>
        <w:t xml:space="preserve"> </w:t>
      </w:r>
      <w:r w:rsidR="004A3446" w:rsidRPr="008E0289">
        <w:t>https://assets.airbaltic.com/f/236210/x/fb98aa1453/air-baltic-corporation-as-gada-parskats-2024.pdf?_gl=1*1i4g2j0*_gcl_au*MTg1MDc4MTQ5MS4xNzQxODU4NTQ5</w:t>
      </w:r>
    </w:p>
    <w:p w14:paraId="0F6F9119" w14:textId="4D4C0170" w:rsidR="00E94E31" w:rsidRDefault="00E94E31">
      <w:pPr>
        <w:pStyle w:val="FootnoteText"/>
      </w:pPr>
    </w:p>
  </w:footnote>
  <w:footnote w:id="66">
    <w:p w14:paraId="382824AA" w14:textId="10884307" w:rsidR="00404DE0" w:rsidRPr="00962A15" w:rsidRDefault="00404DE0" w:rsidP="008B085D">
      <w:pPr>
        <w:pStyle w:val="FootnoteText"/>
        <w:jc w:val="both"/>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Ar Valsts kontroles </w:t>
      </w:r>
      <w:r w:rsidR="00E94E31">
        <w:rPr>
          <w:rFonts w:eastAsia="Times New Roman" w:cs="Times New Roman"/>
          <w:color w:val="000000" w:themeColor="text1"/>
        </w:rPr>
        <w:t>ziņojums “Ieguldījumi Satiksmes ministrijas aviācijas nozares kapitālsabiedrībās Covid-19 krīzes seku mazināšanai”, pieejams</w:t>
      </w:r>
      <w:r w:rsidR="469479B5" w:rsidRPr="00962A15">
        <w:rPr>
          <w:rFonts w:eastAsia="Times New Roman" w:cs="Times New Roman"/>
          <w:color w:val="000000" w:themeColor="text1"/>
        </w:rPr>
        <w:t xml:space="preserve">: </w:t>
      </w:r>
      <w:hyperlink r:id="rId23" w:history="1">
        <w:r w:rsidR="00F63773">
          <w:rPr>
            <w:rStyle w:val="Hyperlink"/>
            <w:rFonts w:eastAsia="Times New Roman" w:cs="Times New Roman"/>
            <w:color w:val="000000" w:themeColor="text1"/>
            <w:u w:val="none"/>
          </w:rPr>
          <w:t>https://www.lrvk.gov.lv/lv/getrevisionfile/29569-ZIYN4tzL94W87f9rsq-_QZrt_Qira4Qw.pdf</w:t>
        </w:r>
      </w:hyperlink>
    </w:p>
  </w:footnote>
  <w:footnote w:id="67">
    <w:p w14:paraId="26D666C2" w14:textId="14948DB9" w:rsidR="00BC437C" w:rsidRPr="00962A15" w:rsidRDefault="00BC437C" w:rsidP="008B085D">
      <w:pPr>
        <w:pStyle w:val="FootnoteText"/>
        <w:jc w:val="both"/>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https://www.sam.gov.lv/lv/air-baltic-corporation</w:t>
      </w:r>
    </w:p>
  </w:footnote>
  <w:footnote w:id="68">
    <w:p w14:paraId="1F90513C" w14:textId="1EFAB473" w:rsidR="00BC437C" w:rsidRPr="00962A15" w:rsidRDefault="00BC437C" w:rsidP="008B085D">
      <w:pPr>
        <w:pStyle w:val="FootnoteText"/>
        <w:jc w:val="both"/>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https://tapportals.mk.gov.lv/legal_acts/4b9dbfeb-42f0-4e12-b366-30c7bc7b2f59</w:t>
      </w:r>
    </w:p>
  </w:footnote>
  <w:footnote w:id="69">
    <w:p w14:paraId="1660566E" w14:textId="3549E8CA" w:rsidR="005F5759" w:rsidRPr="005F5759" w:rsidRDefault="005F5759" w:rsidP="008B085D">
      <w:pPr>
        <w:pStyle w:val="FootnoteText"/>
        <w:jc w:val="both"/>
      </w:pPr>
      <w:r w:rsidRPr="00962A15">
        <w:rPr>
          <w:rStyle w:val="FootnoteReference"/>
          <w:color w:val="000000" w:themeColor="text1"/>
        </w:rPr>
        <w:footnoteRef/>
      </w:r>
      <w:r w:rsidRPr="00962A15">
        <w:rPr>
          <w:color w:val="000000" w:themeColor="text1"/>
        </w:rPr>
        <w:t xml:space="preserve"> </w:t>
      </w:r>
      <w:hyperlink r:id="rId24" w:history="1">
        <w:r>
          <w:rPr>
            <w:rStyle w:val="Hyperlink"/>
            <w:color w:val="000000" w:themeColor="text1"/>
            <w:u w:val="none"/>
          </w:rPr>
          <w:t>https://www.saeima.lv/lv/aktualitates/saeimas-zinas/33448-saeima-dod-atlauju-valstij-iegadaties-air-baltic-vertspapirus</w:t>
        </w:r>
      </w:hyperlink>
    </w:p>
  </w:footnote>
  <w:footnote w:id="70">
    <w:p w14:paraId="15892FDD" w14:textId="77777777" w:rsidR="006838A8" w:rsidRDefault="006838A8" w:rsidP="00855E7A">
      <w:pPr>
        <w:pStyle w:val="FootnoteText"/>
        <w:jc w:val="both"/>
      </w:pPr>
      <w:r>
        <w:rPr>
          <w:rStyle w:val="FootnoteReference"/>
        </w:rPr>
        <w:footnoteRef/>
      </w:r>
      <w:r>
        <w:t xml:space="preserve"> </w:t>
      </w:r>
      <w:r w:rsidRPr="008E0289">
        <w:t>https://assets.airbaltic.com/f/236210/x/fb98aa1453/air-baltic-corporation-as-gada-parskats-2024.pdf?_gl=1*1i4g2j0*_gcl_au*MTg1MDc4MTQ5MS4xNzQxODU4NTQ5</w:t>
      </w:r>
    </w:p>
  </w:footnote>
  <w:footnote w:id="71">
    <w:p w14:paraId="09E7C9C4" w14:textId="17C73CFD" w:rsidR="003F7C95" w:rsidRDefault="003F7C95" w:rsidP="008B085D">
      <w:pPr>
        <w:pStyle w:val="FootnoteText"/>
        <w:jc w:val="both"/>
      </w:pPr>
      <w:r>
        <w:rPr>
          <w:rStyle w:val="FootnoteReference"/>
        </w:rPr>
        <w:footnoteRef/>
      </w:r>
      <w:r>
        <w:t xml:space="preserve"> </w:t>
      </w:r>
      <w:hyperlink r:id="rId25" w:history="1">
        <w:r w:rsidRPr="004A3446">
          <w:rPr>
            <w:rStyle w:val="Hyperlink"/>
            <w:color w:val="auto"/>
            <w:u w:val="none"/>
          </w:rPr>
          <w:t>https://company.airbaltic.com/lv/preses-telpa?press=2025/lufthansa-grupa-iegadajas-mazakuma-dalu-airbaltic</w:t>
        </w:r>
      </w:hyperlink>
      <w:r w:rsidRPr="00DF7D7B">
        <w:t xml:space="preserve"> </w:t>
      </w:r>
    </w:p>
  </w:footnote>
  <w:footnote w:id="72">
    <w:p w14:paraId="2902532E" w14:textId="5F77F937" w:rsidR="003F7C95" w:rsidRDefault="003F7C95" w:rsidP="008B085D">
      <w:pPr>
        <w:pStyle w:val="FootnoteText"/>
        <w:jc w:val="both"/>
      </w:pPr>
      <w:r>
        <w:rPr>
          <w:rStyle w:val="FootnoteReference"/>
        </w:rPr>
        <w:footnoteRef/>
      </w:r>
      <w:hyperlink r:id="rId26" w:history="1">
        <w:r w:rsidR="00436923" w:rsidRPr="001F4E1C">
          <w:rPr>
            <w:rStyle w:val="Hyperlink"/>
            <w:color w:val="auto"/>
            <w:u w:val="none"/>
          </w:rPr>
          <w:t>https://www.lsm.lv/raksts/zinas/ekonomika/30.06.2025-vacijas-konkurences-uzraugs-lauj-lufthansa-iegadaties-10-no-airbaltic.a605010/</w:t>
        </w:r>
      </w:hyperlink>
      <w:r w:rsidRPr="001F4E1C">
        <w:t xml:space="preserve"> </w:t>
      </w:r>
    </w:p>
  </w:footnote>
  <w:footnote w:id="73">
    <w:p w14:paraId="18ADDDAC" w14:textId="77777777" w:rsidR="00282C96" w:rsidRDefault="00282C96" w:rsidP="00855E7A">
      <w:pPr>
        <w:pStyle w:val="FootnoteText"/>
        <w:jc w:val="both"/>
      </w:pPr>
      <w:r>
        <w:rPr>
          <w:rStyle w:val="FootnoteReference"/>
        </w:rPr>
        <w:footnoteRef/>
      </w:r>
      <w:r>
        <w:t xml:space="preserve"> </w:t>
      </w:r>
      <w:r w:rsidRPr="00282C96">
        <w:t>https://assets.airbaltic.com/f/236210/x/876cc26426/q1-2025-airbaltic-group-interim-unaudited-financial-statements.pdf?_gl=1*16ivo9t*_gcl_au*MTgwMTYzMDAzNi4xNzUzMDkyMTU1</w:t>
      </w:r>
    </w:p>
  </w:footnote>
  <w:footnote w:id="74">
    <w:p w14:paraId="339ABFFB" w14:textId="0F137096" w:rsidR="006F38A4" w:rsidRPr="00AD17EA" w:rsidRDefault="006F38A4">
      <w:pPr>
        <w:pStyle w:val="FootnoteText"/>
      </w:pPr>
      <w:r>
        <w:rPr>
          <w:rStyle w:val="FootnoteReference"/>
        </w:rPr>
        <w:footnoteRef/>
      </w:r>
      <w:r>
        <w:t xml:space="preserve"> </w:t>
      </w:r>
      <w:hyperlink r:id="rId27" w:history="1">
        <w:r w:rsidRPr="006B5B34">
          <w:rPr>
            <w:rStyle w:val="Hyperlink"/>
            <w:color w:val="auto"/>
            <w:u w:val="none"/>
          </w:rPr>
          <w:t>https://www.sam.gov.lv/lv/jaunums/valdiba-atbalsta-latvijas-gaisa-satiksmes-pamatkapitala-palielinasanu-krizes-parvaresanai</w:t>
        </w:r>
      </w:hyperlink>
    </w:p>
  </w:footnote>
  <w:footnote w:id="75">
    <w:p w14:paraId="0F77EED9" w14:textId="6DB26797" w:rsidR="001F33C9" w:rsidRDefault="001F33C9">
      <w:pPr>
        <w:pStyle w:val="FootnoteText"/>
      </w:pPr>
      <w:r w:rsidRPr="00AD17EA">
        <w:rPr>
          <w:rStyle w:val="FootnoteReference"/>
        </w:rPr>
        <w:footnoteRef/>
      </w:r>
      <w:r w:rsidRPr="00AD17EA">
        <w:t xml:space="preserve"> </w:t>
      </w:r>
      <w:r w:rsidR="00AD17EA" w:rsidRPr="00AD17EA">
        <w:t>https://www.riga-airport.com/lv/media/3494/download</w:t>
      </w:r>
    </w:p>
  </w:footnote>
  <w:footnote w:id="76">
    <w:p w14:paraId="236F525A" w14:textId="77777777" w:rsidR="00497710" w:rsidRPr="00962A15" w:rsidRDefault="00497710" w:rsidP="469479B5">
      <w:pPr>
        <w:pStyle w:val="FootnoteText"/>
        <w:jc w:val="both"/>
        <w:rPr>
          <w:lang w:val="en-GB"/>
        </w:rPr>
      </w:pPr>
      <w:r w:rsidRPr="00962A15">
        <w:rPr>
          <w:rStyle w:val="FootnoteReference"/>
          <w:rFonts w:eastAsia="Times New Roman" w:cs="Times New Roman"/>
          <w:lang w:val="en-GB"/>
        </w:rPr>
        <w:footnoteRef/>
      </w:r>
      <w:r w:rsidR="469479B5" w:rsidRPr="00962A15">
        <w:rPr>
          <w:rFonts w:eastAsia="Times New Roman" w:cs="Times New Roman"/>
          <w:lang w:val="en-GB"/>
        </w:rPr>
        <w:t xml:space="preserve"> </w:t>
      </w:r>
      <w:r w:rsidR="469479B5" w:rsidRPr="00962A15">
        <w:rPr>
          <w:rFonts w:eastAsia="Times New Roman" w:cs="Times New Roman"/>
          <w:color w:val="000000" w:themeColor="text1"/>
          <w:shd w:val="clear" w:color="auto" w:fill="FFFFFF"/>
          <w:lang w:val="en-GB"/>
        </w:rPr>
        <w:t xml:space="preserve">Willems T., Zettelmeyer J., 2022. </w:t>
      </w:r>
      <w:r w:rsidR="469479B5" w:rsidRPr="00962A15">
        <w:rPr>
          <w:rFonts w:eastAsia="Times New Roman" w:cs="Times New Roman"/>
          <w:i/>
          <w:iCs/>
          <w:color w:val="000000" w:themeColor="text1"/>
          <w:shd w:val="clear" w:color="auto" w:fill="FFFFFF"/>
          <w:lang w:val="en-GB"/>
        </w:rPr>
        <w:t xml:space="preserve">Sovereign Debt Sustainability and Central Bank Credibility. </w:t>
      </w:r>
      <w:r w:rsidR="469479B5" w:rsidRPr="00962A15">
        <w:rPr>
          <w:rFonts w:eastAsia="Times New Roman" w:cs="Times New Roman"/>
          <w:color w:val="000000" w:themeColor="text1"/>
          <w:shd w:val="clear" w:color="auto" w:fill="FFFFFF"/>
          <w:lang w:val="en-GB"/>
        </w:rPr>
        <w:t>International</w:t>
      </w:r>
      <w:r w:rsidR="469479B5" w:rsidRPr="00962A15">
        <w:rPr>
          <w:rFonts w:eastAsia="Times New Roman" w:cs="Times New Roman"/>
          <w:i/>
          <w:iCs/>
          <w:color w:val="000000" w:themeColor="text1"/>
          <w:shd w:val="clear" w:color="auto" w:fill="FFFFFF"/>
          <w:lang w:val="en-GB"/>
        </w:rPr>
        <w:t xml:space="preserve"> </w:t>
      </w:r>
      <w:r w:rsidR="469479B5" w:rsidRPr="00962A15">
        <w:rPr>
          <w:rFonts w:eastAsia="Times New Roman" w:cs="Times New Roman"/>
          <w:color w:val="000000" w:themeColor="text1"/>
          <w:shd w:val="clear" w:color="auto" w:fill="FFFFFF"/>
          <w:lang w:val="en-GB"/>
        </w:rPr>
        <w:t>Monetary Fund, Vol.2022, Issue 016</w:t>
      </w:r>
    </w:p>
  </w:footnote>
  <w:footnote w:id="77">
    <w:p w14:paraId="0AFDC9BD" w14:textId="0A57EF6E" w:rsidR="00497710" w:rsidRPr="00962A15" w:rsidRDefault="00497710" w:rsidP="469479B5">
      <w:pPr>
        <w:pStyle w:val="FootnoteText"/>
        <w:jc w:val="both"/>
        <w:rPr>
          <w:lang w:val="en-US"/>
        </w:rPr>
      </w:pPr>
      <w:r w:rsidRPr="00962A15">
        <w:rPr>
          <w:rStyle w:val="FootnoteReference"/>
          <w:rFonts w:eastAsia="Times New Roman" w:cs="Times New Roman"/>
          <w:lang w:val="en-US"/>
        </w:rPr>
        <w:footnoteRef/>
      </w:r>
      <w:r w:rsidR="469479B5" w:rsidRPr="00962A15">
        <w:rPr>
          <w:rFonts w:eastAsia="Times New Roman" w:cs="Times New Roman"/>
          <w:lang w:val="en-US"/>
        </w:rPr>
        <w:t xml:space="preserve"> </w:t>
      </w:r>
      <w:r w:rsidR="469479B5" w:rsidRPr="00962A15">
        <w:rPr>
          <w:rFonts w:eastAsia="Times New Roman" w:cs="Times New Roman"/>
          <w:color w:val="000000" w:themeColor="text1"/>
          <w:lang w:val="en-US"/>
        </w:rPr>
        <w:t xml:space="preserve">Eurostat, </w:t>
      </w:r>
      <w:r w:rsidR="00AE3668" w:rsidRPr="00962A15">
        <w:rPr>
          <w:rFonts w:eastAsia="Times New Roman" w:cs="Times New Roman"/>
          <w:color w:val="000000" w:themeColor="text1"/>
          <w:lang w:val="en-US"/>
        </w:rPr>
        <w:t>202</w:t>
      </w:r>
      <w:r w:rsidR="00AE3668">
        <w:rPr>
          <w:rFonts w:eastAsia="Times New Roman" w:cs="Times New Roman"/>
          <w:color w:val="000000" w:themeColor="text1"/>
          <w:lang w:val="en-US"/>
        </w:rPr>
        <w:t>5</w:t>
      </w:r>
      <w:r w:rsidR="469479B5" w:rsidRPr="00962A15">
        <w:rPr>
          <w:rFonts w:eastAsia="Times New Roman" w:cs="Times New Roman"/>
          <w:color w:val="000000" w:themeColor="text1"/>
          <w:lang w:val="en-US"/>
        </w:rPr>
        <w:t xml:space="preserve">. Stock-flow adjustment for the Member States, the euro area and the EU, for the period </w:t>
      </w:r>
      <w:r w:rsidR="00AE3668" w:rsidRPr="00962A15">
        <w:rPr>
          <w:rFonts w:eastAsia="Times New Roman" w:cs="Times New Roman"/>
          <w:color w:val="000000" w:themeColor="text1"/>
          <w:lang w:val="en-US"/>
        </w:rPr>
        <w:t>20</w:t>
      </w:r>
      <w:r w:rsidR="00AE3668">
        <w:rPr>
          <w:rFonts w:eastAsia="Times New Roman" w:cs="Times New Roman"/>
          <w:color w:val="000000" w:themeColor="text1"/>
          <w:lang w:val="en-US"/>
        </w:rPr>
        <w:t>21</w:t>
      </w:r>
      <w:r w:rsidR="469479B5" w:rsidRPr="00962A15">
        <w:rPr>
          <w:rFonts w:eastAsia="Times New Roman" w:cs="Times New Roman"/>
          <w:color w:val="000000" w:themeColor="text1"/>
          <w:lang w:val="en-US"/>
        </w:rPr>
        <w:t>-</w:t>
      </w:r>
      <w:r w:rsidR="00AE3668" w:rsidRPr="00962A15">
        <w:rPr>
          <w:rFonts w:eastAsia="Times New Roman" w:cs="Times New Roman"/>
          <w:color w:val="000000" w:themeColor="text1"/>
          <w:lang w:val="en-US"/>
        </w:rPr>
        <w:t>20</w:t>
      </w:r>
      <w:r w:rsidR="00AE3668">
        <w:rPr>
          <w:rFonts w:eastAsia="Times New Roman" w:cs="Times New Roman"/>
          <w:color w:val="000000" w:themeColor="text1"/>
          <w:lang w:val="en-US"/>
        </w:rPr>
        <w:t xml:space="preserve">24, pieejams: </w:t>
      </w:r>
      <w:r w:rsidR="00AE3668" w:rsidRPr="00AE3668">
        <w:rPr>
          <w:rFonts w:eastAsia="Times New Roman" w:cs="Times New Roman"/>
          <w:color w:val="000000" w:themeColor="text1"/>
          <w:lang w:val="en-US"/>
        </w:rPr>
        <w:t>https://ec.europa.eu/eurostat/documents/1015035/21393967/EDP+Notif+-+2025+Apr+-+SFA.pdf/a03bb63f-c8f8-f583-6842-c01a3aaaeba3?t=1744894071927</w:t>
      </w:r>
      <w:r w:rsidR="00AE3668">
        <w:rPr>
          <w:rFonts w:eastAsia="Times New Roman" w:cs="Times New Roman"/>
          <w:color w:val="000000" w:themeColor="text1"/>
          <w:lang w:val="en-US"/>
        </w:rPr>
        <w:t xml:space="preserve"> </w:t>
      </w:r>
    </w:p>
  </w:footnote>
  <w:footnote w:id="78">
    <w:p w14:paraId="2D33A8C2" w14:textId="238BA73E" w:rsidR="0006210D" w:rsidRPr="003B75CE" w:rsidRDefault="0006210D" w:rsidP="00855E7A">
      <w:pPr>
        <w:pStyle w:val="FootnoteText"/>
        <w:jc w:val="both"/>
      </w:pPr>
      <w:r w:rsidRPr="003B75CE">
        <w:rPr>
          <w:rStyle w:val="FootnoteReference"/>
        </w:rPr>
        <w:footnoteRef/>
      </w:r>
      <w:r w:rsidRPr="003B75CE">
        <w:t xml:space="preserve"> </w:t>
      </w:r>
      <w:r w:rsidRPr="003B75CE">
        <w:rPr>
          <w:rFonts w:eastAsia="Times New Roman" w:cs="Times New Roman"/>
        </w:rPr>
        <w:t xml:space="preserve">Parāda ilgtspējas ziņojums </w:t>
      </w:r>
      <w:r w:rsidR="0094479B" w:rsidRPr="003B75CE">
        <w:rPr>
          <w:rFonts w:eastAsia="Times New Roman" w:cs="Times New Roman"/>
        </w:rPr>
        <w:t>202</w:t>
      </w:r>
      <w:r w:rsidR="0094479B">
        <w:rPr>
          <w:rFonts w:eastAsia="Times New Roman" w:cs="Times New Roman"/>
        </w:rPr>
        <w:t>4</w:t>
      </w:r>
      <w:r w:rsidRPr="003B75CE">
        <w:rPr>
          <w:rFonts w:eastAsia="Times New Roman" w:cs="Times New Roman"/>
        </w:rPr>
        <w:t xml:space="preserve">, pieejams: </w:t>
      </w:r>
      <w:r w:rsidR="0094479B" w:rsidRPr="0094479B">
        <w:rPr>
          <w:rFonts w:eastAsia="Times New Roman" w:cs="Times New Roman"/>
        </w:rPr>
        <w:t>https://economy-finance.ec.europa.eu/publications/debt-sustainability-monitor-2024_en</w:t>
      </w:r>
    </w:p>
  </w:footnote>
  <w:footnote w:id="79">
    <w:p w14:paraId="6DAEC313" w14:textId="77777777" w:rsidR="00E674C0" w:rsidRDefault="00E674C0" w:rsidP="008B085D">
      <w:pPr>
        <w:pStyle w:val="FootnoteText"/>
        <w:jc w:val="both"/>
      </w:pPr>
      <w:r w:rsidRPr="003B75CE">
        <w:rPr>
          <w:rStyle w:val="FootnoteReference"/>
          <w:rFonts w:eastAsia="Times New Roman" w:cs="Times New Roman"/>
        </w:rPr>
        <w:footnoteRef/>
      </w:r>
      <w:r w:rsidR="469479B5" w:rsidRPr="003B75CE">
        <w:rPr>
          <w:rFonts w:eastAsia="Times New Roman" w:cs="Times New Roman"/>
        </w:rPr>
        <w:t xml:space="preserve"> Valsts parāda sniega bumbas efekts veidojas, ja pastāv starpība starp efektīvo procentu likmi un ekonomikas izaugsmes tempu, t.i., ja efektīvā procentu likme ir augstāka (zemāka) kā ekonomikas izaugsmes temps, tad pie nemainīgas primārās budžeta bilances, valsts parāds automātiski pieaug (samazinās).</w:t>
      </w:r>
    </w:p>
  </w:footnote>
  <w:footnote w:id="80">
    <w:p w14:paraId="325D10EE" w14:textId="39AE24BC" w:rsidR="004E162A" w:rsidRDefault="004E162A" w:rsidP="00855E7A">
      <w:pPr>
        <w:pStyle w:val="FootnoteText"/>
        <w:jc w:val="both"/>
      </w:pPr>
      <w:r>
        <w:rPr>
          <w:rStyle w:val="FootnoteReference"/>
        </w:rPr>
        <w:footnoteRef/>
      </w:r>
      <w:r>
        <w:t xml:space="preserve"> </w:t>
      </w:r>
      <w:r w:rsidRPr="00E37140">
        <w:rPr>
          <w:rFonts w:eastAsia="Times New Roman" w:cs="Times New Roman"/>
          <w:color w:val="212529"/>
        </w:rPr>
        <w:t xml:space="preserve">2025. gada </w:t>
      </w:r>
      <w:r w:rsidR="009852DC">
        <w:rPr>
          <w:rFonts w:eastAsia="Times New Roman" w:cs="Times New Roman"/>
          <w:color w:val="212529"/>
        </w:rPr>
        <w:t>13</w:t>
      </w:r>
      <w:r w:rsidRPr="00E37140">
        <w:rPr>
          <w:rFonts w:eastAsia="Times New Roman" w:cs="Times New Roman"/>
          <w:color w:val="212529"/>
        </w:rPr>
        <w:t xml:space="preserve">. </w:t>
      </w:r>
      <w:r w:rsidR="009852DC">
        <w:rPr>
          <w:rFonts w:eastAsia="Times New Roman" w:cs="Times New Roman"/>
          <w:color w:val="212529"/>
        </w:rPr>
        <w:t>maija</w:t>
      </w:r>
      <w:r w:rsidRPr="00E37140">
        <w:rPr>
          <w:rFonts w:eastAsia="Times New Roman" w:cs="Times New Roman"/>
          <w:color w:val="212529"/>
        </w:rPr>
        <w:t xml:space="preserve"> sēdes prot. Nr.</w:t>
      </w:r>
      <w:r w:rsidR="009852DC">
        <w:rPr>
          <w:rFonts w:eastAsia="Times New Roman" w:cs="Times New Roman"/>
          <w:color w:val="212529"/>
        </w:rPr>
        <w:t>19</w:t>
      </w:r>
      <w:r w:rsidRPr="00E37140">
        <w:rPr>
          <w:rFonts w:eastAsia="Times New Roman" w:cs="Times New Roman"/>
          <w:color w:val="212529"/>
        </w:rPr>
        <w:t xml:space="preserve"> </w:t>
      </w:r>
      <w:r w:rsidR="009852DC">
        <w:rPr>
          <w:rFonts w:eastAsia="Times New Roman" w:cs="Times New Roman"/>
          <w:color w:val="212529"/>
        </w:rPr>
        <w:t>50</w:t>
      </w:r>
      <w:r w:rsidRPr="00E37140">
        <w:rPr>
          <w:rFonts w:eastAsia="Times New Roman" w:cs="Times New Roman"/>
          <w:color w:val="212529"/>
        </w:rPr>
        <w:t>.§</w:t>
      </w:r>
    </w:p>
  </w:footnote>
  <w:footnote w:id="81">
    <w:p w14:paraId="39FEEEFB" w14:textId="371D8450" w:rsidR="009879EB" w:rsidRDefault="009879EB" w:rsidP="469479B5">
      <w:pPr>
        <w:pStyle w:val="FootnoteText"/>
      </w:pPr>
      <w:r w:rsidRPr="00940337">
        <w:rPr>
          <w:rStyle w:val="FootnoteReference"/>
          <w:rFonts w:eastAsia="Times New Roman" w:cs="Times New Roman"/>
        </w:rPr>
        <w:footnoteRef/>
      </w:r>
      <w:r w:rsidR="469479B5" w:rsidRPr="00940337">
        <w:rPr>
          <w:rFonts w:eastAsia="Times New Roman" w:cs="Times New Roman"/>
        </w:rPr>
        <w:t xml:space="preserve"> ANO, 2020. </w:t>
      </w:r>
      <w:r w:rsidR="469479B5" w:rsidRPr="00940337">
        <w:rPr>
          <w:rFonts w:eastAsia="Times New Roman" w:cs="Times New Roman"/>
          <w:i/>
          <w:iCs/>
        </w:rPr>
        <w:t>The Climate Crisis – A Race We Can Win.</w:t>
      </w:r>
    </w:p>
  </w:footnote>
  <w:footnote w:id="82">
    <w:p w14:paraId="39DC4362" w14:textId="77777777" w:rsidR="00B74405" w:rsidRPr="00F544C4" w:rsidRDefault="00B74405" w:rsidP="00B74405">
      <w:pPr>
        <w:pStyle w:val="FootnoteText"/>
      </w:pPr>
      <w:r w:rsidRPr="00F544C4">
        <w:rPr>
          <w:rStyle w:val="FootnoteReference"/>
        </w:rPr>
        <w:footnoteRef/>
      </w:r>
      <w:r w:rsidRPr="00F544C4">
        <w:t xml:space="preserve"> https://www.imf.org/en/Topics/fiscal-policies/Fiscal-Risks/Fiscal-Risks-Toolkit/Fiscal-Risks-Toolkit-Q-Craft</w:t>
      </w:r>
    </w:p>
  </w:footnote>
  <w:footnote w:id="83">
    <w:p w14:paraId="5211DCC5" w14:textId="109D930B" w:rsidR="00B74405" w:rsidRDefault="00B74405" w:rsidP="00855E7A">
      <w:pPr>
        <w:pStyle w:val="FootnoteText"/>
        <w:jc w:val="both"/>
      </w:pPr>
      <w:r w:rsidRPr="00F544C4">
        <w:rPr>
          <w:rStyle w:val="FootnoteReference"/>
        </w:rPr>
        <w:footnoteRef/>
      </w:r>
      <w:r w:rsidRPr="00F544C4">
        <w:t xml:space="preserve"> Modelis neņem vērā otrās kārtas efektus, piemērām, izdevumu/ienākumu izmaiņu ietekmi uz produktivitāti un citiem parametriem.</w:t>
      </w:r>
    </w:p>
  </w:footnote>
  <w:footnote w:id="84">
    <w:p w14:paraId="1A6EAD1A" w14:textId="77777777" w:rsidR="00915D57" w:rsidRDefault="00915D57" w:rsidP="00855E7A">
      <w:pPr>
        <w:pStyle w:val="FootnoteText"/>
        <w:jc w:val="both"/>
      </w:pPr>
      <w:r w:rsidRPr="00B6132C">
        <w:rPr>
          <w:rStyle w:val="FootnoteReference"/>
        </w:rPr>
        <w:footnoteRef/>
      </w:r>
      <w:r w:rsidRPr="00B6132C">
        <w:t xml:space="preserve"> Q-CRAFT modelis izmanto (globālus) SSP (</w:t>
      </w:r>
      <w:r w:rsidRPr="004F5114">
        <w:rPr>
          <w:i/>
          <w:iCs/>
        </w:rPr>
        <w:t>Shared Socioeconomic Pathways</w:t>
      </w:r>
      <w:r w:rsidRPr="00B6132C">
        <w:t>) scenārijus, kuri ir minēti ANO Klimata pārmaiņu starpvaldību padome (IPCC) Sestā novērtējuma ziņojumā</w:t>
      </w:r>
      <w:r>
        <w:t xml:space="preserve">. </w:t>
      </w:r>
    </w:p>
  </w:footnote>
  <w:footnote w:id="85">
    <w:p w14:paraId="0665EDF5" w14:textId="440B9AFE" w:rsidR="00B74405" w:rsidRDefault="00B74405" w:rsidP="00855E7A">
      <w:pPr>
        <w:pStyle w:val="FootnoteText"/>
        <w:jc w:val="both"/>
      </w:pPr>
      <w:r>
        <w:rPr>
          <w:rStyle w:val="FootnoteReference"/>
        </w:rPr>
        <w:footnoteRef/>
      </w:r>
      <w:r>
        <w:t xml:space="preserve"> </w:t>
      </w:r>
      <w:r w:rsidRPr="006234EA">
        <w:t>https://www.fm.gov.lv/lv/tautsaimniecibas-analize</w:t>
      </w:r>
      <w:r>
        <w:t xml:space="preserve"> </w:t>
      </w:r>
    </w:p>
  </w:footnote>
  <w:footnote w:id="86">
    <w:p w14:paraId="0F668BE0" w14:textId="4F453470" w:rsidR="00B74405" w:rsidRPr="00E9469F" w:rsidRDefault="00B74405" w:rsidP="00855E7A">
      <w:pPr>
        <w:pStyle w:val="FootnoteText"/>
        <w:jc w:val="both"/>
      </w:pPr>
      <w:r w:rsidRPr="00E9469F">
        <w:rPr>
          <w:rStyle w:val="FootnoteReference"/>
        </w:rPr>
        <w:footnoteRef/>
      </w:r>
      <w:r w:rsidRPr="00E9469F">
        <w:t xml:space="preserve"> </w:t>
      </w:r>
      <w:r w:rsidR="00830023">
        <w:t>I</w:t>
      </w:r>
      <w:r w:rsidR="00D71C41" w:rsidRPr="00D71C41">
        <w:t>nformatīva</w:t>
      </w:r>
      <w:r w:rsidR="00D71C41">
        <w:t>is</w:t>
      </w:r>
      <w:r w:rsidR="00D71C41" w:rsidRPr="00D71C41">
        <w:t xml:space="preserve"> ziņojum</w:t>
      </w:r>
      <w:r w:rsidR="00D71C41">
        <w:t>s</w:t>
      </w:r>
      <w:r w:rsidR="00D71C41" w:rsidRPr="00D71C41">
        <w:t xml:space="preserve"> “Par makroekonomisko rādītāju, ieņēmumu un vispārējās valdības budžeta bilances prognozēm 2026., 2027., 2028. un 2029. gadā”</w:t>
      </w:r>
      <w:r w:rsidR="00D71C41">
        <w:t>, kas tiek virzīts apstiprināšanai MK 2025. gada 19. augusta sēdē</w:t>
      </w:r>
      <w:r w:rsidR="00830023">
        <w:t>.</w:t>
      </w:r>
    </w:p>
  </w:footnote>
  <w:footnote w:id="87">
    <w:p w14:paraId="6C10C8DE" w14:textId="77777777" w:rsidR="00B74405" w:rsidRDefault="00B74405" w:rsidP="00855E7A">
      <w:pPr>
        <w:pStyle w:val="FootnoteText"/>
        <w:jc w:val="both"/>
      </w:pPr>
      <w:r>
        <w:rPr>
          <w:rStyle w:val="FootnoteReference"/>
        </w:rPr>
        <w:footnoteRef/>
      </w:r>
      <w:r>
        <w:t xml:space="preserve"> </w:t>
      </w:r>
      <w:r w:rsidRPr="00873BAC">
        <w:t>ANO iedzīvotāju skaita prognoz</w:t>
      </w:r>
      <w:r>
        <w:t>es</w:t>
      </w:r>
      <w:r w:rsidRPr="00873BAC">
        <w:t xml:space="preserve"> līdz 2100. gadam</w:t>
      </w:r>
      <w:r>
        <w:t xml:space="preserve">, variants </w:t>
      </w:r>
      <w:r w:rsidRPr="00873BAC">
        <w:t>“medium” – 2100. gadā iedzīvotāju skaits ir 954 tūkst. un darbspējīga vecumā ir 521 tūkst. iedzīvotāji.</w:t>
      </w:r>
    </w:p>
  </w:footnote>
  <w:footnote w:id="88">
    <w:p w14:paraId="5AF6EB33" w14:textId="63CECEA2" w:rsidR="00B74405" w:rsidRDefault="00B74405" w:rsidP="00855E7A">
      <w:pPr>
        <w:pStyle w:val="FootnoteText"/>
        <w:jc w:val="both"/>
      </w:pPr>
      <w:r>
        <w:rPr>
          <w:rStyle w:val="FootnoteReference"/>
        </w:rPr>
        <w:footnoteRef/>
      </w:r>
      <w:r>
        <w:t xml:space="preserve"> No </w:t>
      </w:r>
      <w:r w:rsidRPr="00BA4F79">
        <w:t>Starptautiska Valūtas fonda Pasaules ekonomikas perspektīvas (</w:t>
      </w:r>
      <w:r w:rsidRPr="005C3B1D">
        <w:rPr>
          <w:i/>
          <w:iCs/>
        </w:rPr>
        <w:t>angl. IMF WEO</w:t>
      </w:r>
      <w:r w:rsidRPr="00BA4F79">
        <w:t>) datubāzes</w:t>
      </w:r>
      <w:r w:rsidR="00830023">
        <w:t>.</w:t>
      </w:r>
    </w:p>
  </w:footnote>
  <w:footnote w:id="89">
    <w:p w14:paraId="4DA9FBC9" w14:textId="77777777" w:rsidR="00B74405" w:rsidRDefault="00B74405" w:rsidP="00855E7A">
      <w:pPr>
        <w:pStyle w:val="FootnoteText"/>
        <w:jc w:val="both"/>
      </w:pPr>
      <w:r>
        <w:rPr>
          <w:rStyle w:val="FootnoteReference"/>
        </w:rPr>
        <w:footnoteRef/>
      </w:r>
      <w:r>
        <w:t xml:space="preserve"> </w:t>
      </w:r>
      <w:r w:rsidRPr="008555C2">
        <w:t>IPCC, Climate Change 2021: The Physical Science Basis,</w:t>
      </w:r>
      <w:r w:rsidRPr="00062AA0">
        <w:t xml:space="preserve"> </w:t>
      </w:r>
      <w:hyperlink r:id="rId28" w:tgtFrame="_blank" w:tooltip="https://www.ipcc.ch/report/ar6/wg1/" w:history="1">
        <w:r w:rsidRPr="001F4E1C">
          <w:rPr>
            <w:rStyle w:val="Hyperlink"/>
            <w:color w:val="auto"/>
            <w:u w:val="none"/>
          </w:rPr>
          <w:t>https://www.ipcc.ch/report/ar6/wg1/</w:t>
        </w:r>
      </w:hyperlink>
    </w:p>
  </w:footnote>
  <w:footnote w:id="90">
    <w:p w14:paraId="0D2D3C51" w14:textId="77777777" w:rsidR="00B74405" w:rsidRDefault="00B74405" w:rsidP="00855E7A">
      <w:pPr>
        <w:pStyle w:val="FootnoteText"/>
        <w:jc w:val="both"/>
      </w:pPr>
      <w:r w:rsidRPr="00062AA0">
        <w:rPr>
          <w:rStyle w:val="FootnoteReference"/>
        </w:rPr>
        <w:footnoteRef/>
      </w:r>
      <w:r w:rsidRPr="00062AA0">
        <w:t xml:space="preserve"> </w:t>
      </w:r>
      <w:hyperlink r:id="rId29" w:tgtFrame="_blank" w:tooltip="https://edgar.jrc.ec.europa.eu/report_2023" w:history="1">
        <w:r w:rsidRPr="001F4E1C">
          <w:rPr>
            <w:rStyle w:val="Hyperlink"/>
            <w:color w:val="auto"/>
            <w:u w:val="none"/>
          </w:rPr>
          <w:t>https://edgar.jrc.ec.europa.eu/report_2023</w:t>
        </w:r>
      </w:hyperlink>
    </w:p>
  </w:footnote>
  <w:footnote w:id="91">
    <w:p w14:paraId="1A94A199" w14:textId="6F00E60A" w:rsidR="00C318A1" w:rsidRDefault="00C318A1" w:rsidP="00855E7A">
      <w:pPr>
        <w:pStyle w:val="FootnoteText"/>
        <w:jc w:val="both"/>
      </w:pPr>
      <w:r>
        <w:rPr>
          <w:rStyle w:val="FootnoteReference"/>
        </w:rPr>
        <w:footnoteRef/>
      </w:r>
      <w:r>
        <w:t xml:space="preserve"> N</w:t>
      </w:r>
      <w:r w:rsidRPr="006277B0">
        <w:t>etiek iekļautas izmaksas, kas rodas no klimata pārmaiņām (sasilšanas) kā tādām (t.i. neparedzot izmaiņas politikas rīcībā) vai lēnākas virzīšanās uz noteiktajiem klimata mērķiem.</w:t>
      </w:r>
    </w:p>
  </w:footnote>
  <w:footnote w:id="92">
    <w:p w14:paraId="6E5562EA" w14:textId="77777777" w:rsidR="00DC74A7" w:rsidRPr="00962A15" w:rsidRDefault="00DC74A7" w:rsidP="00855E7A">
      <w:pPr>
        <w:pStyle w:val="FootnoteText"/>
        <w:jc w:val="both"/>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Starptautiskā Enerģētikas aģentūra, 2021. </w:t>
      </w:r>
      <w:r w:rsidR="469479B5" w:rsidRPr="00962A15">
        <w:rPr>
          <w:rFonts w:eastAsia="Times New Roman" w:cs="Times New Roman"/>
          <w:i/>
          <w:iCs/>
          <w:color w:val="000000" w:themeColor="text1"/>
        </w:rPr>
        <w:t xml:space="preserve">Net </w:t>
      </w:r>
      <w:r w:rsidR="469479B5" w:rsidRPr="003A5E5A">
        <w:rPr>
          <w:rFonts w:eastAsia="Times New Roman" w:cs="Times New Roman"/>
          <w:i/>
          <w:iCs/>
          <w:color w:val="000000" w:themeColor="text1"/>
        </w:rPr>
        <w:t>Zero by</w:t>
      </w:r>
      <w:r w:rsidR="469479B5" w:rsidRPr="00962A15">
        <w:rPr>
          <w:rFonts w:eastAsia="Times New Roman" w:cs="Times New Roman"/>
          <w:i/>
          <w:iCs/>
          <w:color w:val="000000" w:themeColor="text1"/>
        </w:rPr>
        <w:t xml:space="preserve"> 2050</w:t>
      </w:r>
      <w:r w:rsidR="469479B5" w:rsidRPr="00962A15">
        <w:rPr>
          <w:rFonts w:eastAsia="Times New Roman" w:cs="Times New Roman"/>
          <w:color w:val="000000" w:themeColor="text1"/>
        </w:rPr>
        <w:t>.</w:t>
      </w:r>
    </w:p>
  </w:footnote>
  <w:footnote w:id="93">
    <w:p w14:paraId="5CC091BC" w14:textId="5FF32B83" w:rsidR="00DC74A7" w:rsidRPr="00F90E1C" w:rsidRDefault="00DC74A7" w:rsidP="008B085D">
      <w:pPr>
        <w:spacing w:after="0"/>
        <w:jc w:val="both"/>
        <w:rPr>
          <w:rFonts w:ascii="Times New Roman" w:eastAsia="Times New Roman" w:hAnsi="Times New Roman" w:cs="Times New Roman"/>
          <w:i/>
          <w:iCs/>
          <w:color w:val="000000" w:themeColor="text1"/>
          <w:sz w:val="20"/>
          <w:szCs w:val="20"/>
        </w:rPr>
      </w:pPr>
      <w:r w:rsidRPr="00F90E1C">
        <w:rPr>
          <w:rStyle w:val="FootnoteReference"/>
          <w:rFonts w:ascii="Times New Roman" w:eastAsia="Times New Roman" w:hAnsi="Times New Roman" w:cs="Times New Roman"/>
          <w:color w:val="000000" w:themeColor="text1"/>
          <w:sz w:val="20"/>
          <w:szCs w:val="20"/>
        </w:rPr>
        <w:footnoteRef/>
      </w:r>
      <w:r w:rsidR="469479B5" w:rsidRPr="00F90E1C">
        <w:rPr>
          <w:rFonts w:ascii="Times New Roman" w:eastAsia="Times New Roman" w:hAnsi="Times New Roman" w:cs="Times New Roman"/>
          <w:color w:val="000000" w:themeColor="text1"/>
          <w:sz w:val="20"/>
          <w:szCs w:val="20"/>
        </w:rPr>
        <w:t xml:space="preserve"> EK darba dokuments, 2020.</w:t>
      </w:r>
      <w:r w:rsidR="008A74D1">
        <w:rPr>
          <w:rFonts w:ascii="Times New Roman" w:eastAsia="Times New Roman" w:hAnsi="Times New Roman" w:cs="Times New Roman"/>
          <w:color w:val="000000" w:themeColor="text1"/>
          <w:sz w:val="20"/>
          <w:szCs w:val="20"/>
        </w:rPr>
        <w:t xml:space="preserve"> </w:t>
      </w:r>
      <w:r w:rsidR="469479B5" w:rsidRPr="00F90E1C">
        <w:rPr>
          <w:rFonts w:ascii="Times New Roman" w:eastAsia="Times New Roman" w:hAnsi="Times New Roman" w:cs="Times New Roman"/>
          <w:color w:val="000000" w:themeColor="text1"/>
          <w:sz w:val="20"/>
          <w:szCs w:val="20"/>
        </w:rPr>
        <w:t>gada 17.</w:t>
      </w:r>
      <w:r w:rsidR="008A74D1">
        <w:rPr>
          <w:rFonts w:ascii="Times New Roman" w:eastAsia="Times New Roman" w:hAnsi="Times New Roman" w:cs="Times New Roman"/>
          <w:color w:val="000000" w:themeColor="text1"/>
          <w:sz w:val="20"/>
          <w:szCs w:val="20"/>
        </w:rPr>
        <w:t xml:space="preserve"> </w:t>
      </w:r>
      <w:r w:rsidR="469479B5" w:rsidRPr="00F90E1C">
        <w:rPr>
          <w:rFonts w:ascii="Times New Roman" w:eastAsia="Times New Roman" w:hAnsi="Times New Roman" w:cs="Times New Roman"/>
          <w:color w:val="000000" w:themeColor="text1"/>
          <w:sz w:val="20"/>
          <w:szCs w:val="20"/>
        </w:rPr>
        <w:t>septembris (</w:t>
      </w:r>
      <w:r w:rsidR="469479B5" w:rsidRPr="00F90E1C">
        <w:rPr>
          <w:rFonts w:ascii="Times New Roman" w:eastAsia="Times New Roman" w:hAnsi="Times New Roman" w:cs="Times New Roman"/>
          <w:i/>
          <w:iCs/>
          <w:color w:val="000000" w:themeColor="text1"/>
          <w:sz w:val="20"/>
          <w:szCs w:val="20"/>
        </w:rPr>
        <w:t xml:space="preserve">SWD(2020) 176 </w:t>
      </w:r>
      <w:r w:rsidR="469479B5" w:rsidRPr="00F90E1C">
        <w:rPr>
          <w:rFonts w:ascii="Times New Roman" w:eastAsia="Times New Roman" w:hAnsi="Times New Roman" w:cs="Times New Roman"/>
          <w:i/>
          <w:iCs/>
          <w:color w:val="000000" w:themeColor="text1"/>
          <w:sz w:val="20"/>
          <w:szCs w:val="20"/>
          <w:lang w:val="en-US"/>
        </w:rPr>
        <w:t>final</w:t>
      </w:r>
      <w:r w:rsidR="469479B5" w:rsidRPr="00F90E1C">
        <w:rPr>
          <w:rFonts w:ascii="Times New Roman" w:eastAsia="Times New Roman" w:hAnsi="Times New Roman" w:cs="Times New Roman"/>
          <w:color w:val="000000" w:themeColor="text1"/>
          <w:sz w:val="20"/>
          <w:szCs w:val="20"/>
          <w:lang w:val="en-US"/>
        </w:rPr>
        <w:t>)</w:t>
      </w:r>
      <w:r w:rsidR="469479B5" w:rsidRPr="00F90E1C">
        <w:rPr>
          <w:rFonts w:ascii="Times New Roman" w:eastAsia="Times New Roman" w:hAnsi="Times New Roman" w:cs="Times New Roman"/>
          <w:color w:val="000000" w:themeColor="text1"/>
          <w:sz w:val="20"/>
          <w:szCs w:val="20"/>
        </w:rPr>
        <w:t xml:space="preserve">, </w:t>
      </w:r>
      <w:r w:rsidR="469479B5" w:rsidRPr="00F90E1C">
        <w:rPr>
          <w:rFonts w:ascii="Times New Roman" w:eastAsia="Times New Roman" w:hAnsi="Times New Roman" w:cs="Times New Roman"/>
          <w:i/>
          <w:iCs/>
          <w:color w:val="000000" w:themeColor="text1"/>
          <w:sz w:val="20"/>
          <w:szCs w:val="20"/>
          <w:lang w:val="en-US"/>
        </w:rPr>
        <w:t>IMPACT ASSESSMENT Accompanying the document: COMMUNICATION FROM THE COMMISSION TO THE EUROPEAN PARLIAMENT, THE COUNCIL, THE EUROPEAN ECONOMIC AND SOCIAL COMMITTEE AND THE COMMITTEE OF THE REGIONS. Stepping up Europe’s 2030 climate ambition - Investing in a climate-neutral future for the benefit of our people</w:t>
      </w:r>
    </w:p>
  </w:footnote>
  <w:footnote w:id="94">
    <w:p w14:paraId="77EBF83B" w14:textId="77777777" w:rsidR="00335486" w:rsidRPr="00F90E1C" w:rsidRDefault="00335486" w:rsidP="00855E7A">
      <w:pPr>
        <w:pStyle w:val="FootnoteText"/>
        <w:jc w:val="both"/>
        <w:rPr>
          <w:rFonts w:cs="Times New Roman"/>
        </w:rPr>
      </w:pPr>
      <w:r w:rsidRPr="00F90E1C">
        <w:rPr>
          <w:rStyle w:val="FootnoteReference"/>
          <w:rFonts w:eastAsia="Times New Roman" w:cs="Times New Roman"/>
          <w:color w:val="000000" w:themeColor="text1"/>
        </w:rPr>
        <w:footnoteRef/>
      </w:r>
      <w:r w:rsidR="469479B5" w:rsidRPr="00F90E1C">
        <w:rPr>
          <w:rFonts w:eastAsia="Times New Roman" w:cs="Times New Roman"/>
          <w:color w:val="000000" w:themeColor="text1"/>
        </w:rPr>
        <w:t xml:space="preserve"> </w:t>
      </w:r>
      <w:hyperlink r:id="rId30" w:history="1">
        <w:r w:rsidR="469479B5" w:rsidRPr="00F90E1C">
          <w:rPr>
            <w:rStyle w:val="Hyperlink"/>
            <w:rFonts w:eastAsia="Times New Roman" w:cs="Times New Roman"/>
            <w:color w:val="000000" w:themeColor="text1"/>
            <w:u w:val="none"/>
          </w:rPr>
          <w:t>https://likumi.lv/ta/id/342214-latvijas-strategija-klimatneitralitates-sasniegsanai-lidz-2050-gadam</w:t>
        </w:r>
      </w:hyperlink>
    </w:p>
  </w:footnote>
  <w:footnote w:id="95">
    <w:p w14:paraId="4CA9FB9B" w14:textId="7F5F34E1" w:rsidR="009E1FDD" w:rsidRPr="00F90E1C" w:rsidRDefault="009E1FDD" w:rsidP="00855E7A">
      <w:pPr>
        <w:pStyle w:val="FootnoteText"/>
        <w:jc w:val="both"/>
        <w:rPr>
          <w:rFonts w:cs="Times New Roman"/>
        </w:rPr>
      </w:pPr>
      <w:r w:rsidRPr="00F90E1C">
        <w:rPr>
          <w:rStyle w:val="FootnoteReference"/>
          <w:rFonts w:cs="Times New Roman"/>
        </w:rPr>
        <w:footnoteRef/>
      </w:r>
      <w:r w:rsidRPr="00F90E1C">
        <w:rPr>
          <w:rFonts w:cs="Times New Roman"/>
        </w:rPr>
        <w:t xml:space="preserve"> </w:t>
      </w:r>
      <w:r w:rsidR="00CE51DD" w:rsidRPr="00F90E1C">
        <w:rPr>
          <w:rFonts w:cs="Times New Roman"/>
        </w:rPr>
        <w:t>MK</w:t>
      </w:r>
      <w:r w:rsidRPr="00F90E1C">
        <w:rPr>
          <w:rFonts w:cs="Times New Roman"/>
        </w:rPr>
        <w:t xml:space="preserve"> 2024. gada 12. jūlija rīkojums Nr. 573 </w:t>
      </w:r>
      <w:r w:rsidR="00E31135" w:rsidRPr="00F90E1C">
        <w:rPr>
          <w:rFonts w:cs="Times New Roman"/>
        </w:rPr>
        <w:t>“</w:t>
      </w:r>
      <w:r w:rsidRPr="00F90E1C">
        <w:rPr>
          <w:rFonts w:cs="Times New Roman"/>
        </w:rPr>
        <w:t>Aktualizētais Nacionālais enerģētikas un klimata plāns 2021.–2030. gadam</w:t>
      </w:r>
      <w:r w:rsidR="00E31135" w:rsidRPr="00F90E1C">
        <w:rPr>
          <w:rFonts w:cs="Times New Roman"/>
        </w:rPr>
        <w:t>”</w:t>
      </w:r>
      <w:r w:rsidRPr="00F90E1C">
        <w:rPr>
          <w:rFonts w:cs="Times New Roman"/>
        </w:rPr>
        <w:t>. https://likumi.lv/ta/id/353615</w:t>
      </w:r>
    </w:p>
  </w:footnote>
  <w:footnote w:id="96">
    <w:p w14:paraId="30264446" w14:textId="77777777" w:rsidR="009E1FDD" w:rsidRDefault="009E1FDD" w:rsidP="00855E7A">
      <w:pPr>
        <w:pStyle w:val="FootnoteText"/>
        <w:jc w:val="both"/>
      </w:pPr>
      <w:r w:rsidRPr="00F90E1C">
        <w:rPr>
          <w:rStyle w:val="FootnoteReference"/>
          <w:rFonts w:cs="Times New Roman"/>
        </w:rPr>
        <w:footnoteRef/>
      </w:r>
      <w:r w:rsidRPr="00F90E1C">
        <w:rPr>
          <w:rFonts w:cs="Times New Roman"/>
        </w:rPr>
        <w:t xml:space="preserve"> Aktualizētā Nacionālā enerģētikas un klimata plāna 2021. – 2030. gadam Sociālekonomiskais izvērtējums, Pieejams: https://www.kem.gov.lv/lv/nacionalais-energetikas-un-klimata-plans-2021-2030-gadam</w:t>
      </w:r>
    </w:p>
  </w:footnote>
  <w:footnote w:id="97">
    <w:p w14:paraId="10D0C351" w14:textId="1BCFD95E" w:rsidR="00C318A1" w:rsidRPr="00EB5186" w:rsidRDefault="00C318A1" w:rsidP="008B085D">
      <w:pPr>
        <w:pStyle w:val="FootnoteText"/>
        <w:jc w:val="both"/>
        <w:rPr>
          <w:highlight w:val="yellow"/>
        </w:rPr>
      </w:pPr>
      <w:r w:rsidRPr="00BE7B4C">
        <w:rPr>
          <w:rStyle w:val="FootnoteReference"/>
        </w:rPr>
        <w:footnoteRef/>
      </w:r>
      <w:r w:rsidRPr="00BE7B4C">
        <w:t xml:space="preserve"> Aprēķinā nav iekļauts finansējums aktivitātēm, kuras ir paredzēts īstenot esošā budžeta ietvaros vai nav datu par nepieciešamo un iezīmēto finansējumu. Tajā skaitā nav iekļauti dati par pasākumu 3.1.5.2 “Atbalstīt lielo investīciju projektu</w:t>
      </w:r>
      <w:r w:rsidR="00C84397">
        <w:t xml:space="preserve"> </w:t>
      </w:r>
      <w:r w:rsidRPr="00BE7B4C">
        <w:t>jaunu «zaļo» produktu un darba vietu attīstībai”, jo izpildes termiņš ir norādīts “no 2025”, tādēļ nav skaidrs līdz kuram gadam šo pasākumu ir plānots izpildīt, bet pasākuma 3.4.2.2 “Īstenot iekšējās energoinfrastruktūras modernizācijas projektus atbilstoši PSO un SSO 10-gadu attīstības plāniem” gadījumā tiek pieņemts, ka nav iezīmēts finansējums, jo iezīmētā finansējuma apmērs nav norādīts.</w:t>
      </w:r>
    </w:p>
  </w:footnote>
  <w:footnote w:id="98">
    <w:p w14:paraId="1EFCB084" w14:textId="2F6C7B47" w:rsidR="00335486" w:rsidRDefault="00335486" w:rsidP="00855E7A">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FM aprēķini, balstoties uz NEKP informāciju</w:t>
      </w:r>
      <w:r w:rsidR="008B085D">
        <w:rPr>
          <w:rFonts w:eastAsia="Times New Roman" w:cs="Times New Roman"/>
        </w:rPr>
        <w:t>.</w:t>
      </w:r>
    </w:p>
  </w:footnote>
  <w:footnote w:id="99">
    <w:p w14:paraId="080C93E6" w14:textId="61520122" w:rsidR="00C318A1" w:rsidRDefault="00C318A1" w:rsidP="00855E7A">
      <w:pPr>
        <w:pStyle w:val="FootnoteText"/>
        <w:jc w:val="both"/>
      </w:pPr>
      <w:r w:rsidRPr="00C318A1">
        <w:rPr>
          <w:rStyle w:val="FootnoteReference"/>
        </w:rPr>
        <w:footnoteRef/>
      </w:r>
      <w:r w:rsidRPr="00C318A1">
        <w:t xml:space="preserve"> NEKP pasākums 3.1.5.2 aprēķinā nav iekļauts, jo izpildes termiņš ir norādīts “no 2025”, tādēļ nav skaidrs līdz kuram gadam šo pasākumu ir plānots izpildīt.</w:t>
      </w:r>
    </w:p>
  </w:footnote>
  <w:footnote w:id="100">
    <w:p w14:paraId="346E9D3D" w14:textId="2E1F1E25" w:rsidR="00C318A1" w:rsidRDefault="00C318A1" w:rsidP="00855E7A">
      <w:pPr>
        <w:pStyle w:val="FootnoteText"/>
        <w:jc w:val="both"/>
      </w:pPr>
      <w:r>
        <w:rPr>
          <w:rStyle w:val="FootnoteReference"/>
        </w:rPr>
        <w:footnoteRef/>
      </w:r>
      <w:r>
        <w:t xml:space="preserve"> </w:t>
      </w:r>
      <w:r w:rsidRPr="00C318A1">
        <w:t>NEKP pasākumam 3.4.2.2 nav norādīts iezīmēto investīciju apjoms, tādēļ tiek pieņemts, ka tas ir 0.</w:t>
      </w:r>
    </w:p>
  </w:footnote>
  <w:footnote w:id="101">
    <w:p w14:paraId="70FBD195" w14:textId="77777777" w:rsidR="00F151DD" w:rsidRPr="00962A15" w:rsidRDefault="00F151DD" w:rsidP="0039468E">
      <w:pPr>
        <w:pStyle w:val="FootnoteText"/>
        <w:jc w:val="both"/>
        <w:rPr>
          <w:rFonts w:cs="Times New Roman"/>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Paris Collaborative on Green Budgeting: OECD Green Budgeting Framework. Highlights. Pieejams: OECD-Green-Budgeting-Framework-Highlights.pdf</w:t>
      </w:r>
    </w:p>
  </w:footnote>
  <w:footnote w:id="102">
    <w:p w14:paraId="07A42550" w14:textId="12D50C13" w:rsidR="00F151DD" w:rsidRPr="00962A15" w:rsidRDefault="00F151DD" w:rsidP="0039468E">
      <w:pPr>
        <w:pStyle w:val="FootnoteText"/>
        <w:jc w:val="both"/>
        <w:rPr>
          <w:rFonts w:cs="Times New Roman"/>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EK paziņojums “Eiropas zaļais kurss”, COM(2019)640</w:t>
      </w:r>
    </w:p>
  </w:footnote>
  <w:footnote w:id="103">
    <w:p w14:paraId="2F929D63" w14:textId="77777777" w:rsidR="006C1972" w:rsidRPr="00962A15" w:rsidRDefault="006C1972" w:rsidP="0039468E">
      <w:pPr>
        <w:pStyle w:val="FootnoteText"/>
        <w:jc w:val="both"/>
        <w:rPr>
          <w:rFonts w:cs="Times New Roman"/>
          <w:color w:val="000000" w:themeColor="text1"/>
        </w:rPr>
      </w:pPr>
      <w:r w:rsidRPr="00962A15">
        <w:rPr>
          <w:rStyle w:val="FootnoteReference"/>
          <w:rFonts w:eastAsia="Times New Roman" w:cs="Times New Roman"/>
          <w:color w:val="000000" w:themeColor="text1"/>
        </w:rPr>
        <w:footnoteRef/>
      </w:r>
      <w:r w:rsidRPr="00962A15">
        <w:rPr>
          <w:rFonts w:eastAsia="Times New Roman" w:cs="Times New Roman"/>
          <w:color w:val="000000" w:themeColor="text1"/>
        </w:rPr>
        <w:t xml:space="preserve"> </w:t>
      </w:r>
      <w:r w:rsidRPr="001A7521">
        <w:rPr>
          <w:rFonts w:eastAsia="Times New Roman" w:cs="Times New Roman"/>
        </w:rPr>
        <w:t>https://www.oecd.org/en/publications/green-budgeting-in-oecd-countries-2024_9aea61f0-en.html</w:t>
      </w:r>
    </w:p>
  </w:footnote>
  <w:footnote w:id="104">
    <w:p w14:paraId="6696C65F" w14:textId="77777777" w:rsidR="00F151DD" w:rsidRDefault="00F151DD" w:rsidP="0039468E">
      <w:pPr>
        <w:pStyle w:val="FootnoteText"/>
        <w:jc w:val="both"/>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w:t>
      </w:r>
      <w:hyperlink r:id="rId31" w:history="1">
        <w:r w:rsidR="469479B5" w:rsidRPr="00962A15">
          <w:rPr>
            <w:rStyle w:val="Hyperlink"/>
            <w:rFonts w:eastAsia="Times New Roman" w:cs="Times New Roman"/>
            <w:color w:val="000000" w:themeColor="text1"/>
            <w:u w:val="none"/>
          </w:rPr>
          <w:t>2. Implementing green budget tagging | Green Budget Tagging : Introductory Guidance &amp; Principles | OECD iLibrary (oecd-ilibrary.org)</w:t>
        </w:r>
      </w:hyperlink>
    </w:p>
  </w:footnote>
  <w:footnote w:id="105">
    <w:p w14:paraId="02B146E0" w14:textId="741EBF15" w:rsidR="00B51093" w:rsidRDefault="00B51093" w:rsidP="0039468E">
      <w:pPr>
        <w:pStyle w:val="FootnoteText"/>
        <w:jc w:val="both"/>
      </w:pPr>
      <w:r>
        <w:rPr>
          <w:rStyle w:val="FootnoteReference"/>
        </w:rPr>
        <w:footnoteRef/>
      </w:r>
      <w:r>
        <w:t xml:space="preserve"> Ja finansēšanas plānā tiek identificēti izdevumi, kuriem ir atšķirīgs marķējums, tad finansēšanas plāns tiek sadalīts un marķēts atsevišķi. Kā arī daži ekonomiskās kategorijas kodi (EKK) tiek izdalīti un marķēti atsevišķi.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5"/>
      <w:gridCol w:w="3265"/>
      <w:gridCol w:w="3265"/>
    </w:tblGrid>
    <w:tr w:rsidR="469479B5" w14:paraId="50D72C8D" w14:textId="77777777" w:rsidTr="00940337">
      <w:trPr>
        <w:trHeight w:val="300"/>
      </w:trPr>
      <w:tc>
        <w:tcPr>
          <w:tcW w:w="3265" w:type="dxa"/>
        </w:tcPr>
        <w:p w14:paraId="233B8C3A" w14:textId="7B506111" w:rsidR="469479B5" w:rsidRDefault="469479B5" w:rsidP="00940337">
          <w:pPr>
            <w:pStyle w:val="Header"/>
            <w:ind w:left="-115"/>
          </w:pPr>
        </w:p>
      </w:tc>
      <w:tc>
        <w:tcPr>
          <w:tcW w:w="3265" w:type="dxa"/>
        </w:tcPr>
        <w:p w14:paraId="7CB10FDB" w14:textId="7F6483BA" w:rsidR="469479B5" w:rsidRDefault="469479B5" w:rsidP="00940337">
          <w:pPr>
            <w:pStyle w:val="Header"/>
            <w:jc w:val="center"/>
          </w:pPr>
        </w:p>
      </w:tc>
      <w:tc>
        <w:tcPr>
          <w:tcW w:w="3265" w:type="dxa"/>
        </w:tcPr>
        <w:p w14:paraId="08A287BA" w14:textId="2EEE1C1B" w:rsidR="469479B5" w:rsidRDefault="469479B5" w:rsidP="00940337">
          <w:pPr>
            <w:pStyle w:val="Header"/>
            <w:ind w:right="-115"/>
            <w:jc w:val="right"/>
          </w:pPr>
        </w:p>
      </w:tc>
    </w:tr>
  </w:tbl>
  <w:p w14:paraId="237A2EAC" w14:textId="61C58B36" w:rsidR="469479B5" w:rsidRDefault="469479B5" w:rsidP="009403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5"/>
      <w:gridCol w:w="3265"/>
      <w:gridCol w:w="3265"/>
    </w:tblGrid>
    <w:tr w:rsidR="469479B5" w14:paraId="3BEF030D" w14:textId="77777777" w:rsidTr="00940337">
      <w:trPr>
        <w:trHeight w:val="300"/>
      </w:trPr>
      <w:tc>
        <w:tcPr>
          <w:tcW w:w="3265" w:type="dxa"/>
        </w:tcPr>
        <w:p w14:paraId="49D8095D" w14:textId="43400B63" w:rsidR="469479B5" w:rsidRDefault="469479B5" w:rsidP="00940337">
          <w:pPr>
            <w:pStyle w:val="Header"/>
            <w:ind w:left="-115"/>
          </w:pPr>
        </w:p>
      </w:tc>
      <w:tc>
        <w:tcPr>
          <w:tcW w:w="3265" w:type="dxa"/>
        </w:tcPr>
        <w:p w14:paraId="4DEF9C3D" w14:textId="4595A230" w:rsidR="469479B5" w:rsidRDefault="469479B5" w:rsidP="00940337">
          <w:pPr>
            <w:pStyle w:val="Header"/>
            <w:jc w:val="center"/>
          </w:pPr>
        </w:p>
      </w:tc>
      <w:tc>
        <w:tcPr>
          <w:tcW w:w="3265" w:type="dxa"/>
        </w:tcPr>
        <w:p w14:paraId="6325815D" w14:textId="157DFFFD" w:rsidR="469479B5" w:rsidRDefault="469479B5" w:rsidP="00940337">
          <w:pPr>
            <w:pStyle w:val="Header"/>
            <w:ind w:right="-115"/>
            <w:jc w:val="right"/>
          </w:pPr>
        </w:p>
      </w:tc>
    </w:tr>
  </w:tbl>
  <w:p w14:paraId="42266392" w14:textId="2A85ABEE" w:rsidR="469479B5" w:rsidRDefault="469479B5" w:rsidP="00940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970"/>
    <w:multiLevelType w:val="hybridMultilevel"/>
    <w:tmpl w:val="3AAE7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014CA9"/>
    <w:multiLevelType w:val="hybridMultilevel"/>
    <w:tmpl w:val="7708FC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E405B23"/>
    <w:multiLevelType w:val="multilevel"/>
    <w:tmpl w:val="4CF24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F0E05"/>
    <w:multiLevelType w:val="multilevel"/>
    <w:tmpl w:val="12F00186"/>
    <w:lvl w:ilvl="0">
      <w:start w:val="2"/>
      <w:numFmt w:val="decimal"/>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2A9211F"/>
    <w:multiLevelType w:val="hybridMultilevel"/>
    <w:tmpl w:val="A79A59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38D485C"/>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6" w15:restartNumberingAfterBreak="0">
    <w:nsid w:val="139F5F4B"/>
    <w:multiLevelType w:val="hybridMultilevel"/>
    <w:tmpl w:val="0820F63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D33D2F"/>
    <w:multiLevelType w:val="hybridMultilevel"/>
    <w:tmpl w:val="0CDC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3F72C46"/>
    <w:multiLevelType w:val="hybridMultilevel"/>
    <w:tmpl w:val="BDAAC656"/>
    <w:lvl w:ilvl="0" w:tplc="E9A4EAA8">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4554677"/>
    <w:multiLevelType w:val="multilevel"/>
    <w:tmpl w:val="63B827A6"/>
    <w:lvl w:ilvl="0">
      <w:start w:val="5"/>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none"/>
      <w:isLgl/>
      <w:lvlText w:val="5.1.6."/>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482775B"/>
    <w:multiLevelType w:val="multilevel"/>
    <w:tmpl w:val="2854AB18"/>
    <w:lvl w:ilvl="0">
      <w:start w:val="1"/>
      <w:numFmt w:val="decimal"/>
      <w:pStyle w:val="Heading1"/>
      <w:lvlText w:val="%1."/>
      <w:lvlJc w:val="left"/>
      <w:pPr>
        <w:ind w:left="2843" w:hanging="432"/>
      </w:pPr>
      <w:rPr>
        <w:b/>
        <w:sz w:val="32"/>
      </w:rPr>
    </w:lvl>
    <w:lvl w:ilvl="1">
      <w:start w:val="1"/>
      <w:numFmt w:val="decimal"/>
      <w:pStyle w:val="Heading2"/>
      <w:lvlText w:val="%1.%2"/>
      <w:lvlJc w:val="left"/>
      <w:pPr>
        <w:ind w:left="2987" w:hanging="576"/>
      </w:pPr>
    </w:lvl>
    <w:lvl w:ilvl="2">
      <w:start w:val="1"/>
      <w:numFmt w:val="decimal"/>
      <w:pStyle w:val="Heading3"/>
      <w:lvlText w:val="%1.%2.%3"/>
      <w:lvlJc w:val="left"/>
      <w:pPr>
        <w:ind w:left="3131" w:hanging="720"/>
      </w:pPr>
    </w:lvl>
    <w:lvl w:ilvl="3">
      <w:start w:val="1"/>
      <w:numFmt w:val="decimal"/>
      <w:pStyle w:val="Heading4"/>
      <w:lvlText w:val="%1.%2.%3.%4"/>
      <w:lvlJc w:val="left"/>
      <w:pPr>
        <w:ind w:left="3275" w:hanging="864"/>
      </w:pPr>
    </w:lvl>
    <w:lvl w:ilvl="4">
      <w:start w:val="1"/>
      <w:numFmt w:val="decimal"/>
      <w:pStyle w:val="Heading5"/>
      <w:lvlText w:val="%1.%2.%3.%4.%5"/>
      <w:lvlJc w:val="left"/>
      <w:pPr>
        <w:ind w:left="3419" w:hanging="1008"/>
      </w:pPr>
    </w:lvl>
    <w:lvl w:ilvl="5">
      <w:start w:val="1"/>
      <w:numFmt w:val="decimal"/>
      <w:pStyle w:val="Heading6"/>
      <w:lvlText w:val="%1.%2.%3.%4.%5.%6"/>
      <w:lvlJc w:val="left"/>
      <w:pPr>
        <w:ind w:left="3563" w:hanging="1152"/>
      </w:pPr>
    </w:lvl>
    <w:lvl w:ilvl="6">
      <w:start w:val="1"/>
      <w:numFmt w:val="decimal"/>
      <w:pStyle w:val="Heading7"/>
      <w:lvlText w:val="%1.%2.%3.%4.%5.%6.%7"/>
      <w:lvlJc w:val="left"/>
      <w:pPr>
        <w:ind w:left="3707" w:hanging="1296"/>
      </w:pPr>
    </w:lvl>
    <w:lvl w:ilvl="7">
      <w:start w:val="1"/>
      <w:numFmt w:val="decimal"/>
      <w:pStyle w:val="Heading8"/>
      <w:lvlText w:val="%1.%2.%3.%4.%5.%6.%7.%8"/>
      <w:lvlJc w:val="left"/>
      <w:pPr>
        <w:ind w:left="3851" w:hanging="1440"/>
      </w:pPr>
    </w:lvl>
    <w:lvl w:ilvl="8">
      <w:start w:val="1"/>
      <w:numFmt w:val="decimal"/>
      <w:pStyle w:val="Heading9"/>
      <w:lvlText w:val="%1.%2.%3.%4.%5.%6.%7.%8.%9"/>
      <w:lvlJc w:val="left"/>
      <w:pPr>
        <w:ind w:left="3995" w:hanging="1584"/>
      </w:pPr>
    </w:lvl>
  </w:abstractNum>
  <w:abstractNum w:abstractNumId="11" w15:restartNumberingAfterBreak="0">
    <w:nsid w:val="14937C53"/>
    <w:multiLevelType w:val="hybridMultilevel"/>
    <w:tmpl w:val="C17408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82F735F"/>
    <w:multiLevelType w:val="multilevel"/>
    <w:tmpl w:val="A600CCD0"/>
    <w:lvl w:ilvl="0">
      <w:start w:val="5"/>
      <w:numFmt w:val="decimal"/>
      <w:lvlText w:val="%1."/>
      <w:lvlJc w:val="left"/>
      <w:pPr>
        <w:ind w:left="720" w:hanging="360"/>
      </w:pPr>
      <w:rPr>
        <w:rFonts w:hint="default"/>
      </w:rPr>
    </w:lvl>
    <w:lvl w:ilvl="1">
      <w:start w:val="1"/>
      <w:numFmt w:val="decimal"/>
      <w:isLgl/>
      <w:lvlText w:val="%1.%2."/>
      <w:lvlJc w:val="left"/>
      <w:pPr>
        <w:ind w:left="3241" w:hanging="405"/>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9272086"/>
    <w:multiLevelType w:val="hybridMultilevel"/>
    <w:tmpl w:val="8EEA3C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0727383"/>
    <w:multiLevelType w:val="hybridMultilevel"/>
    <w:tmpl w:val="438A751E"/>
    <w:lvl w:ilvl="0" w:tplc="64E29414">
      <w:start w:val="6"/>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21CF29B3"/>
    <w:multiLevelType w:val="hybridMultilevel"/>
    <w:tmpl w:val="3A5093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305291"/>
    <w:multiLevelType w:val="hybridMultilevel"/>
    <w:tmpl w:val="C0645CE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22793D61"/>
    <w:multiLevelType w:val="multilevel"/>
    <w:tmpl w:val="D76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B8732C"/>
    <w:multiLevelType w:val="multilevel"/>
    <w:tmpl w:val="656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7A0AED"/>
    <w:multiLevelType w:val="hybridMultilevel"/>
    <w:tmpl w:val="A11C1B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5B96695"/>
    <w:multiLevelType w:val="hybridMultilevel"/>
    <w:tmpl w:val="44607B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26193EE1"/>
    <w:multiLevelType w:val="hybridMultilevel"/>
    <w:tmpl w:val="AF8E55DE"/>
    <w:lvl w:ilvl="0" w:tplc="9DE4BB5A">
      <w:start w:val="1"/>
      <w:numFmt w:val="decimal"/>
      <w:lvlText w:val="%1."/>
      <w:lvlJc w:val="left"/>
      <w:pPr>
        <w:ind w:left="1503" w:hanging="360"/>
      </w:pPr>
      <w:rPr>
        <w:b w:val="0"/>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22" w15:restartNumberingAfterBreak="0">
    <w:nsid w:val="29513E32"/>
    <w:multiLevelType w:val="multilevel"/>
    <w:tmpl w:val="286074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2016"/>
      <w:numFmt w:val="bullet"/>
      <w:lvlText w:val="-"/>
      <w:lvlJc w:val="left"/>
      <w:pPr>
        <w:ind w:left="2160" w:hanging="360"/>
      </w:pPr>
      <w:rPr>
        <w:rFonts w:ascii="Times New Roman" w:eastAsiaTheme="minorEastAsia"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777F40"/>
    <w:multiLevelType w:val="multilevel"/>
    <w:tmpl w:val="334E9FFA"/>
    <w:lvl w:ilvl="0">
      <w:start w:val="3"/>
      <w:numFmt w:val="decimal"/>
      <w:lvlText w:val="%1."/>
      <w:lvlJc w:val="left"/>
      <w:pPr>
        <w:ind w:left="360" w:hanging="360"/>
      </w:pPr>
      <w:rPr>
        <w:rFonts w:cs="Times New Roman" w:hint="default"/>
        <w:color w:val="auto"/>
      </w:rPr>
    </w:lvl>
    <w:lvl w:ilvl="1">
      <w:start w:val="1"/>
      <w:numFmt w:val="decimal"/>
      <w:lvlText w:val="%1.%2."/>
      <w:lvlJc w:val="left"/>
      <w:pPr>
        <w:ind w:left="3479" w:hanging="360"/>
      </w:pPr>
      <w:rPr>
        <w:rFonts w:cs="Times New Roman" w:hint="default"/>
        <w:color w:val="auto"/>
      </w:rPr>
    </w:lvl>
    <w:lvl w:ilvl="2">
      <w:start w:val="1"/>
      <w:numFmt w:val="decimal"/>
      <w:lvlText w:val="%1.%2.%3."/>
      <w:lvlJc w:val="left"/>
      <w:pPr>
        <w:ind w:left="6958" w:hanging="720"/>
      </w:pPr>
      <w:rPr>
        <w:rFonts w:cs="Times New Roman" w:hint="default"/>
        <w:color w:val="auto"/>
      </w:rPr>
    </w:lvl>
    <w:lvl w:ilvl="3">
      <w:start w:val="1"/>
      <w:numFmt w:val="decimal"/>
      <w:lvlText w:val="%1.%2.%3.%4."/>
      <w:lvlJc w:val="left"/>
      <w:pPr>
        <w:ind w:left="10077" w:hanging="720"/>
      </w:pPr>
      <w:rPr>
        <w:rFonts w:cs="Times New Roman" w:hint="default"/>
        <w:color w:val="auto"/>
      </w:rPr>
    </w:lvl>
    <w:lvl w:ilvl="4">
      <w:start w:val="1"/>
      <w:numFmt w:val="decimal"/>
      <w:lvlText w:val="%1.%2.%3.%4.%5."/>
      <w:lvlJc w:val="left"/>
      <w:pPr>
        <w:ind w:left="13556" w:hanging="1080"/>
      </w:pPr>
      <w:rPr>
        <w:rFonts w:cs="Times New Roman" w:hint="default"/>
        <w:color w:val="auto"/>
      </w:rPr>
    </w:lvl>
    <w:lvl w:ilvl="5">
      <w:start w:val="1"/>
      <w:numFmt w:val="decimal"/>
      <w:lvlText w:val="%1.%2.%3.%4.%5.%6."/>
      <w:lvlJc w:val="left"/>
      <w:pPr>
        <w:ind w:left="16675" w:hanging="1080"/>
      </w:pPr>
      <w:rPr>
        <w:rFonts w:cs="Times New Roman" w:hint="default"/>
        <w:color w:val="auto"/>
      </w:rPr>
    </w:lvl>
    <w:lvl w:ilvl="6">
      <w:start w:val="1"/>
      <w:numFmt w:val="decimal"/>
      <w:lvlText w:val="%1.%2.%3.%4.%5.%6.%7."/>
      <w:lvlJc w:val="left"/>
      <w:pPr>
        <w:ind w:left="20154" w:hanging="1440"/>
      </w:pPr>
      <w:rPr>
        <w:rFonts w:cs="Times New Roman" w:hint="default"/>
        <w:color w:val="auto"/>
      </w:rPr>
    </w:lvl>
    <w:lvl w:ilvl="7">
      <w:start w:val="1"/>
      <w:numFmt w:val="decimal"/>
      <w:lvlText w:val="%1.%2.%3.%4.%5.%6.%7.%8."/>
      <w:lvlJc w:val="left"/>
      <w:pPr>
        <w:ind w:left="23273" w:hanging="1440"/>
      </w:pPr>
      <w:rPr>
        <w:rFonts w:cs="Times New Roman" w:hint="default"/>
        <w:color w:val="auto"/>
      </w:rPr>
    </w:lvl>
    <w:lvl w:ilvl="8">
      <w:start w:val="1"/>
      <w:numFmt w:val="decimal"/>
      <w:lvlText w:val="%1.%2.%3.%4.%5.%6.%7.%8.%9."/>
      <w:lvlJc w:val="left"/>
      <w:pPr>
        <w:ind w:left="26752" w:hanging="1800"/>
      </w:pPr>
      <w:rPr>
        <w:rFonts w:cs="Times New Roman" w:hint="default"/>
        <w:color w:val="auto"/>
      </w:rPr>
    </w:lvl>
  </w:abstractNum>
  <w:abstractNum w:abstractNumId="24" w15:restartNumberingAfterBreak="0">
    <w:nsid w:val="2BD71ABB"/>
    <w:multiLevelType w:val="multilevel"/>
    <w:tmpl w:val="99EEE726"/>
    <w:lvl w:ilvl="0">
      <w:start w:val="2"/>
      <w:numFmt w:val="decimal"/>
      <w:lvlText w:val="%1."/>
      <w:lvlJc w:val="left"/>
      <w:pPr>
        <w:ind w:left="927" w:hanging="360"/>
      </w:pPr>
      <w:rPr>
        <w:rFonts w:cstheme="minorBidi" w:hint="default"/>
      </w:rPr>
    </w:lvl>
    <w:lvl w:ilvl="1">
      <w:start w:val="1"/>
      <w:numFmt w:val="lowerLetter"/>
      <w:lvlText w:val="%2."/>
      <w:lvlJc w:val="left"/>
      <w:pPr>
        <w:ind w:left="1777" w:hanging="360"/>
      </w:pPr>
      <w:rPr>
        <w:rFonts w:ascii="Times New Roman" w:eastAsiaTheme="minorEastAsia" w:hAnsi="Times New Roman" w:cs="Times New Roman"/>
        <w:i/>
        <w:iCs/>
      </w:rPr>
    </w:lvl>
    <w:lvl w:ilvl="2">
      <w:start w:val="1"/>
      <w:numFmt w:val="decimal"/>
      <w:lvlText w:val="%1.%2.%3."/>
      <w:lvlJc w:val="left"/>
      <w:pPr>
        <w:ind w:left="1287" w:hanging="720"/>
      </w:pPr>
      <w:rPr>
        <w:rFonts w:cstheme="minorBidi" w:hint="default"/>
      </w:rPr>
    </w:lvl>
    <w:lvl w:ilvl="3">
      <w:start w:val="1"/>
      <w:numFmt w:val="decimal"/>
      <w:lvlText w:val="%1.%2.%3.%4."/>
      <w:lvlJc w:val="left"/>
      <w:pPr>
        <w:ind w:left="1287" w:hanging="720"/>
      </w:pPr>
      <w:rPr>
        <w:rFonts w:cstheme="minorBidi" w:hint="default"/>
      </w:rPr>
    </w:lvl>
    <w:lvl w:ilvl="4">
      <w:start w:val="1"/>
      <w:numFmt w:val="decimal"/>
      <w:lvlText w:val="%1.%2.%3.%4.%5."/>
      <w:lvlJc w:val="left"/>
      <w:pPr>
        <w:ind w:left="1647" w:hanging="1080"/>
      </w:pPr>
      <w:rPr>
        <w:rFonts w:cstheme="minorBidi" w:hint="default"/>
      </w:rPr>
    </w:lvl>
    <w:lvl w:ilvl="5">
      <w:start w:val="1"/>
      <w:numFmt w:val="decimal"/>
      <w:lvlText w:val="%1.%2.%3.%4.%5.%6."/>
      <w:lvlJc w:val="left"/>
      <w:pPr>
        <w:ind w:left="1647" w:hanging="1080"/>
      </w:pPr>
      <w:rPr>
        <w:rFonts w:cstheme="minorBidi" w:hint="default"/>
      </w:rPr>
    </w:lvl>
    <w:lvl w:ilvl="6">
      <w:start w:val="1"/>
      <w:numFmt w:val="decimal"/>
      <w:lvlText w:val="%1.%2.%3.%4.%5.%6.%7."/>
      <w:lvlJc w:val="left"/>
      <w:pPr>
        <w:ind w:left="2007" w:hanging="1440"/>
      </w:pPr>
      <w:rPr>
        <w:rFonts w:cstheme="minorBidi" w:hint="default"/>
      </w:rPr>
    </w:lvl>
    <w:lvl w:ilvl="7">
      <w:start w:val="1"/>
      <w:numFmt w:val="decimal"/>
      <w:lvlText w:val="%1.%2.%3.%4.%5.%6.%7.%8."/>
      <w:lvlJc w:val="left"/>
      <w:pPr>
        <w:ind w:left="2007" w:hanging="1440"/>
      </w:pPr>
      <w:rPr>
        <w:rFonts w:cstheme="minorBidi" w:hint="default"/>
      </w:rPr>
    </w:lvl>
    <w:lvl w:ilvl="8">
      <w:start w:val="1"/>
      <w:numFmt w:val="decimal"/>
      <w:lvlText w:val="%1.%2.%3.%4.%5.%6.%7.%8.%9."/>
      <w:lvlJc w:val="left"/>
      <w:pPr>
        <w:ind w:left="2367" w:hanging="1800"/>
      </w:pPr>
      <w:rPr>
        <w:rFonts w:cstheme="minorBidi" w:hint="default"/>
      </w:rPr>
    </w:lvl>
  </w:abstractNum>
  <w:abstractNum w:abstractNumId="25" w15:restartNumberingAfterBreak="0">
    <w:nsid w:val="32104C65"/>
    <w:multiLevelType w:val="multilevel"/>
    <w:tmpl w:val="1338BC2A"/>
    <w:lvl w:ilvl="0">
      <w:start w:val="4"/>
      <w:numFmt w:val="decimal"/>
      <w:lvlText w:val="%1."/>
      <w:lvlJc w:val="left"/>
      <w:pPr>
        <w:ind w:left="3660" w:hanging="540"/>
      </w:pPr>
      <w:rPr>
        <w:rFonts w:hint="default"/>
      </w:rPr>
    </w:lvl>
    <w:lvl w:ilvl="1">
      <w:start w:val="5"/>
      <w:numFmt w:val="decimal"/>
      <w:lvlText w:val="%1.%2."/>
      <w:lvlJc w:val="left"/>
      <w:pPr>
        <w:ind w:left="3840" w:hanging="540"/>
      </w:pPr>
      <w:rPr>
        <w:rFonts w:hint="default"/>
      </w:rPr>
    </w:lvl>
    <w:lvl w:ilvl="2">
      <w:start w:val="2"/>
      <w:numFmt w:val="decimal"/>
      <w:lvlText w:val="%1.%2.%3."/>
      <w:lvlJc w:val="left"/>
      <w:pPr>
        <w:ind w:left="4200" w:hanging="720"/>
      </w:pPr>
      <w:rPr>
        <w:rFonts w:hint="default"/>
      </w:rPr>
    </w:lvl>
    <w:lvl w:ilvl="3">
      <w:start w:val="1"/>
      <w:numFmt w:val="decimal"/>
      <w:lvlText w:val="%1.%2.%3.%4."/>
      <w:lvlJc w:val="left"/>
      <w:pPr>
        <w:ind w:left="438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10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360" w:hanging="1800"/>
      </w:pPr>
      <w:rPr>
        <w:rFonts w:hint="default"/>
      </w:rPr>
    </w:lvl>
  </w:abstractNum>
  <w:abstractNum w:abstractNumId="26" w15:restartNumberingAfterBreak="0">
    <w:nsid w:val="3A8B25F3"/>
    <w:multiLevelType w:val="hybridMultilevel"/>
    <w:tmpl w:val="3484044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3B382649"/>
    <w:multiLevelType w:val="hybridMultilevel"/>
    <w:tmpl w:val="AE8234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BFB498D"/>
    <w:multiLevelType w:val="hybridMultilevel"/>
    <w:tmpl w:val="F1BC58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E213425"/>
    <w:multiLevelType w:val="hybridMultilevel"/>
    <w:tmpl w:val="5628B0F0"/>
    <w:lvl w:ilvl="0" w:tplc="EB640E3C">
      <w:start w:val="18"/>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E3C3C5A"/>
    <w:multiLevelType w:val="hybridMultilevel"/>
    <w:tmpl w:val="90E8B908"/>
    <w:lvl w:ilvl="0" w:tplc="D748958C">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3FF31404"/>
    <w:multiLevelType w:val="hybridMultilevel"/>
    <w:tmpl w:val="EB98DF8C"/>
    <w:lvl w:ilvl="0" w:tplc="0B5889C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49810FAA"/>
    <w:multiLevelType w:val="hybridMultilevel"/>
    <w:tmpl w:val="1EB2D4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07A2C8F"/>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34" w15:restartNumberingAfterBreak="0">
    <w:nsid w:val="507F5D42"/>
    <w:multiLevelType w:val="hybridMultilevel"/>
    <w:tmpl w:val="E62A7F12"/>
    <w:lvl w:ilvl="0" w:tplc="362CC440">
      <w:start w:val="1"/>
      <w:numFmt w:val="bullet"/>
      <w:lvlText w:val=""/>
      <w:lvlJc w:val="left"/>
      <w:pPr>
        <w:ind w:left="1440" w:hanging="360"/>
      </w:pPr>
      <w:rPr>
        <w:rFonts w:ascii="Symbol" w:hAnsi="Symbol"/>
      </w:rPr>
    </w:lvl>
    <w:lvl w:ilvl="1" w:tplc="65EC9AA0">
      <w:start w:val="1"/>
      <w:numFmt w:val="bullet"/>
      <w:lvlText w:val=""/>
      <w:lvlJc w:val="left"/>
      <w:pPr>
        <w:ind w:left="1440" w:hanging="360"/>
      </w:pPr>
      <w:rPr>
        <w:rFonts w:ascii="Symbol" w:hAnsi="Symbol"/>
      </w:rPr>
    </w:lvl>
    <w:lvl w:ilvl="2" w:tplc="57909602">
      <w:start w:val="1"/>
      <w:numFmt w:val="bullet"/>
      <w:lvlText w:val=""/>
      <w:lvlJc w:val="left"/>
      <w:pPr>
        <w:ind w:left="1440" w:hanging="360"/>
      </w:pPr>
      <w:rPr>
        <w:rFonts w:ascii="Symbol" w:hAnsi="Symbol"/>
      </w:rPr>
    </w:lvl>
    <w:lvl w:ilvl="3" w:tplc="32AA20E4">
      <w:start w:val="1"/>
      <w:numFmt w:val="bullet"/>
      <w:lvlText w:val=""/>
      <w:lvlJc w:val="left"/>
      <w:pPr>
        <w:ind w:left="1440" w:hanging="360"/>
      </w:pPr>
      <w:rPr>
        <w:rFonts w:ascii="Symbol" w:hAnsi="Symbol"/>
      </w:rPr>
    </w:lvl>
    <w:lvl w:ilvl="4" w:tplc="0BBC8766">
      <w:start w:val="1"/>
      <w:numFmt w:val="bullet"/>
      <w:lvlText w:val=""/>
      <w:lvlJc w:val="left"/>
      <w:pPr>
        <w:ind w:left="1440" w:hanging="360"/>
      </w:pPr>
      <w:rPr>
        <w:rFonts w:ascii="Symbol" w:hAnsi="Symbol"/>
      </w:rPr>
    </w:lvl>
    <w:lvl w:ilvl="5" w:tplc="C05AAE70">
      <w:start w:val="1"/>
      <w:numFmt w:val="bullet"/>
      <w:lvlText w:val=""/>
      <w:lvlJc w:val="left"/>
      <w:pPr>
        <w:ind w:left="1440" w:hanging="360"/>
      </w:pPr>
      <w:rPr>
        <w:rFonts w:ascii="Symbol" w:hAnsi="Symbol"/>
      </w:rPr>
    </w:lvl>
    <w:lvl w:ilvl="6" w:tplc="7184746C">
      <w:start w:val="1"/>
      <w:numFmt w:val="bullet"/>
      <w:lvlText w:val=""/>
      <w:lvlJc w:val="left"/>
      <w:pPr>
        <w:ind w:left="1440" w:hanging="360"/>
      </w:pPr>
      <w:rPr>
        <w:rFonts w:ascii="Symbol" w:hAnsi="Symbol"/>
      </w:rPr>
    </w:lvl>
    <w:lvl w:ilvl="7" w:tplc="B5E6CD82">
      <w:start w:val="1"/>
      <w:numFmt w:val="bullet"/>
      <w:lvlText w:val=""/>
      <w:lvlJc w:val="left"/>
      <w:pPr>
        <w:ind w:left="1440" w:hanging="360"/>
      </w:pPr>
      <w:rPr>
        <w:rFonts w:ascii="Symbol" w:hAnsi="Symbol"/>
      </w:rPr>
    </w:lvl>
    <w:lvl w:ilvl="8" w:tplc="A90A80A0">
      <w:start w:val="1"/>
      <w:numFmt w:val="bullet"/>
      <w:lvlText w:val=""/>
      <w:lvlJc w:val="left"/>
      <w:pPr>
        <w:ind w:left="1440" w:hanging="360"/>
      </w:pPr>
      <w:rPr>
        <w:rFonts w:ascii="Symbol" w:hAnsi="Symbol"/>
      </w:rPr>
    </w:lvl>
  </w:abstractNum>
  <w:abstractNum w:abstractNumId="35" w15:restartNumberingAfterBreak="0">
    <w:nsid w:val="51E86E9D"/>
    <w:multiLevelType w:val="hybridMultilevel"/>
    <w:tmpl w:val="7F020FA8"/>
    <w:lvl w:ilvl="0" w:tplc="E6864510">
      <w:start w:val="1"/>
      <w:numFmt w:val="decimal"/>
      <w:lvlText w:val="%1."/>
      <w:lvlJc w:val="left"/>
      <w:pPr>
        <w:ind w:left="1020" w:hanging="360"/>
      </w:pPr>
    </w:lvl>
    <w:lvl w:ilvl="1" w:tplc="06320D32">
      <w:start w:val="1"/>
      <w:numFmt w:val="decimal"/>
      <w:lvlText w:val="%2."/>
      <w:lvlJc w:val="left"/>
      <w:pPr>
        <w:ind w:left="1020" w:hanging="360"/>
      </w:pPr>
    </w:lvl>
    <w:lvl w:ilvl="2" w:tplc="A4B2E1E6">
      <w:start w:val="1"/>
      <w:numFmt w:val="decimal"/>
      <w:lvlText w:val="%3."/>
      <w:lvlJc w:val="left"/>
      <w:pPr>
        <w:ind w:left="1020" w:hanging="360"/>
      </w:pPr>
    </w:lvl>
    <w:lvl w:ilvl="3" w:tplc="F906EF66">
      <w:start w:val="1"/>
      <w:numFmt w:val="decimal"/>
      <w:lvlText w:val="%4."/>
      <w:lvlJc w:val="left"/>
      <w:pPr>
        <w:ind w:left="1020" w:hanging="360"/>
      </w:pPr>
    </w:lvl>
    <w:lvl w:ilvl="4" w:tplc="C9AC437C">
      <w:start w:val="1"/>
      <w:numFmt w:val="decimal"/>
      <w:lvlText w:val="%5."/>
      <w:lvlJc w:val="left"/>
      <w:pPr>
        <w:ind w:left="1020" w:hanging="360"/>
      </w:pPr>
    </w:lvl>
    <w:lvl w:ilvl="5" w:tplc="3D54540C">
      <w:start w:val="1"/>
      <w:numFmt w:val="decimal"/>
      <w:lvlText w:val="%6."/>
      <w:lvlJc w:val="left"/>
      <w:pPr>
        <w:ind w:left="1020" w:hanging="360"/>
      </w:pPr>
    </w:lvl>
    <w:lvl w:ilvl="6" w:tplc="A34AFF68">
      <w:start w:val="1"/>
      <w:numFmt w:val="decimal"/>
      <w:lvlText w:val="%7."/>
      <w:lvlJc w:val="left"/>
      <w:pPr>
        <w:ind w:left="1020" w:hanging="360"/>
      </w:pPr>
    </w:lvl>
    <w:lvl w:ilvl="7" w:tplc="D1BCCB4C">
      <w:start w:val="1"/>
      <w:numFmt w:val="decimal"/>
      <w:lvlText w:val="%8."/>
      <w:lvlJc w:val="left"/>
      <w:pPr>
        <w:ind w:left="1020" w:hanging="360"/>
      </w:pPr>
    </w:lvl>
    <w:lvl w:ilvl="8" w:tplc="A03E0F66">
      <w:start w:val="1"/>
      <w:numFmt w:val="decimal"/>
      <w:lvlText w:val="%9."/>
      <w:lvlJc w:val="left"/>
      <w:pPr>
        <w:ind w:left="1020" w:hanging="360"/>
      </w:pPr>
    </w:lvl>
  </w:abstractNum>
  <w:abstractNum w:abstractNumId="36" w15:restartNumberingAfterBreak="0">
    <w:nsid w:val="53890486"/>
    <w:multiLevelType w:val="multilevel"/>
    <w:tmpl w:val="6A803874"/>
    <w:lvl w:ilvl="0">
      <w:start w:val="1"/>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37" w15:restartNumberingAfterBreak="0">
    <w:nsid w:val="57C3225E"/>
    <w:multiLevelType w:val="hybridMultilevel"/>
    <w:tmpl w:val="580AF8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5D927290"/>
    <w:multiLevelType w:val="hybridMultilevel"/>
    <w:tmpl w:val="B5202214"/>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9" w15:restartNumberingAfterBreak="0">
    <w:nsid w:val="625E7FA5"/>
    <w:multiLevelType w:val="multilevel"/>
    <w:tmpl w:val="5FDCD9B2"/>
    <w:lvl w:ilvl="0">
      <w:start w:val="5"/>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none"/>
      <w:isLgl/>
      <w:lvlText w:val="5.1.7."/>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85009BA"/>
    <w:multiLevelType w:val="hybridMultilevel"/>
    <w:tmpl w:val="AC94318E"/>
    <w:lvl w:ilvl="0" w:tplc="9384C272">
      <w:start w:val="1"/>
      <w:numFmt w:val="bullet"/>
      <w:lvlText w:val=""/>
      <w:lvlJc w:val="left"/>
      <w:pPr>
        <w:ind w:left="720" w:hanging="360"/>
      </w:pPr>
      <w:rPr>
        <w:rFonts w:ascii="Symbol" w:hAnsi="Symbol"/>
      </w:rPr>
    </w:lvl>
    <w:lvl w:ilvl="1" w:tplc="44C00C1C">
      <w:start w:val="1"/>
      <w:numFmt w:val="bullet"/>
      <w:lvlText w:val=""/>
      <w:lvlJc w:val="left"/>
      <w:pPr>
        <w:ind w:left="720" w:hanging="360"/>
      </w:pPr>
      <w:rPr>
        <w:rFonts w:ascii="Symbol" w:hAnsi="Symbol"/>
      </w:rPr>
    </w:lvl>
    <w:lvl w:ilvl="2" w:tplc="F282EB6A">
      <w:start w:val="1"/>
      <w:numFmt w:val="bullet"/>
      <w:lvlText w:val=""/>
      <w:lvlJc w:val="left"/>
      <w:pPr>
        <w:ind w:left="720" w:hanging="360"/>
      </w:pPr>
      <w:rPr>
        <w:rFonts w:ascii="Symbol" w:hAnsi="Symbol"/>
      </w:rPr>
    </w:lvl>
    <w:lvl w:ilvl="3" w:tplc="FD8A60B4">
      <w:start w:val="1"/>
      <w:numFmt w:val="bullet"/>
      <w:lvlText w:val=""/>
      <w:lvlJc w:val="left"/>
      <w:pPr>
        <w:ind w:left="720" w:hanging="360"/>
      </w:pPr>
      <w:rPr>
        <w:rFonts w:ascii="Symbol" w:hAnsi="Symbol"/>
      </w:rPr>
    </w:lvl>
    <w:lvl w:ilvl="4" w:tplc="3A4E0C92">
      <w:start w:val="1"/>
      <w:numFmt w:val="bullet"/>
      <w:lvlText w:val=""/>
      <w:lvlJc w:val="left"/>
      <w:pPr>
        <w:ind w:left="720" w:hanging="360"/>
      </w:pPr>
      <w:rPr>
        <w:rFonts w:ascii="Symbol" w:hAnsi="Symbol"/>
      </w:rPr>
    </w:lvl>
    <w:lvl w:ilvl="5" w:tplc="A9442284">
      <w:start w:val="1"/>
      <w:numFmt w:val="bullet"/>
      <w:lvlText w:val=""/>
      <w:lvlJc w:val="left"/>
      <w:pPr>
        <w:ind w:left="720" w:hanging="360"/>
      </w:pPr>
      <w:rPr>
        <w:rFonts w:ascii="Symbol" w:hAnsi="Symbol"/>
      </w:rPr>
    </w:lvl>
    <w:lvl w:ilvl="6" w:tplc="8F08A348">
      <w:start w:val="1"/>
      <w:numFmt w:val="bullet"/>
      <w:lvlText w:val=""/>
      <w:lvlJc w:val="left"/>
      <w:pPr>
        <w:ind w:left="720" w:hanging="360"/>
      </w:pPr>
      <w:rPr>
        <w:rFonts w:ascii="Symbol" w:hAnsi="Symbol"/>
      </w:rPr>
    </w:lvl>
    <w:lvl w:ilvl="7" w:tplc="6B74DB9C">
      <w:start w:val="1"/>
      <w:numFmt w:val="bullet"/>
      <w:lvlText w:val=""/>
      <w:lvlJc w:val="left"/>
      <w:pPr>
        <w:ind w:left="720" w:hanging="360"/>
      </w:pPr>
      <w:rPr>
        <w:rFonts w:ascii="Symbol" w:hAnsi="Symbol"/>
      </w:rPr>
    </w:lvl>
    <w:lvl w:ilvl="8" w:tplc="84264F34">
      <w:start w:val="1"/>
      <w:numFmt w:val="bullet"/>
      <w:lvlText w:val=""/>
      <w:lvlJc w:val="left"/>
      <w:pPr>
        <w:ind w:left="720" w:hanging="360"/>
      </w:pPr>
      <w:rPr>
        <w:rFonts w:ascii="Symbol" w:hAnsi="Symbol"/>
      </w:rPr>
    </w:lvl>
  </w:abstractNum>
  <w:abstractNum w:abstractNumId="41" w15:restartNumberingAfterBreak="0">
    <w:nsid w:val="69732055"/>
    <w:multiLevelType w:val="hybridMultilevel"/>
    <w:tmpl w:val="96B89AB8"/>
    <w:lvl w:ilvl="0" w:tplc="06BCCE8A">
      <w:start w:val="1"/>
      <w:numFmt w:val="bullet"/>
      <w:lvlText w:val=""/>
      <w:lvlJc w:val="left"/>
      <w:pPr>
        <w:ind w:left="1440" w:hanging="360"/>
      </w:pPr>
      <w:rPr>
        <w:rFonts w:ascii="Symbol" w:hAnsi="Symbol" w:hint="default"/>
        <w:sz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A963C97"/>
    <w:multiLevelType w:val="hybridMultilevel"/>
    <w:tmpl w:val="FE34C968"/>
    <w:lvl w:ilvl="0" w:tplc="CD7215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9C4912"/>
    <w:multiLevelType w:val="hybridMultilevel"/>
    <w:tmpl w:val="FEFE0D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690E61"/>
    <w:multiLevelType w:val="hybridMultilevel"/>
    <w:tmpl w:val="AC2A3D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20F748D"/>
    <w:multiLevelType w:val="multilevel"/>
    <w:tmpl w:val="417EDC6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6" w15:restartNumberingAfterBreak="0">
    <w:nsid w:val="721F5887"/>
    <w:multiLevelType w:val="hybridMultilevel"/>
    <w:tmpl w:val="B3040F6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743032DA"/>
    <w:multiLevelType w:val="hybridMultilevel"/>
    <w:tmpl w:val="D42E8850"/>
    <w:lvl w:ilvl="0" w:tplc="A1442578">
      <w:start w:val="1"/>
      <w:numFmt w:val="decimal"/>
      <w:lvlText w:val="%1."/>
      <w:lvlJc w:val="left"/>
      <w:pPr>
        <w:ind w:left="1210" w:hanging="360"/>
      </w:pPr>
      <w:rPr>
        <w:rFonts w:hint="default"/>
        <w:i w:val="0"/>
      </w:rPr>
    </w:lvl>
    <w:lvl w:ilvl="1" w:tplc="E0FCC8FC">
      <w:start w:val="1"/>
      <w:numFmt w:val="lowerLetter"/>
      <w:lvlText w:val="%2."/>
      <w:lvlJc w:val="left"/>
      <w:pPr>
        <w:ind w:left="1930" w:hanging="360"/>
      </w:pPr>
      <w:rPr>
        <w:i/>
        <w:iCs/>
      </w:r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48" w15:restartNumberingAfterBreak="0">
    <w:nsid w:val="74A41B62"/>
    <w:multiLevelType w:val="hybridMultilevel"/>
    <w:tmpl w:val="38AC955E"/>
    <w:lvl w:ilvl="0" w:tplc="221E485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9" w15:restartNumberingAfterBreak="0">
    <w:nsid w:val="74FC38FA"/>
    <w:multiLevelType w:val="hybridMultilevel"/>
    <w:tmpl w:val="0C50B644"/>
    <w:lvl w:ilvl="0" w:tplc="D570B1AC">
      <w:start w:val="1"/>
      <w:numFmt w:val="decimal"/>
      <w:lvlText w:val="%1)"/>
      <w:lvlJc w:val="left"/>
      <w:pPr>
        <w:ind w:left="720" w:hanging="360"/>
      </w:pPr>
    </w:lvl>
    <w:lvl w:ilvl="1" w:tplc="84E6DAEE">
      <w:start w:val="1"/>
      <w:numFmt w:val="decimal"/>
      <w:lvlText w:val="%2)"/>
      <w:lvlJc w:val="left"/>
      <w:pPr>
        <w:ind w:left="720" w:hanging="360"/>
      </w:pPr>
    </w:lvl>
    <w:lvl w:ilvl="2" w:tplc="77AA5978">
      <w:start w:val="1"/>
      <w:numFmt w:val="decimal"/>
      <w:lvlText w:val="%3)"/>
      <w:lvlJc w:val="left"/>
      <w:pPr>
        <w:ind w:left="720" w:hanging="360"/>
      </w:pPr>
    </w:lvl>
    <w:lvl w:ilvl="3" w:tplc="AE8CB966">
      <w:start w:val="1"/>
      <w:numFmt w:val="decimal"/>
      <w:lvlText w:val="%4)"/>
      <w:lvlJc w:val="left"/>
      <w:pPr>
        <w:ind w:left="720" w:hanging="360"/>
      </w:pPr>
    </w:lvl>
    <w:lvl w:ilvl="4" w:tplc="071AE37A">
      <w:start w:val="1"/>
      <w:numFmt w:val="decimal"/>
      <w:lvlText w:val="%5)"/>
      <w:lvlJc w:val="left"/>
      <w:pPr>
        <w:ind w:left="720" w:hanging="360"/>
      </w:pPr>
    </w:lvl>
    <w:lvl w:ilvl="5" w:tplc="79BEF868">
      <w:start w:val="1"/>
      <w:numFmt w:val="decimal"/>
      <w:lvlText w:val="%6)"/>
      <w:lvlJc w:val="left"/>
      <w:pPr>
        <w:ind w:left="720" w:hanging="360"/>
      </w:pPr>
    </w:lvl>
    <w:lvl w:ilvl="6" w:tplc="63367B44">
      <w:start w:val="1"/>
      <w:numFmt w:val="decimal"/>
      <w:lvlText w:val="%7)"/>
      <w:lvlJc w:val="left"/>
      <w:pPr>
        <w:ind w:left="720" w:hanging="360"/>
      </w:pPr>
    </w:lvl>
    <w:lvl w:ilvl="7" w:tplc="4E8CCED8">
      <w:start w:val="1"/>
      <w:numFmt w:val="decimal"/>
      <w:lvlText w:val="%8)"/>
      <w:lvlJc w:val="left"/>
      <w:pPr>
        <w:ind w:left="720" w:hanging="360"/>
      </w:pPr>
    </w:lvl>
    <w:lvl w:ilvl="8" w:tplc="C7EAD59E">
      <w:start w:val="1"/>
      <w:numFmt w:val="decimal"/>
      <w:lvlText w:val="%9)"/>
      <w:lvlJc w:val="left"/>
      <w:pPr>
        <w:ind w:left="720" w:hanging="360"/>
      </w:pPr>
    </w:lvl>
  </w:abstractNum>
  <w:abstractNum w:abstractNumId="50" w15:restartNumberingAfterBreak="0">
    <w:nsid w:val="75587968"/>
    <w:multiLevelType w:val="multilevel"/>
    <w:tmpl w:val="9A6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A124F81"/>
    <w:multiLevelType w:val="hybridMultilevel"/>
    <w:tmpl w:val="0C28B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AD62FE7"/>
    <w:multiLevelType w:val="hybridMultilevel"/>
    <w:tmpl w:val="06180E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C2A3B87"/>
    <w:multiLevelType w:val="hybridMultilevel"/>
    <w:tmpl w:val="D9C291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7C8556AD"/>
    <w:multiLevelType w:val="hybridMultilevel"/>
    <w:tmpl w:val="DA769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5" w15:restartNumberingAfterBreak="0">
    <w:nsid w:val="7CC85920"/>
    <w:multiLevelType w:val="hybridMultilevel"/>
    <w:tmpl w:val="1A0A52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7E071A3A"/>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num w:numId="1" w16cid:durableId="327708572">
    <w:abstractNumId w:val="10"/>
  </w:num>
  <w:num w:numId="2" w16cid:durableId="836768036">
    <w:abstractNumId w:val="41"/>
  </w:num>
  <w:num w:numId="3" w16cid:durableId="121923141">
    <w:abstractNumId w:val="36"/>
  </w:num>
  <w:num w:numId="4" w16cid:durableId="523371968">
    <w:abstractNumId w:val="33"/>
  </w:num>
  <w:num w:numId="5" w16cid:durableId="128404468">
    <w:abstractNumId w:val="23"/>
  </w:num>
  <w:num w:numId="6" w16cid:durableId="999163005">
    <w:abstractNumId w:val="19"/>
  </w:num>
  <w:num w:numId="7" w16cid:durableId="1010641289">
    <w:abstractNumId w:val="21"/>
  </w:num>
  <w:num w:numId="8" w16cid:durableId="144319486">
    <w:abstractNumId w:val="6"/>
  </w:num>
  <w:num w:numId="9" w16cid:durableId="686911027">
    <w:abstractNumId w:val="43"/>
  </w:num>
  <w:num w:numId="10" w16cid:durableId="151718896">
    <w:abstractNumId w:val="26"/>
  </w:num>
  <w:num w:numId="11" w16cid:durableId="1978339954">
    <w:abstractNumId w:val="28"/>
  </w:num>
  <w:num w:numId="12" w16cid:durableId="1028482950">
    <w:abstractNumId w:val="20"/>
  </w:num>
  <w:num w:numId="13" w16cid:durableId="352344497">
    <w:abstractNumId w:val="37"/>
  </w:num>
  <w:num w:numId="14" w16cid:durableId="2126537891">
    <w:abstractNumId w:val="7"/>
  </w:num>
  <w:num w:numId="15" w16cid:durableId="1109351438">
    <w:abstractNumId w:val="31"/>
  </w:num>
  <w:num w:numId="16" w16cid:durableId="410734585">
    <w:abstractNumId w:val="4"/>
  </w:num>
  <w:num w:numId="17" w16cid:durableId="394279652">
    <w:abstractNumId w:val="42"/>
  </w:num>
  <w:num w:numId="18" w16cid:durableId="1475101460">
    <w:abstractNumId w:val="0"/>
  </w:num>
  <w:num w:numId="19" w16cid:durableId="1619601399">
    <w:abstractNumId w:val="10"/>
  </w:num>
  <w:num w:numId="20" w16cid:durableId="1602179476">
    <w:abstractNumId w:val="3"/>
  </w:num>
  <w:num w:numId="21" w16cid:durableId="913467974">
    <w:abstractNumId w:val="10"/>
  </w:num>
  <w:num w:numId="22" w16cid:durableId="856888238">
    <w:abstractNumId w:val="10"/>
  </w:num>
  <w:num w:numId="23" w16cid:durableId="1829049977">
    <w:abstractNumId w:val="29"/>
  </w:num>
  <w:num w:numId="24" w16cid:durableId="225534474">
    <w:abstractNumId w:val="52"/>
  </w:num>
  <w:num w:numId="25" w16cid:durableId="267399200">
    <w:abstractNumId w:val="10"/>
  </w:num>
  <w:num w:numId="26" w16cid:durableId="1741096747">
    <w:abstractNumId w:val="17"/>
  </w:num>
  <w:num w:numId="27" w16cid:durableId="856819403">
    <w:abstractNumId w:val="10"/>
  </w:num>
  <w:num w:numId="28" w16cid:durableId="1279994357">
    <w:abstractNumId w:val="8"/>
  </w:num>
  <w:num w:numId="29" w16cid:durableId="4988908">
    <w:abstractNumId w:val="45"/>
  </w:num>
  <w:num w:numId="30" w16cid:durableId="1739861815">
    <w:abstractNumId w:val="16"/>
  </w:num>
  <w:num w:numId="31" w16cid:durableId="1899709267">
    <w:abstractNumId w:val="46"/>
  </w:num>
  <w:num w:numId="32" w16cid:durableId="1009717288">
    <w:abstractNumId w:val="44"/>
  </w:num>
  <w:num w:numId="33" w16cid:durableId="204952367">
    <w:abstractNumId w:val="1"/>
  </w:num>
  <w:num w:numId="34" w16cid:durableId="1664352526">
    <w:abstractNumId w:val="18"/>
  </w:num>
  <w:num w:numId="35" w16cid:durableId="1332172825">
    <w:abstractNumId w:val="55"/>
  </w:num>
  <w:num w:numId="36" w16cid:durableId="910233518">
    <w:abstractNumId w:val="22"/>
  </w:num>
  <w:num w:numId="37" w16cid:durableId="244923542">
    <w:abstractNumId w:val="50"/>
  </w:num>
  <w:num w:numId="38" w16cid:durableId="151412424">
    <w:abstractNumId w:val="48"/>
  </w:num>
  <w:num w:numId="39" w16cid:durableId="219370878">
    <w:abstractNumId w:val="54"/>
  </w:num>
  <w:num w:numId="40" w16cid:durableId="542258213">
    <w:abstractNumId w:val="10"/>
  </w:num>
  <w:num w:numId="41" w16cid:durableId="140853631">
    <w:abstractNumId w:val="11"/>
  </w:num>
  <w:num w:numId="42" w16cid:durableId="1737389785">
    <w:abstractNumId w:val="5"/>
  </w:num>
  <w:num w:numId="43" w16cid:durableId="343553788">
    <w:abstractNumId w:val="10"/>
  </w:num>
  <w:num w:numId="44" w16cid:durableId="1624995378">
    <w:abstractNumId w:val="10"/>
  </w:num>
  <w:num w:numId="45" w16cid:durableId="1259143698">
    <w:abstractNumId w:val="10"/>
  </w:num>
  <w:num w:numId="46" w16cid:durableId="1777627339">
    <w:abstractNumId w:val="10"/>
  </w:num>
  <w:num w:numId="47" w16cid:durableId="1597055602">
    <w:abstractNumId w:val="10"/>
  </w:num>
  <w:num w:numId="48" w16cid:durableId="196943461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81430521">
    <w:abstractNumId w:val="10"/>
  </w:num>
  <w:num w:numId="50" w16cid:durableId="1117407904">
    <w:abstractNumId w:val="10"/>
  </w:num>
  <w:num w:numId="51" w16cid:durableId="548883778">
    <w:abstractNumId w:val="14"/>
  </w:num>
  <w:num w:numId="52" w16cid:durableId="1204368210">
    <w:abstractNumId w:val="56"/>
  </w:num>
  <w:num w:numId="53" w16cid:durableId="544486789">
    <w:abstractNumId w:val="10"/>
  </w:num>
  <w:num w:numId="54" w16cid:durableId="590050189">
    <w:abstractNumId w:val="10"/>
  </w:num>
  <w:num w:numId="55" w16cid:durableId="434790916">
    <w:abstractNumId w:val="13"/>
  </w:num>
  <w:num w:numId="56" w16cid:durableId="233511484">
    <w:abstractNumId w:val="34"/>
  </w:num>
  <w:num w:numId="57" w16cid:durableId="80567940">
    <w:abstractNumId w:val="32"/>
  </w:num>
  <w:num w:numId="58" w16cid:durableId="24135698">
    <w:abstractNumId w:val="27"/>
  </w:num>
  <w:num w:numId="59" w16cid:durableId="319887129">
    <w:abstractNumId w:val="10"/>
  </w:num>
  <w:num w:numId="60" w16cid:durableId="3435490">
    <w:abstractNumId w:val="40"/>
  </w:num>
  <w:num w:numId="61" w16cid:durableId="1576746942">
    <w:abstractNumId w:val="15"/>
  </w:num>
  <w:num w:numId="62" w16cid:durableId="103115810">
    <w:abstractNumId w:val="25"/>
  </w:num>
  <w:num w:numId="63" w16cid:durableId="234560179">
    <w:abstractNumId w:val="53"/>
  </w:num>
  <w:num w:numId="64" w16cid:durableId="836309575">
    <w:abstractNumId w:val="30"/>
  </w:num>
  <w:num w:numId="65" w16cid:durableId="2022656116">
    <w:abstractNumId w:val="47"/>
  </w:num>
  <w:num w:numId="66" w16cid:durableId="269045454">
    <w:abstractNumId w:val="24"/>
  </w:num>
  <w:num w:numId="67" w16cid:durableId="1718237792">
    <w:abstractNumId w:val="49"/>
  </w:num>
  <w:num w:numId="68" w16cid:durableId="226767186">
    <w:abstractNumId w:val="35"/>
  </w:num>
  <w:num w:numId="69" w16cid:durableId="178200323">
    <w:abstractNumId w:val="38"/>
  </w:num>
  <w:num w:numId="70" w16cid:durableId="1580016650">
    <w:abstractNumId w:val="12"/>
  </w:num>
  <w:num w:numId="71" w16cid:durableId="2036346277">
    <w:abstractNumId w:val="9"/>
  </w:num>
  <w:num w:numId="72" w16cid:durableId="900672913">
    <w:abstractNumId w:val="39"/>
  </w:num>
  <w:num w:numId="73" w16cid:durableId="3825182">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C9"/>
    <w:rsid w:val="00000349"/>
    <w:rsid w:val="000003C9"/>
    <w:rsid w:val="0000136E"/>
    <w:rsid w:val="00001765"/>
    <w:rsid w:val="0000194F"/>
    <w:rsid w:val="000019E2"/>
    <w:rsid w:val="00001EE0"/>
    <w:rsid w:val="00002D28"/>
    <w:rsid w:val="00002D94"/>
    <w:rsid w:val="000037C3"/>
    <w:rsid w:val="000037EC"/>
    <w:rsid w:val="00003996"/>
    <w:rsid w:val="00003BB5"/>
    <w:rsid w:val="00003C6F"/>
    <w:rsid w:val="00004325"/>
    <w:rsid w:val="00004B7F"/>
    <w:rsid w:val="00005413"/>
    <w:rsid w:val="00005615"/>
    <w:rsid w:val="00005705"/>
    <w:rsid w:val="000063AD"/>
    <w:rsid w:val="00006F76"/>
    <w:rsid w:val="000070BD"/>
    <w:rsid w:val="000073EC"/>
    <w:rsid w:val="000075D7"/>
    <w:rsid w:val="000076DA"/>
    <w:rsid w:val="0000785E"/>
    <w:rsid w:val="00007A78"/>
    <w:rsid w:val="00010408"/>
    <w:rsid w:val="00010CB9"/>
    <w:rsid w:val="00010DA2"/>
    <w:rsid w:val="00010F4B"/>
    <w:rsid w:val="000117DF"/>
    <w:rsid w:val="00011851"/>
    <w:rsid w:val="00011AB2"/>
    <w:rsid w:val="00011AEC"/>
    <w:rsid w:val="00011C5B"/>
    <w:rsid w:val="00011EE9"/>
    <w:rsid w:val="000122A8"/>
    <w:rsid w:val="00013051"/>
    <w:rsid w:val="000138D9"/>
    <w:rsid w:val="00014B92"/>
    <w:rsid w:val="00014C8A"/>
    <w:rsid w:val="00014DD0"/>
    <w:rsid w:val="00015144"/>
    <w:rsid w:val="00015458"/>
    <w:rsid w:val="00015485"/>
    <w:rsid w:val="00015F91"/>
    <w:rsid w:val="000165CD"/>
    <w:rsid w:val="000165FB"/>
    <w:rsid w:val="00016822"/>
    <w:rsid w:val="000168C0"/>
    <w:rsid w:val="00016A28"/>
    <w:rsid w:val="00016A6A"/>
    <w:rsid w:val="00016CFE"/>
    <w:rsid w:val="00016DDA"/>
    <w:rsid w:val="000174B4"/>
    <w:rsid w:val="0001770A"/>
    <w:rsid w:val="00017C77"/>
    <w:rsid w:val="00017C8A"/>
    <w:rsid w:val="00017EDA"/>
    <w:rsid w:val="00020BF3"/>
    <w:rsid w:val="00021042"/>
    <w:rsid w:val="000210C1"/>
    <w:rsid w:val="00022211"/>
    <w:rsid w:val="0002227C"/>
    <w:rsid w:val="000229F7"/>
    <w:rsid w:val="00022CE1"/>
    <w:rsid w:val="00022D4B"/>
    <w:rsid w:val="00023233"/>
    <w:rsid w:val="00024C57"/>
    <w:rsid w:val="000251EF"/>
    <w:rsid w:val="00025575"/>
    <w:rsid w:val="0002686B"/>
    <w:rsid w:val="00026D25"/>
    <w:rsid w:val="00027268"/>
    <w:rsid w:val="00027323"/>
    <w:rsid w:val="000304F7"/>
    <w:rsid w:val="00031FA9"/>
    <w:rsid w:val="000321CA"/>
    <w:rsid w:val="00032287"/>
    <w:rsid w:val="000322BE"/>
    <w:rsid w:val="000325A8"/>
    <w:rsid w:val="00032C2D"/>
    <w:rsid w:val="00032EA4"/>
    <w:rsid w:val="0003306D"/>
    <w:rsid w:val="000331C3"/>
    <w:rsid w:val="000333D6"/>
    <w:rsid w:val="00033A71"/>
    <w:rsid w:val="00034143"/>
    <w:rsid w:val="000341AD"/>
    <w:rsid w:val="0003450A"/>
    <w:rsid w:val="0003453E"/>
    <w:rsid w:val="000345BD"/>
    <w:rsid w:val="000346E6"/>
    <w:rsid w:val="00035061"/>
    <w:rsid w:val="00035126"/>
    <w:rsid w:val="00035138"/>
    <w:rsid w:val="00035848"/>
    <w:rsid w:val="00035CE5"/>
    <w:rsid w:val="000367AB"/>
    <w:rsid w:val="0003697C"/>
    <w:rsid w:val="00037210"/>
    <w:rsid w:val="00037266"/>
    <w:rsid w:val="00037448"/>
    <w:rsid w:val="000375C6"/>
    <w:rsid w:val="00037638"/>
    <w:rsid w:val="00037BC1"/>
    <w:rsid w:val="00037E3F"/>
    <w:rsid w:val="0004033A"/>
    <w:rsid w:val="0004061D"/>
    <w:rsid w:val="00040831"/>
    <w:rsid w:val="00040B11"/>
    <w:rsid w:val="00041038"/>
    <w:rsid w:val="0004105F"/>
    <w:rsid w:val="00041244"/>
    <w:rsid w:val="000415A6"/>
    <w:rsid w:val="00041A09"/>
    <w:rsid w:val="0004274F"/>
    <w:rsid w:val="00042C9E"/>
    <w:rsid w:val="000437E0"/>
    <w:rsid w:val="00043C49"/>
    <w:rsid w:val="000441E3"/>
    <w:rsid w:val="0004429B"/>
    <w:rsid w:val="00044F5F"/>
    <w:rsid w:val="00044F85"/>
    <w:rsid w:val="0004526B"/>
    <w:rsid w:val="000459C4"/>
    <w:rsid w:val="0004636F"/>
    <w:rsid w:val="000464C4"/>
    <w:rsid w:val="00046FAC"/>
    <w:rsid w:val="000501AE"/>
    <w:rsid w:val="000506E8"/>
    <w:rsid w:val="00050820"/>
    <w:rsid w:val="000508F1"/>
    <w:rsid w:val="00051102"/>
    <w:rsid w:val="00052807"/>
    <w:rsid w:val="00052BC3"/>
    <w:rsid w:val="00052CD5"/>
    <w:rsid w:val="00052D08"/>
    <w:rsid w:val="000539A1"/>
    <w:rsid w:val="00053CBE"/>
    <w:rsid w:val="00054638"/>
    <w:rsid w:val="00054983"/>
    <w:rsid w:val="0005621F"/>
    <w:rsid w:val="0005676A"/>
    <w:rsid w:val="00056D49"/>
    <w:rsid w:val="00056E74"/>
    <w:rsid w:val="00060124"/>
    <w:rsid w:val="00060ECC"/>
    <w:rsid w:val="00061535"/>
    <w:rsid w:val="00061917"/>
    <w:rsid w:val="00061C36"/>
    <w:rsid w:val="0006210D"/>
    <w:rsid w:val="0006220F"/>
    <w:rsid w:val="00062824"/>
    <w:rsid w:val="00062F18"/>
    <w:rsid w:val="000634D7"/>
    <w:rsid w:val="00063557"/>
    <w:rsid w:val="00063C67"/>
    <w:rsid w:val="000646CC"/>
    <w:rsid w:val="00064743"/>
    <w:rsid w:val="00064769"/>
    <w:rsid w:val="00065390"/>
    <w:rsid w:val="00065655"/>
    <w:rsid w:val="00065F33"/>
    <w:rsid w:val="000661C7"/>
    <w:rsid w:val="000661CD"/>
    <w:rsid w:val="00066409"/>
    <w:rsid w:val="00067B45"/>
    <w:rsid w:val="00071230"/>
    <w:rsid w:val="00071539"/>
    <w:rsid w:val="00071CB5"/>
    <w:rsid w:val="00071D66"/>
    <w:rsid w:val="00072749"/>
    <w:rsid w:val="00072AE5"/>
    <w:rsid w:val="00072E73"/>
    <w:rsid w:val="00072E9B"/>
    <w:rsid w:val="00072EAB"/>
    <w:rsid w:val="00072F0F"/>
    <w:rsid w:val="000738C2"/>
    <w:rsid w:val="00073CB0"/>
    <w:rsid w:val="0007438B"/>
    <w:rsid w:val="00074865"/>
    <w:rsid w:val="00074A7C"/>
    <w:rsid w:val="00075814"/>
    <w:rsid w:val="00077218"/>
    <w:rsid w:val="000772FF"/>
    <w:rsid w:val="000774B5"/>
    <w:rsid w:val="000775DE"/>
    <w:rsid w:val="00077C41"/>
    <w:rsid w:val="00081A2D"/>
    <w:rsid w:val="00081CDD"/>
    <w:rsid w:val="00081D2D"/>
    <w:rsid w:val="00081DB6"/>
    <w:rsid w:val="00081FD8"/>
    <w:rsid w:val="00082C1F"/>
    <w:rsid w:val="00083085"/>
    <w:rsid w:val="00083F04"/>
    <w:rsid w:val="00084B6A"/>
    <w:rsid w:val="000854F4"/>
    <w:rsid w:val="00085A25"/>
    <w:rsid w:val="0008688D"/>
    <w:rsid w:val="00086E69"/>
    <w:rsid w:val="000872F0"/>
    <w:rsid w:val="00087359"/>
    <w:rsid w:val="00087F58"/>
    <w:rsid w:val="00090FE4"/>
    <w:rsid w:val="0009202B"/>
    <w:rsid w:val="00092BE3"/>
    <w:rsid w:val="000958D3"/>
    <w:rsid w:val="00095996"/>
    <w:rsid w:val="000967DB"/>
    <w:rsid w:val="00096C83"/>
    <w:rsid w:val="00096EFD"/>
    <w:rsid w:val="00097F35"/>
    <w:rsid w:val="000A061D"/>
    <w:rsid w:val="000A083E"/>
    <w:rsid w:val="000A0E0A"/>
    <w:rsid w:val="000A0FF2"/>
    <w:rsid w:val="000A1F65"/>
    <w:rsid w:val="000A1F78"/>
    <w:rsid w:val="000A2486"/>
    <w:rsid w:val="000A256A"/>
    <w:rsid w:val="000A2936"/>
    <w:rsid w:val="000A354D"/>
    <w:rsid w:val="000A409B"/>
    <w:rsid w:val="000A431B"/>
    <w:rsid w:val="000A4D06"/>
    <w:rsid w:val="000A5148"/>
    <w:rsid w:val="000A5490"/>
    <w:rsid w:val="000A5605"/>
    <w:rsid w:val="000A5968"/>
    <w:rsid w:val="000A5A62"/>
    <w:rsid w:val="000A6356"/>
    <w:rsid w:val="000A6777"/>
    <w:rsid w:val="000A6F7E"/>
    <w:rsid w:val="000A725C"/>
    <w:rsid w:val="000A7566"/>
    <w:rsid w:val="000B0706"/>
    <w:rsid w:val="000B1D33"/>
    <w:rsid w:val="000B1D4E"/>
    <w:rsid w:val="000B1E1B"/>
    <w:rsid w:val="000B1E8D"/>
    <w:rsid w:val="000B30BF"/>
    <w:rsid w:val="000B36EC"/>
    <w:rsid w:val="000B3B08"/>
    <w:rsid w:val="000B3E84"/>
    <w:rsid w:val="000B423D"/>
    <w:rsid w:val="000B4497"/>
    <w:rsid w:val="000B4EEF"/>
    <w:rsid w:val="000B6512"/>
    <w:rsid w:val="000B687E"/>
    <w:rsid w:val="000B6D14"/>
    <w:rsid w:val="000B708A"/>
    <w:rsid w:val="000C04CA"/>
    <w:rsid w:val="000C098D"/>
    <w:rsid w:val="000C0BA1"/>
    <w:rsid w:val="000C1171"/>
    <w:rsid w:val="000C1535"/>
    <w:rsid w:val="000C1547"/>
    <w:rsid w:val="000C15C8"/>
    <w:rsid w:val="000C19C5"/>
    <w:rsid w:val="000C264B"/>
    <w:rsid w:val="000C2D52"/>
    <w:rsid w:val="000C3108"/>
    <w:rsid w:val="000C3D96"/>
    <w:rsid w:val="000C40CF"/>
    <w:rsid w:val="000C41AB"/>
    <w:rsid w:val="000C4710"/>
    <w:rsid w:val="000C4B44"/>
    <w:rsid w:val="000C4BBB"/>
    <w:rsid w:val="000C5463"/>
    <w:rsid w:val="000C5ADC"/>
    <w:rsid w:val="000C5BDB"/>
    <w:rsid w:val="000C61A2"/>
    <w:rsid w:val="000C664B"/>
    <w:rsid w:val="000C6B23"/>
    <w:rsid w:val="000C6BB1"/>
    <w:rsid w:val="000C70C4"/>
    <w:rsid w:val="000C77CF"/>
    <w:rsid w:val="000C7A46"/>
    <w:rsid w:val="000C7BAF"/>
    <w:rsid w:val="000D01D6"/>
    <w:rsid w:val="000D02B5"/>
    <w:rsid w:val="000D0B61"/>
    <w:rsid w:val="000D0E98"/>
    <w:rsid w:val="000D11CE"/>
    <w:rsid w:val="000D14AB"/>
    <w:rsid w:val="000D1EDC"/>
    <w:rsid w:val="000D2274"/>
    <w:rsid w:val="000D2908"/>
    <w:rsid w:val="000D294F"/>
    <w:rsid w:val="000D2970"/>
    <w:rsid w:val="000D2BB7"/>
    <w:rsid w:val="000D2BCD"/>
    <w:rsid w:val="000D3EC2"/>
    <w:rsid w:val="000D4EB9"/>
    <w:rsid w:val="000D5219"/>
    <w:rsid w:val="000D55A1"/>
    <w:rsid w:val="000D6004"/>
    <w:rsid w:val="000D66CF"/>
    <w:rsid w:val="000D7F94"/>
    <w:rsid w:val="000E07C0"/>
    <w:rsid w:val="000E095A"/>
    <w:rsid w:val="000E0D2E"/>
    <w:rsid w:val="000E0EA9"/>
    <w:rsid w:val="000E1628"/>
    <w:rsid w:val="000E1D76"/>
    <w:rsid w:val="000E2359"/>
    <w:rsid w:val="000E3063"/>
    <w:rsid w:val="000E4546"/>
    <w:rsid w:val="000E4882"/>
    <w:rsid w:val="000E4FE0"/>
    <w:rsid w:val="000E558D"/>
    <w:rsid w:val="000E5EEE"/>
    <w:rsid w:val="000E651E"/>
    <w:rsid w:val="000E69F0"/>
    <w:rsid w:val="000E6BBA"/>
    <w:rsid w:val="000E6C3B"/>
    <w:rsid w:val="000E7137"/>
    <w:rsid w:val="000E71E5"/>
    <w:rsid w:val="000E7D3B"/>
    <w:rsid w:val="000F0BEE"/>
    <w:rsid w:val="000F0F4C"/>
    <w:rsid w:val="000F0FC1"/>
    <w:rsid w:val="000F13D3"/>
    <w:rsid w:val="000F1DF4"/>
    <w:rsid w:val="000F2144"/>
    <w:rsid w:val="000F34E5"/>
    <w:rsid w:val="000F356E"/>
    <w:rsid w:val="000F3DE2"/>
    <w:rsid w:val="000F409C"/>
    <w:rsid w:val="000F4210"/>
    <w:rsid w:val="000F4255"/>
    <w:rsid w:val="000F4FF6"/>
    <w:rsid w:val="000F56BC"/>
    <w:rsid w:val="000F576A"/>
    <w:rsid w:val="000F5C49"/>
    <w:rsid w:val="000F5FC1"/>
    <w:rsid w:val="000F5FF5"/>
    <w:rsid w:val="000F627C"/>
    <w:rsid w:val="000F69C4"/>
    <w:rsid w:val="000F6B7C"/>
    <w:rsid w:val="000F7414"/>
    <w:rsid w:val="000F7CA1"/>
    <w:rsid w:val="0010004E"/>
    <w:rsid w:val="001009FF"/>
    <w:rsid w:val="00100B7A"/>
    <w:rsid w:val="00100D88"/>
    <w:rsid w:val="0010115A"/>
    <w:rsid w:val="001011D6"/>
    <w:rsid w:val="00101237"/>
    <w:rsid w:val="001015EF"/>
    <w:rsid w:val="00101DB3"/>
    <w:rsid w:val="00102966"/>
    <w:rsid w:val="00103398"/>
    <w:rsid w:val="001034C2"/>
    <w:rsid w:val="00103B4E"/>
    <w:rsid w:val="00103D44"/>
    <w:rsid w:val="00103D4F"/>
    <w:rsid w:val="001045E3"/>
    <w:rsid w:val="0010475A"/>
    <w:rsid w:val="00104D90"/>
    <w:rsid w:val="00104FAD"/>
    <w:rsid w:val="001054F7"/>
    <w:rsid w:val="00105523"/>
    <w:rsid w:val="00105538"/>
    <w:rsid w:val="00106638"/>
    <w:rsid w:val="001068D6"/>
    <w:rsid w:val="001069C4"/>
    <w:rsid w:val="00106FE5"/>
    <w:rsid w:val="001105FD"/>
    <w:rsid w:val="0011073C"/>
    <w:rsid w:val="0011094C"/>
    <w:rsid w:val="00110ABC"/>
    <w:rsid w:val="00110B92"/>
    <w:rsid w:val="001113E1"/>
    <w:rsid w:val="001114A8"/>
    <w:rsid w:val="001115A6"/>
    <w:rsid w:val="0011239F"/>
    <w:rsid w:val="001124C6"/>
    <w:rsid w:val="001125B0"/>
    <w:rsid w:val="00112715"/>
    <w:rsid w:val="001136D1"/>
    <w:rsid w:val="00113DA6"/>
    <w:rsid w:val="00114006"/>
    <w:rsid w:val="001141AD"/>
    <w:rsid w:val="001156E5"/>
    <w:rsid w:val="00115CF3"/>
    <w:rsid w:val="001175A6"/>
    <w:rsid w:val="0011792D"/>
    <w:rsid w:val="0011793A"/>
    <w:rsid w:val="00120001"/>
    <w:rsid w:val="00120BC3"/>
    <w:rsid w:val="00120DF9"/>
    <w:rsid w:val="0012130A"/>
    <w:rsid w:val="00121412"/>
    <w:rsid w:val="00122410"/>
    <w:rsid w:val="00122678"/>
    <w:rsid w:val="0012267A"/>
    <w:rsid w:val="0012299B"/>
    <w:rsid w:val="00122C42"/>
    <w:rsid w:val="001230D4"/>
    <w:rsid w:val="001231CE"/>
    <w:rsid w:val="001236B3"/>
    <w:rsid w:val="00123748"/>
    <w:rsid w:val="001244A8"/>
    <w:rsid w:val="001249C2"/>
    <w:rsid w:val="00124CCB"/>
    <w:rsid w:val="00125141"/>
    <w:rsid w:val="00125313"/>
    <w:rsid w:val="001253B3"/>
    <w:rsid w:val="00125A4A"/>
    <w:rsid w:val="001263C5"/>
    <w:rsid w:val="00126682"/>
    <w:rsid w:val="00126C0E"/>
    <w:rsid w:val="00126F9A"/>
    <w:rsid w:val="001272C9"/>
    <w:rsid w:val="00130F67"/>
    <w:rsid w:val="001310A5"/>
    <w:rsid w:val="001310D7"/>
    <w:rsid w:val="00131AA9"/>
    <w:rsid w:val="00131F02"/>
    <w:rsid w:val="001328B8"/>
    <w:rsid w:val="00132967"/>
    <w:rsid w:val="00132C07"/>
    <w:rsid w:val="00132C41"/>
    <w:rsid w:val="0013367A"/>
    <w:rsid w:val="0013505F"/>
    <w:rsid w:val="00135568"/>
    <w:rsid w:val="001359AB"/>
    <w:rsid w:val="00136163"/>
    <w:rsid w:val="001366F8"/>
    <w:rsid w:val="00136721"/>
    <w:rsid w:val="00136D2B"/>
    <w:rsid w:val="00136E9A"/>
    <w:rsid w:val="00136EBB"/>
    <w:rsid w:val="001370A7"/>
    <w:rsid w:val="0013732D"/>
    <w:rsid w:val="001378C3"/>
    <w:rsid w:val="00140729"/>
    <w:rsid w:val="00140E4B"/>
    <w:rsid w:val="001410F4"/>
    <w:rsid w:val="001416C1"/>
    <w:rsid w:val="00141FBA"/>
    <w:rsid w:val="00141FD2"/>
    <w:rsid w:val="001425FA"/>
    <w:rsid w:val="00142AE5"/>
    <w:rsid w:val="00142B63"/>
    <w:rsid w:val="00142E27"/>
    <w:rsid w:val="00143880"/>
    <w:rsid w:val="00143CD3"/>
    <w:rsid w:val="00144748"/>
    <w:rsid w:val="0014543F"/>
    <w:rsid w:val="00145E8F"/>
    <w:rsid w:val="00146435"/>
    <w:rsid w:val="00146C29"/>
    <w:rsid w:val="00146ECF"/>
    <w:rsid w:val="0014783C"/>
    <w:rsid w:val="0015094C"/>
    <w:rsid w:val="00152773"/>
    <w:rsid w:val="00152C1B"/>
    <w:rsid w:val="00153559"/>
    <w:rsid w:val="00153E3E"/>
    <w:rsid w:val="0015441D"/>
    <w:rsid w:val="001545E2"/>
    <w:rsid w:val="00154B4E"/>
    <w:rsid w:val="00154BD7"/>
    <w:rsid w:val="00154CCB"/>
    <w:rsid w:val="00155EF9"/>
    <w:rsid w:val="00157DC9"/>
    <w:rsid w:val="00160B44"/>
    <w:rsid w:val="001614CA"/>
    <w:rsid w:val="00161605"/>
    <w:rsid w:val="00162054"/>
    <w:rsid w:val="00162271"/>
    <w:rsid w:val="0016240A"/>
    <w:rsid w:val="001629B9"/>
    <w:rsid w:val="00162C5A"/>
    <w:rsid w:val="00162F97"/>
    <w:rsid w:val="00163032"/>
    <w:rsid w:val="0016312E"/>
    <w:rsid w:val="00163353"/>
    <w:rsid w:val="00163695"/>
    <w:rsid w:val="00163B5E"/>
    <w:rsid w:val="00163BAD"/>
    <w:rsid w:val="00163C3F"/>
    <w:rsid w:val="001640C0"/>
    <w:rsid w:val="00165494"/>
    <w:rsid w:val="001658C2"/>
    <w:rsid w:val="001660EC"/>
    <w:rsid w:val="001664D5"/>
    <w:rsid w:val="0016682D"/>
    <w:rsid w:val="0016693E"/>
    <w:rsid w:val="001674A9"/>
    <w:rsid w:val="00167534"/>
    <w:rsid w:val="00167840"/>
    <w:rsid w:val="00170AE3"/>
    <w:rsid w:val="00171273"/>
    <w:rsid w:val="00171315"/>
    <w:rsid w:val="0017146C"/>
    <w:rsid w:val="00171494"/>
    <w:rsid w:val="001714F1"/>
    <w:rsid w:val="00171509"/>
    <w:rsid w:val="00171B0A"/>
    <w:rsid w:val="00171DDD"/>
    <w:rsid w:val="001727FB"/>
    <w:rsid w:val="00172990"/>
    <w:rsid w:val="0017334C"/>
    <w:rsid w:val="00173ADD"/>
    <w:rsid w:val="00173DE3"/>
    <w:rsid w:val="0017440F"/>
    <w:rsid w:val="00174489"/>
    <w:rsid w:val="001745E0"/>
    <w:rsid w:val="00174DC9"/>
    <w:rsid w:val="0017502C"/>
    <w:rsid w:val="0017522D"/>
    <w:rsid w:val="00175C1E"/>
    <w:rsid w:val="00175EC2"/>
    <w:rsid w:val="00175F80"/>
    <w:rsid w:val="0017608D"/>
    <w:rsid w:val="00176702"/>
    <w:rsid w:val="00176E95"/>
    <w:rsid w:val="00176EAC"/>
    <w:rsid w:val="001777F3"/>
    <w:rsid w:val="00180A5B"/>
    <w:rsid w:val="001818EB"/>
    <w:rsid w:val="00181DF1"/>
    <w:rsid w:val="00182253"/>
    <w:rsid w:val="001832EF"/>
    <w:rsid w:val="00183767"/>
    <w:rsid w:val="00183803"/>
    <w:rsid w:val="001839D7"/>
    <w:rsid w:val="00184CCC"/>
    <w:rsid w:val="00184EAD"/>
    <w:rsid w:val="001857E2"/>
    <w:rsid w:val="00186AEB"/>
    <w:rsid w:val="00187F01"/>
    <w:rsid w:val="00187FFB"/>
    <w:rsid w:val="001900AC"/>
    <w:rsid w:val="00190F42"/>
    <w:rsid w:val="00191243"/>
    <w:rsid w:val="00191665"/>
    <w:rsid w:val="001918BB"/>
    <w:rsid w:val="00191B93"/>
    <w:rsid w:val="00191E2E"/>
    <w:rsid w:val="00192195"/>
    <w:rsid w:val="00192D8D"/>
    <w:rsid w:val="00193487"/>
    <w:rsid w:val="0019396A"/>
    <w:rsid w:val="001951C1"/>
    <w:rsid w:val="00195464"/>
    <w:rsid w:val="0019574C"/>
    <w:rsid w:val="001957A2"/>
    <w:rsid w:val="00196B0D"/>
    <w:rsid w:val="00196E93"/>
    <w:rsid w:val="0019710A"/>
    <w:rsid w:val="0019737F"/>
    <w:rsid w:val="001A05DC"/>
    <w:rsid w:val="001A0683"/>
    <w:rsid w:val="001A084E"/>
    <w:rsid w:val="001A12C8"/>
    <w:rsid w:val="001A26A3"/>
    <w:rsid w:val="001A2D95"/>
    <w:rsid w:val="001A311F"/>
    <w:rsid w:val="001A3B3B"/>
    <w:rsid w:val="001A3DCE"/>
    <w:rsid w:val="001A4D1D"/>
    <w:rsid w:val="001A4F22"/>
    <w:rsid w:val="001A5260"/>
    <w:rsid w:val="001A570B"/>
    <w:rsid w:val="001A5806"/>
    <w:rsid w:val="001A6001"/>
    <w:rsid w:val="001A6250"/>
    <w:rsid w:val="001A649D"/>
    <w:rsid w:val="001A6789"/>
    <w:rsid w:val="001A687F"/>
    <w:rsid w:val="001A72E3"/>
    <w:rsid w:val="001A7320"/>
    <w:rsid w:val="001A797E"/>
    <w:rsid w:val="001A7AAC"/>
    <w:rsid w:val="001B02FA"/>
    <w:rsid w:val="001B05A6"/>
    <w:rsid w:val="001B0DBB"/>
    <w:rsid w:val="001B124E"/>
    <w:rsid w:val="001B1505"/>
    <w:rsid w:val="001B1674"/>
    <w:rsid w:val="001B222F"/>
    <w:rsid w:val="001B233E"/>
    <w:rsid w:val="001B2AB9"/>
    <w:rsid w:val="001B2C7D"/>
    <w:rsid w:val="001B3647"/>
    <w:rsid w:val="001B3A5E"/>
    <w:rsid w:val="001B3A63"/>
    <w:rsid w:val="001B417F"/>
    <w:rsid w:val="001B4BB2"/>
    <w:rsid w:val="001B4CB4"/>
    <w:rsid w:val="001B5567"/>
    <w:rsid w:val="001B575B"/>
    <w:rsid w:val="001B5B19"/>
    <w:rsid w:val="001B6354"/>
    <w:rsid w:val="001B64D2"/>
    <w:rsid w:val="001B6B1B"/>
    <w:rsid w:val="001B7243"/>
    <w:rsid w:val="001B734F"/>
    <w:rsid w:val="001B7A09"/>
    <w:rsid w:val="001C02DC"/>
    <w:rsid w:val="001C0410"/>
    <w:rsid w:val="001C04F8"/>
    <w:rsid w:val="001C0722"/>
    <w:rsid w:val="001C0916"/>
    <w:rsid w:val="001C0EB9"/>
    <w:rsid w:val="001C1395"/>
    <w:rsid w:val="001C153A"/>
    <w:rsid w:val="001C1909"/>
    <w:rsid w:val="001C1D96"/>
    <w:rsid w:val="001C1E08"/>
    <w:rsid w:val="001C210B"/>
    <w:rsid w:val="001C2256"/>
    <w:rsid w:val="001C2276"/>
    <w:rsid w:val="001C26AD"/>
    <w:rsid w:val="001C378D"/>
    <w:rsid w:val="001C3B62"/>
    <w:rsid w:val="001C3CC4"/>
    <w:rsid w:val="001C4E2F"/>
    <w:rsid w:val="001C4E38"/>
    <w:rsid w:val="001C50B5"/>
    <w:rsid w:val="001C554A"/>
    <w:rsid w:val="001C5891"/>
    <w:rsid w:val="001C5B80"/>
    <w:rsid w:val="001C620E"/>
    <w:rsid w:val="001C65CF"/>
    <w:rsid w:val="001C6D98"/>
    <w:rsid w:val="001C7DA3"/>
    <w:rsid w:val="001D00CD"/>
    <w:rsid w:val="001D0407"/>
    <w:rsid w:val="001D0BDB"/>
    <w:rsid w:val="001D0D36"/>
    <w:rsid w:val="001D138B"/>
    <w:rsid w:val="001D150E"/>
    <w:rsid w:val="001D199F"/>
    <w:rsid w:val="001D1BDB"/>
    <w:rsid w:val="001D2C74"/>
    <w:rsid w:val="001D2FBC"/>
    <w:rsid w:val="001D36ED"/>
    <w:rsid w:val="001D3D94"/>
    <w:rsid w:val="001D5563"/>
    <w:rsid w:val="001D5FC4"/>
    <w:rsid w:val="001D6109"/>
    <w:rsid w:val="001D65E3"/>
    <w:rsid w:val="001D6BF7"/>
    <w:rsid w:val="001D73C8"/>
    <w:rsid w:val="001D7690"/>
    <w:rsid w:val="001D7967"/>
    <w:rsid w:val="001E0438"/>
    <w:rsid w:val="001E08BF"/>
    <w:rsid w:val="001E1642"/>
    <w:rsid w:val="001E18C7"/>
    <w:rsid w:val="001E1B5A"/>
    <w:rsid w:val="001E2098"/>
    <w:rsid w:val="001E2A32"/>
    <w:rsid w:val="001E2B4B"/>
    <w:rsid w:val="001E2E7A"/>
    <w:rsid w:val="001E3149"/>
    <w:rsid w:val="001E3254"/>
    <w:rsid w:val="001E3D89"/>
    <w:rsid w:val="001E417B"/>
    <w:rsid w:val="001E4239"/>
    <w:rsid w:val="001E5249"/>
    <w:rsid w:val="001E54B0"/>
    <w:rsid w:val="001E5505"/>
    <w:rsid w:val="001E5952"/>
    <w:rsid w:val="001E5AD2"/>
    <w:rsid w:val="001E5EDE"/>
    <w:rsid w:val="001E697F"/>
    <w:rsid w:val="001E6DD9"/>
    <w:rsid w:val="001E72B0"/>
    <w:rsid w:val="001E7409"/>
    <w:rsid w:val="001E75CA"/>
    <w:rsid w:val="001E7730"/>
    <w:rsid w:val="001E7879"/>
    <w:rsid w:val="001E7A19"/>
    <w:rsid w:val="001E7B9F"/>
    <w:rsid w:val="001E7DDC"/>
    <w:rsid w:val="001EDE40"/>
    <w:rsid w:val="001F0BC2"/>
    <w:rsid w:val="001F1B9E"/>
    <w:rsid w:val="001F21DD"/>
    <w:rsid w:val="001F26AB"/>
    <w:rsid w:val="001F2C97"/>
    <w:rsid w:val="001F33C9"/>
    <w:rsid w:val="001F3606"/>
    <w:rsid w:val="001F364C"/>
    <w:rsid w:val="001F3A40"/>
    <w:rsid w:val="001F3B2B"/>
    <w:rsid w:val="001F41BA"/>
    <w:rsid w:val="001F48AA"/>
    <w:rsid w:val="001F48C6"/>
    <w:rsid w:val="001F4995"/>
    <w:rsid w:val="001F4E1C"/>
    <w:rsid w:val="001F4E35"/>
    <w:rsid w:val="001F503E"/>
    <w:rsid w:val="001F51EF"/>
    <w:rsid w:val="001F569C"/>
    <w:rsid w:val="001F57A4"/>
    <w:rsid w:val="001F598F"/>
    <w:rsid w:val="001F60A9"/>
    <w:rsid w:val="001F6311"/>
    <w:rsid w:val="001F7377"/>
    <w:rsid w:val="001F77AF"/>
    <w:rsid w:val="001F7814"/>
    <w:rsid w:val="001F7DDC"/>
    <w:rsid w:val="0020068B"/>
    <w:rsid w:val="00200AC4"/>
    <w:rsid w:val="00201578"/>
    <w:rsid w:val="002018BF"/>
    <w:rsid w:val="00201F62"/>
    <w:rsid w:val="002023AF"/>
    <w:rsid w:val="0020258C"/>
    <w:rsid w:val="00203C35"/>
    <w:rsid w:val="00203EE9"/>
    <w:rsid w:val="0020424B"/>
    <w:rsid w:val="0020507B"/>
    <w:rsid w:val="002052AB"/>
    <w:rsid w:val="0020533D"/>
    <w:rsid w:val="0020547D"/>
    <w:rsid w:val="00205574"/>
    <w:rsid w:val="00205C3B"/>
    <w:rsid w:val="00205D2B"/>
    <w:rsid w:val="00206039"/>
    <w:rsid w:val="002063CB"/>
    <w:rsid w:val="00206842"/>
    <w:rsid w:val="0020713B"/>
    <w:rsid w:val="00207915"/>
    <w:rsid w:val="00210A0C"/>
    <w:rsid w:val="00210C38"/>
    <w:rsid w:val="00210DB8"/>
    <w:rsid w:val="0021152B"/>
    <w:rsid w:val="00211B37"/>
    <w:rsid w:val="00211B5D"/>
    <w:rsid w:val="00211C37"/>
    <w:rsid w:val="0021250E"/>
    <w:rsid w:val="00212563"/>
    <w:rsid w:val="002127AD"/>
    <w:rsid w:val="0021344D"/>
    <w:rsid w:val="0021366C"/>
    <w:rsid w:val="002137CC"/>
    <w:rsid w:val="00214467"/>
    <w:rsid w:val="00214D26"/>
    <w:rsid w:val="00215098"/>
    <w:rsid w:val="002151BE"/>
    <w:rsid w:val="0021569F"/>
    <w:rsid w:val="002156C2"/>
    <w:rsid w:val="00215735"/>
    <w:rsid w:val="00215A03"/>
    <w:rsid w:val="00215AA4"/>
    <w:rsid w:val="002162F4"/>
    <w:rsid w:val="00216363"/>
    <w:rsid w:val="00216742"/>
    <w:rsid w:val="00220525"/>
    <w:rsid w:val="002207AF"/>
    <w:rsid w:val="00220967"/>
    <w:rsid w:val="00221131"/>
    <w:rsid w:val="002213B8"/>
    <w:rsid w:val="002230F0"/>
    <w:rsid w:val="00223451"/>
    <w:rsid w:val="00223CDF"/>
    <w:rsid w:val="00224272"/>
    <w:rsid w:val="00224654"/>
    <w:rsid w:val="00226593"/>
    <w:rsid w:val="00230581"/>
    <w:rsid w:val="0023060A"/>
    <w:rsid w:val="0023086C"/>
    <w:rsid w:val="00231376"/>
    <w:rsid w:val="002318DA"/>
    <w:rsid w:val="0023223D"/>
    <w:rsid w:val="002326A0"/>
    <w:rsid w:val="002326BF"/>
    <w:rsid w:val="0023293C"/>
    <w:rsid w:val="002329D8"/>
    <w:rsid w:val="0023361F"/>
    <w:rsid w:val="00233B31"/>
    <w:rsid w:val="00234A7A"/>
    <w:rsid w:val="00235415"/>
    <w:rsid w:val="00235B95"/>
    <w:rsid w:val="00235E43"/>
    <w:rsid w:val="0023699C"/>
    <w:rsid w:val="00236D3A"/>
    <w:rsid w:val="00236D4B"/>
    <w:rsid w:val="002376E4"/>
    <w:rsid w:val="00237708"/>
    <w:rsid w:val="00237BF8"/>
    <w:rsid w:val="00237DDA"/>
    <w:rsid w:val="0024025D"/>
    <w:rsid w:val="0024063E"/>
    <w:rsid w:val="00240BD2"/>
    <w:rsid w:val="002415E0"/>
    <w:rsid w:val="00241623"/>
    <w:rsid w:val="00241782"/>
    <w:rsid w:val="00241F54"/>
    <w:rsid w:val="002420E9"/>
    <w:rsid w:val="0024269E"/>
    <w:rsid w:val="00242D25"/>
    <w:rsid w:val="0024302B"/>
    <w:rsid w:val="0024392B"/>
    <w:rsid w:val="00243EFC"/>
    <w:rsid w:val="002448DD"/>
    <w:rsid w:val="00244990"/>
    <w:rsid w:val="002458CF"/>
    <w:rsid w:val="00245938"/>
    <w:rsid w:val="0024622F"/>
    <w:rsid w:val="00246660"/>
    <w:rsid w:val="002467D7"/>
    <w:rsid w:val="00246C91"/>
    <w:rsid w:val="00247361"/>
    <w:rsid w:val="0024799D"/>
    <w:rsid w:val="00247DE9"/>
    <w:rsid w:val="0024C5AC"/>
    <w:rsid w:val="002505CE"/>
    <w:rsid w:val="00250B2E"/>
    <w:rsid w:val="00250CB2"/>
    <w:rsid w:val="00250E1F"/>
    <w:rsid w:val="00251123"/>
    <w:rsid w:val="00251928"/>
    <w:rsid w:val="0025199B"/>
    <w:rsid w:val="00252899"/>
    <w:rsid w:val="002534DD"/>
    <w:rsid w:val="002539DD"/>
    <w:rsid w:val="00254085"/>
    <w:rsid w:val="00254256"/>
    <w:rsid w:val="00254595"/>
    <w:rsid w:val="0025494E"/>
    <w:rsid w:val="0025582B"/>
    <w:rsid w:val="0025589B"/>
    <w:rsid w:val="002560FB"/>
    <w:rsid w:val="002563CC"/>
    <w:rsid w:val="00256ECC"/>
    <w:rsid w:val="002579A8"/>
    <w:rsid w:val="00257BC9"/>
    <w:rsid w:val="00257EF7"/>
    <w:rsid w:val="002601DB"/>
    <w:rsid w:val="002607E0"/>
    <w:rsid w:val="00261090"/>
    <w:rsid w:val="00261582"/>
    <w:rsid w:val="002618DC"/>
    <w:rsid w:val="00261AE7"/>
    <w:rsid w:val="00261D5B"/>
    <w:rsid w:val="00261EE4"/>
    <w:rsid w:val="00261FC8"/>
    <w:rsid w:val="00262321"/>
    <w:rsid w:val="00262E78"/>
    <w:rsid w:val="0026310A"/>
    <w:rsid w:val="00263809"/>
    <w:rsid w:val="00263968"/>
    <w:rsid w:val="00263CC6"/>
    <w:rsid w:val="0026406E"/>
    <w:rsid w:val="0026442A"/>
    <w:rsid w:val="00264465"/>
    <w:rsid w:val="002649A1"/>
    <w:rsid w:val="002649B4"/>
    <w:rsid w:val="00264E5D"/>
    <w:rsid w:val="0026504B"/>
    <w:rsid w:val="00265699"/>
    <w:rsid w:val="00265927"/>
    <w:rsid w:val="00265B72"/>
    <w:rsid w:val="00265D29"/>
    <w:rsid w:val="002667B7"/>
    <w:rsid w:val="00266B41"/>
    <w:rsid w:val="002670B4"/>
    <w:rsid w:val="00270021"/>
    <w:rsid w:val="0027032B"/>
    <w:rsid w:val="00270456"/>
    <w:rsid w:val="00270792"/>
    <w:rsid w:val="00270A7B"/>
    <w:rsid w:val="00270E62"/>
    <w:rsid w:val="002711E7"/>
    <w:rsid w:val="00271912"/>
    <w:rsid w:val="00271DB1"/>
    <w:rsid w:val="00272A20"/>
    <w:rsid w:val="00272F0E"/>
    <w:rsid w:val="002731F7"/>
    <w:rsid w:val="0027327C"/>
    <w:rsid w:val="00273536"/>
    <w:rsid w:val="00273A38"/>
    <w:rsid w:val="00274920"/>
    <w:rsid w:val="00274A0D"/>
    <w:rsid w:val="00275610"/>
    <w:rsid w:val="002759A4"/>
    <w:rsid w:val="00276921"/>
    <w:rsid w:val="00276946"/>
    <w:rsid w:val="002770E8"/>
    <w:rsid w:val="00277156"/>
    <w:rsid w:val="00280062"/>
    <w:rsid w:val="0028010E"/>
    <w:rsid w:val="00280D6B"/>
    <w:rsid w:val="002816EC"/>
    <w:rsid w:val="00282860"/>
    <w:rsid w:val="002829F5"/>
    <w:rsid w:val="00282AD0"/>
    <w:rsid w:val="00282BF3"/>
    <w:rsid w:val="00282C96"/>
    <w:rsid w:val="00283027"/>
    <w:rsid w:val="0028398C"/>
    <w:rsid w:val="00283C33"/>
    <w:rsid w:val="00283D56"/>
    <w:rsid w:val="00284617"/>
    <w:rsid w:val="0028499C"/>
    <w:rsid w:val="00284A4B"/>
    <w:rsid w:val="00284A6C"/>
    <w:rsid w:val="0028507A"/>
    <w:rsid w:val="00285381"/>
    <w:rsid w:val="00285D29"/>
    <w:rsid w:val="00286D9C"/>
    <w:rsid w:val="00287322"/>
    <w:rsid w:val="0028771E"/>
    <w:rsid w:val="002879E4"/>
    <w:rsid w:val="00287A32"/>
    <w:rsid w:val="00287B20"/>
    <w:rsid w:val="00290E2D"/>
    <w:rsid w:val="0029115C"/>
    <w:rsid w:val="00291838"/>
    <w:rsid w:val="00291B6A"/>
    <w:rsid w:val="0029281F"/>
    <w:rsid w:val="0029370E"/>
    <w:rsid w:val="00293BAA"/>
    <w:rsid w:val="00293E3D"/>
    <w:rsid w:val="00295EC4"/>
    <w:rsid w:val="002963DA"/>
    <w:rsid w:val="00297418"/>
    <w:rsid w:val="002978EC"/>
    <w:rsid w:val="00297BDD"/>
    <w:rsid w:val="002A00F3"/>
    <w:rsid w:val="002A0226"/>
    <w:rsid w:val="002A053B"/>
    <w:rsid w:val="002A0AAA"/>
    <w:rsid w:val="002A13D2"/>
    <w:rsid w:val="002A15FA"/>
    <w:rsid w:val="002A186B"/>
    <w:rsid w:val="002A19A2"/>
    <w:rsid w:val="002A2971"/>
    <w:rsid w:val="002A2A98"/>
    <w:rsid w:val="002A3EAA"/>
    <w:rsid w:val="002A4D8C"/>
    <w:rsid w:val="002A4D8E"/>
    <w:rsid w:val="002A5831"/>
    <w:rsid w:val="002A5DBB"/>
    <w:rsid w:val="002A63B8"/>
    <w:rsid w:val="002A6476"/>
    <w:rsid w:val="002A65A9"/>
    <w:rsid w:val="002A690F"/>
    <w:rsid w:val="002A6E1A"/>
    <w:rsid w:val="002A71DF"/>
    <w:rsid w:val="002A7282"/>
    <w:rsid w:val="002A7556"/>
    <w:rsid w:val="002A762C"/>
    <w:rsid w:val="002A79BA"/>
    <w:rsid w:val="002A7A52"/>
    <w:rsid w:val="002B08D7"/>
    <w:rsid w:val="002B0B71"/>
    <w:rsid w:val="002B0C78"/>
    <w:rsid w:val="002B10EF"/>
    <w:rsid w:val="002B12DE"/>
    <w:rsid w:val="002B1588"/>
    <w:rsid w:val="002B20ED"/>
    <w:rsid w:val="002B2569"/>
    <w:rsid w:val="002B2A8D"/>
    <w:rsid w:val="002B2CA0"/>
    <w:rsid w:val="002B2FA7"/>
    <w:rsid w:val="002B37C9"/>
    <w:rsid w:val="002B3E19"/>
    <w:rsid w:val="002B3FB8"/>
    <w:rsid w:val="002B5128"/>
    <w:rsid w:val="002B5326"/>
    <w:rsid w:val="002B5920"/>
    <w:rsid w:val="002B5B09"/>
    <w:rsid w:val="002B60D2"/>
    <w:rsid w:val="002B6969"/>
    <w:rsid w:val="002B70DD"/>
    <w:rsid w:val="002B720A"/>
    <w:rsid w:val="002C020C"/>
    <w:rsid w:val="002C0605"/>
    <w:rsid w:val="002C121E"/>
    <w:rsid w:val="002C1561"/>
    <w:rsid w:val="002C195C"/>
    <w:rsid w:val="002C289A"/>
    <w:rsid w:val="002C379F"/>
    <w:rsid w:val="002C3934"/>
    <w:rsid w:val="002C44A2"/>
    <w:rsid w:val="002C49BD"/>
    <w:rsid w:val="002C4AE1"/>
    <w:rsid w:val="002C55B5"/>
    <w:rsid w:val="002C5729"/>
    <w:rsid w:val="002C5BFD"/>
    <w:rsid w:val="002C6392"/>
    <w:rsid w:val="002C66DF"/>
    <w:rsid w:val="002C717F"/>
    <w:rsid w:val="002C7544"/>
    <w:rsid w:val="002D00FE"/>
    <w:rsid w:val="002D05D0"/>
    <w:rsid w:val="002D086E"/>
    <w:rsid w:val="002D1014"/>
    <w:rsid w:val="002D15E2"/>
    <w:rsid w:val="002D18F9"/>
    <w:rsid w:val="002D2055"/>
    <w:rsid w:val="002D286B"/>
    <w:rsid w:val="002D3189"/>
    <w:rsid w:val="002D3ED9"/>
    <w:rsid w:val="002D428D"/>
    <w:rsid w:val="002D42D0"/>
    <w:rsid w:val="002D4668"/>
    <w:rsid w:val="002D46A2"/>
    <w:rsid w:val="002D4A54"/>
    <w:rsid w:val="002D4F86"/>
    <w:rsid w:val="002D5D95"/>
    <w:rsid w:val="002D6F36"/>
    <w:rsid w:val="002D71DF"/>
    <w:rsid w:val="002D7599"/>
    <w:rsid w:val="002E002F"/>
    <w:rsid w:val="002E0599"/>
    <w:rsid w:val="002E06D3"/>
    <w:rsid w:val="002E0915"/>
    <w:rsid w:val="002E0D65"/>
    <w:rsid w:val="002E1197"/>
    <w:rsid w:val="002E1415"/>
    <w:rsid w:val="002E19F1"/>
    <w:rsid w:val="002E1ADC"/>
    <w:rsid w:val="002E1B04"/>
    <w:rsid w:val="002E1D39"/>
    <w:rsid w:val="002E1F3B"/>
    <w:rsid w:val="002E1FCE"/>
    <w:rsid w:val="002E23DD"/>
    <w:rsid w:val="002E30EF"/>
    <w:rsid w:val="002E3301"/>
    <w:rsid w:val="002E39BA"/>
    <w:rsid w:val="002E49B0"/>
    <w:rsid w:val="002E5472"/>
    <w:rsid w:val="002E5B72"/>
    <w:rsid w:val="002E6B2D"/>
    <w:rsid w:val="002E77F4"/>
    <w:rsid w:val="002E7919"/>
    <w:rsid w:val="002F0412"/>
    <w:rsid w:val="002F09AB"/>
    <w:rsid w:val="002F17DB"/>
    <w:rsid w:val="002F184B"/>
    <w:rsid w:val="002F1B74"/>
    <w:rsid w:val="002F285F"/>
    <w:rsid w:val="002F2BCF"/>
    <w:rsid w:val="002F357F"/>
    <w:rsid w:val="002F39AD"/>
    <w:rsid w:val="002F633C"/>
    <w:rsid w:val="002F65F2"/>
    <w:rsid w:val="002F674C"/>
    <w:rsid w:val="002F6AA6"/>
    <w:rsid w:val="002F70F0"/>
    <w:rsid w:val="002F732A"/>
    <w:rsid w:val="002F75C7"/>
    <w:rsid w:val="003001A1"/>
    <w:rsid w:val="00300229"/>
    <w:rsid w:val="00300699"/>
    <w:rsid w:val="0030079D"/>
    <w:rsid w:val="00300C94"/>
    <w:rsid w:val="00301EA4"/>
    <w:rsid w:val="003022A0"/>
    <w:rsid w:val="0030249B"/>
    <w:rsid w:val="0030282F"/>
    <w:rsid w:val="00302A5F"/>
    <w:rsid w:val="00302AAA"/>
    <w:rsid w:val="00302B38"/>
    <w:rsid w:val="003032B3"/>
    <w:rsid w:val="00303F9A"/>
    <w:rsid w:val="003040D7"/>
    <w:rsid w:val="0030420E"/>
    <w:rsid w:val="003046B8"/>
    <w:rsid w:val="00304CB6"/>
    <w:rsid w:val="0030505A"/>
    <w:rsid w:val="003063F3"/>
    <w:rsid w:val="00306486"/>
    <w:rsid w:val="0030676B"/>
    <w:rsid w:val="00307275"/>
    <w:rsid w:val="0030738B"/>
    <w:rsid w:val="00307577"/>
    <w:rsid w:val="003077F9"/>
    <w:rsid w:val="00307A76"/>
    <w:rsid w:val="003104B5"/>
    <w:rsid w:val="0031064A"/>
    <w:rsid w:val="00310690"/>
    <w:rsid w:val="003110A2"/>
    <w:rsid w:val="00311967"/>
    <w:rsid w:val="003120FE"/>
    <w:rsid w:val="003120FF"/>
    <w:rsid w:val="00312693"/>
    <w:rsid w:val="003129CE"/>
    <w:rsid w:val="00312CA9"/>
    <w:rsid w:val="00313524"/>
    <w:rsid w:val="00313846"/>
    <w:rsid w:val="00314186"/>
    <w:rsid w:val="003146F5"/>
    <w:rsid w:val="0031485E"/>
    <w:rsid w:val="00314861"/>
    <w:rsid w:val="00316C22"/>
    <w:rsid w:val="00316DE1"/>
    <w:rsid w:val="00316EA5"/>
    <w:rsid w:val="00317242"/>
    <w:rsid w:val="00317771"/>
    <w:rsid w:val="003177EC"/>
    <w:rsid w:val="0031782C"/>
    <w:rsid w:val="00320B9B"/>
    <w:rsid w:val="00320C9E"/>
    <w:rsid w:val="00321325"/>
    <w:rsid w:val="00321C72"/>
    <w:rsid w:val="00321C88"/>
    <w:rsid w:val="00322310"/>
    <w:rsid w:val="003223FF"/>
    <w:rsid w:val="00322C21"/>
    <w:rsid w:val="003231C6"/>
    <w:rsid w:val="00323474"/>
    <w:rsid w:val="003235C5"/>
    <w:rsid w:val="00323730"/>
    <w:rsid w:val="0032383F"/>
    <w:rsid w:val="00323A83"/>
    <w:rsid w:val="00323ED0"/>
    <w:rsid w:val="00324819"/>
    <w:rsid w:val="00324CA8"/>
    <w:rsid w:val="00324F42"/>
    <w:rsid w:val="00325180"/>
    <w:rsid w:val="003258EA"/>
    <w:rsid w:val="003262DF"/>
    <w:rsid w:val="00326579"/>
    <w:rsid w:val="00326739"/>
    <w:rsid w:val="00326785"/>
    <w:rsid w:val="00327CBF"/>
    <w:rsid w:val="00327D01"/>
    <w:rsid w:val="003307DA"/>
    <w:rsid w:val="00330B7C"/>
    <w:rsid w:val="00330BD5"/>
    <w:rsid w:val="00330D80"/>
    <w:rsid w:val="00330ED5"/>
    <w:rsid w:val="003315CB"/>
    <w:rsid w:val="00332807"/>
    <w:rsid w:val="0033307C"/>
    <w:rsid w:val="00333FEF"/>
    <w:rsid w:val="003341F4"/>
    <w:rsid w:val="00334442"/>
    <w:rsid w:val="0033505B"/>
    <w:rsid w:val="00335090"/>
    <w:rsid w:val="00335486"/>
    <w:rsid w:val="00335784"/>
    <w:rsid w:val="003359F0"/>
    <w:rsid w:val="00336885"/>
    <w:rsid w:val="00336DB3"/>
    <w:rsid w:val="003378B7"/>
    <w:rsid w:val="00337ED3"/>
    <w:rsid w:val="003402A7"/>
    <w:rsid w:val="003402D8"/>
    <w:rsid w:val="00340892"/>
    <w:rsid w:val="00340A53"/>
    <w:rsid w:val="00340A7F"/>
    <w:rsid w:val="00340F6E"/>
    <w:rsid w:val="00342D69"/>
    <w:rsid w:val="00342ED0"/>
    <w:rsid w:val="003437DC"/>
    <w:rsid w:val="00343ED1"/>
    <w:rsid w:val="00344024"/>
    <w:rsid w:val="00344510"/>
    <w:rsid w:val="00344588"/>
    <w:rsid w:val="00345466"/>
    <w:rsid w:val="00346BFF"/>
    <w:rsid w:val="003471B6"/>
    <w:rsid w:val="003477BF"/>
    <w:rsid w:val="0034785A"/>
    <w:rsid w:val="00347B5D"/>
    <w:rsid w:val="00350100"/>
    <w:rsid w:val="0035057A"/>
    <w:rsid w:val="003506E2"/>
    <w:rsid w:val="0035070B"/>
    <w:rsid w:val="00350733"/>
    <w:rsid w:val="003510C2"/>
    <w:rsid w:val="003517BA"/>
    <w:rsid w:val="00351B08"/>
    <w:rsid w:val="00351C8D"/>
    <w:rsid w:val="00352BCA"/>
    <w:rsid w:val="00352D88"/>
    <w:rsid w:val="0035330B"/>
    <w:rsid w:val="003535B5"/>
    <w:rsid w:val="00353BD4"/>
    <w:rsid w:val="00353FD1"/>
    <w:rsid w:val="00354323"/>
    <w:rsid w:val="003553E0"/>
    <w:rsid w:val="00355617"/>
    <w:rsid w:val="00356144"/>
    <w:rsid w:val="0035683B"/>
    <w:rsid w:val="00356C86"/>
    <w:rsid w:val="00357281"/>
    <w:rsid w:val="003577EC"/>
    <w:rsid w:val="00357C31"/>
    <w:rsid w:val="00357E7B"/>
    <w:rsid w:val="00360553"/>
    <w:rsid w:val="003608DA"/>
    <w:rsid w:val="00360E69"/>
    <w:rsid w:val="00361120"/>
    <w:rsid w:val="00361D52"/>
    <w:rsid w:val="00362A65"/>
    <w:rsid w:val="00362FAD"/>
    <w:rsid w:val="0036300A"/>
    <w:rsid w:val="0036373F"/>
    <w:rsid w:val="00364024"/>
    <w:rsid w:val="0036464B"/>
    <w:rsid w:val="00364E61"/>
    <w:rsid w:val="00365267"/>
    <w:rsid w:val="003653B1"/>
    <w:rsid w:val="00365427"/>
    <w:rsid w:val="003654D2"/>
    <w:rsid w:val="00365894"/>
    <w:rsid w:val="00365C21"/>
    <w:rsid w:val="00366499"/>
    <w:rsid w:val="003667C3"/>
    <w:rsid w:val="003669E3"/>
    <w:rsid w:val="00366F79"/>
    <w:rsid w:val="00367815"/>
    <w:rsid w:val="00367D2C"/>
    <w:rsid w:val="00370582"/>
    <w:rsid w:val="003707F3"/>
    <w:rsid w:val="003710E0"/>
    <w:rsid w:val="0037142C"/>
    <w:rsid w:val="0037236B"/>
    <w:rsid w:val="003726C8"/>
    <w:rsid w:val="00372A67"/>
    <w:rsid w:val="00372BBF"/>
    <w:rsid w:val="00373618"/>
    <w:rsid w:val="00373632"/>
    <w:rsid w:val="0037370C"/>
    <w:rsid w:val="00373E90"/>
    <w:rsid w:val="00374039"/>
    <w:rsid w:val="00375693"/>
    <w:rsid w:val="00375AB7"/>
    <w:rsid w:val="00375E30"/>
    <w:rsid w:val="00376070"/>
    <w:rsid w:val="003769F3"/>
    <w:rsid w:val="00376CEC"/>
    <w:rsid w:val="003777EB"/>
    <w:rsid w:val="00377CC5"/>
    <w:rsid w:val="00380194"/>
    <w:rsid w:val="003807C5"/>
    <w:rsid w:val="00380973"/>
    <w:rsid w:val="00381D1B"/>
    <w:rsid w:val="00381E46"/>
    <w:rsid w:val="003821D2"/>
    <w:rsid w:val="003823E5"/>
    <w:rsid w:val="00382B1A"/>
    <w:rsid w:val="00382C42"/>
    <w:rsid w:val="003830EA"/>
    <w:rsid w:val="0038353C"/>
    <w:rsid w:val="00383B67"/>
    <w:rsid w:val="00384524"/>
    <w:rsid w:val="00384E51"/>
    <w:rsid w:val="00385A1D"/>
    <w:rsid w:val="0038634B"/>
    <w:rsid w:val="0038650C"/>
    <w:rsid w:val="00386C3A"/>
    <w:rsid w:val="00386C90"/>
    <w:rsid w:val="0038791B"/>
    <w:rsid w:val="00391462"/>
    <w:rsid w:val="003915B6"/>
    <w:rsid w:val="003917DC"/>
    <w:rsid w:val="00391ABB"/>
    <w:rsid w:val="00391E10"/>
    <w:rsid w:val="003928C9"/>
    <w:rsid w:val="00393298"/>
    <w:rsid w:val="003932AF"/>
    <w:rsid w:val="0039349E"/>
    <w:rsid w:val="003936B8"/>
    <w:rsid w:val="0039424C"/>
    <w:rsid w:val="0039468E"/>
    <w:rsid w:val="00394BE5"/>
    <w:rsid w:val="00394CFC"/>
    <w:rsid w:val="003957B4"/>
    <w:rsid w:val="00395FEC"/>
    <w:rsid w:val="00396842"/>
    <w:rsid w:val="00396F3A"/>
    <w:rsid w:val="003971E7"/>
    <w:rsid w:val="003A016F"/>
    <w:rsid w:val="003A0217"/>
    <w:rsid w:val="003A0868"/>
    <w:rsid w:val="003A2DC0"/>
    <w:rsid w:val="003A39BD"/>
    <w:rsid w:val="003A3F2C"/>
    <w:rsid w:val="003A4642"/>
    <w:rsid w:val="003A4731"/>
    <w:rsid w:val="003A5AE9"/>
    <w:rsid w:val="003A5E5A"/>
    <w:rsid w:val="003A6228"/>
    <w:rsid w:val="003A6B90"/>
    <w:rsid w:val="003A6DF9"/>
    <w:rsid w:val="003A7196"/>
    <w:rsid w:val="003A7272"/>
    <w:rsid w:val="003A79E2"/>
    <w:rsid w:val="003A7C68"/>
    <w:rsid w:val="003B02EC"/>
    <w:rsid w:val="003B08C3"/>
    <w:rsid w:val="003B0BAF"/>
    <w:rsid w:val="003B1798"/>
    <w:rsid w:val="003B1E37"/>
    <w:rsid w:val="003B1E53"/>
    <w:rsid w:val="003B1EA3"/>
    <w:rsid w:val="003B232B"/>
    <w:rsid w:val="003B26CC"/>
    <w:rsid w:val="003B45F0"/>
    <w:rsid w:val="003B5992"/>
    <w:rsid w:val="003B61C3"/>
    <w:rsid w:val="003B61D2"/>
    <w:rsid w:val="003B664C"/>
    <w:rsid w:val="003B6A84"/>
    <w:rsid w:val="003B6B9C"/>
    <w:rsid w:val="003B732B"/>
    <w:rsid w:val="003B75CE"/>
    <w:rsid w:val="003B7C65"/>
    <w:rsid w:val="003C1A08"/>
    <w:rsid w:val="003C1EA1"/>
    <w:rsid w:val="003C2066"/>
    <w:rsid w:val="003C2081"/>
    <w:rsid w:val="003C25D3"/>
    <w:rsid w:val="003C25FA"/>
    <w:rsid w:val="003C270C"/>
    <w:rsid w:val="003C2FAB"/>
    <w:rsid w:val="003C30EA"/>
    <w:rsid w:val="003C39B4"/>
    <w:rsid w:val="003C4C14"/>
    <w:rsid w:val="003C514A"/>
    <w:rsid w:val="003C56B1"/>
    <w:rsid w:val="003C5C98"/>
    <w:rsid w:val="003C62E6"/>
    <w:rsid w:val="003C7034"/>
    <w:rsid w:val="003C7117"/>
    <w:rsid w:val="003C79C5"/>
    <w:rsid w:val="003C7D88"/>
    <w:rsid w:val="003D0233"/>
    <w:rsid w:val="003D0534"/>
    <w:rsid w:val="003D0D2F"/>
    <w:rsid w:val="003D0F97"/>
    <w:rsid w:val="003D250C"/>
    <w:rsid w:val="003D2514"/>
    <w:rsid w:val="003D3613"/>
    <w:rsid w:val="003D3E03"/>
    <w:rsid w:val="003D42F5"/>
    <w:rsid w:val="003D4BD5"/>
    <w:rsid w:val="003D5725"/>
    <w:rsid w:val="003D5D10"/>
    <w:rsid w:val="003D6118"/>
    <w:rsid w:val="003D6196"/>
    <w:rsid w:val="003D61FC"/>
    <w:rsid w:val="003D649F"/>
    <w:rsid w:val="003D6603"/>
    <w:rsid w:val="003D66A0"/>
    <w:rsid w:val="003D6787"/>
    <w:rsid w:val="003D687B"/>
    <w:rsid w:val="003D6B94"/>
    <w:rsid w:val="003D6C7C"/>
    <w:rsid w:val="003D6E24"/>
    <w:rsid w:val="003D7001"/>
    <w:rsid w:val="003D738C"/>
    <w:rsid w:val="003D741B"/>
    <w:rsid w:val="003D753B"/>
    <w:rsid w:val="003D78FF"/>
    <w:rsid w:val="003E07F3"/>
    <w:rsid w:val="003E0A24"/>
    <w:rsid w:val="003E0B09"/>
    <w:rsid w:val="003E11FA"/>
    <w:rsid w:val="003E1F91"/>
    <w:rsid w:val="003E2E49"/>
    <w:rsid w:val="003E35F5"/>
    <w:rsid w:val="003E37C4"/>
    <w:rsid w:val="003E3DAD"/>
    <w:rsid w:val="003E40AF"/>
    <w:rsid w:val="003E4182"/>
    <w:rsid w:val="003E4D73"/>
    <w:rsid w:val="003E5149"/>
    <w:rsid w:val="003E5D1A"/>
    <w:rsid w:val="003E61EE"/>
    <w:rsid w:val="003E63F7"/>
    <w:rsid w:val="003E69A8"/>
    <w:rsid w:val="003E713E"/>
    <w:rsid w:val="003E71B1"/>
    <w:rsid w:val="003E7AAD"/>
    <w:rsid w:val="003E7D8E"/>
    <w:rsid w:val="003F03B9"/>
    <w:rsid w:val="003F1D33"/>
    <w:rsid w:val="003F2084"/>
    <w:rsid w:val="003F242C"/>
    <w:rsid w:val="003F266B"/>
    <w:rsid w:val="003F2E93"/>
    <w:rsid w:val="003F346F"/>
    <w:rsid w:val="003F34B4"/>
    <w:rsid w:val="003F3801"/>
    <w:rsid w:val="003F3E80"/>
    <w:rsid w:val="003F4C94"/>
    <w:rsid w:val="003F5244"/>
    <w:rsid w:val="003F5516"/>
    <w:rsid w:val="003F5C99"/>
    <w:rsid w:val="003F606C"/>
    <w:rsid w:val="003F6140"/>
    <w:rsid w:val="003F61C6"/>
    <w:rsid w:val="003F686D"/>
    <w:rsid w:val="003F6D9C"/>
    <w:rsid w:val="003F7076"/>
    <w:rsid w:val="003F78A2"/>
    <w:rsid w:val="003F7B2E"/>
    <w:rsid w:val="003F7C0C"/>
    <w:rsid w:val="003F7C95"/>
    <w:rsid w:val="003F7CBD"/>
    <w:rsid w:val="003FFB5D"/>
    <w:rsid w:val="00400648"/>
    <w:rsid w:val="00401330"/>
    <w:rsid w:val="0040147A"/>
    <w:rsid w:val="004015DF"/>
    <w:rsid w:val="00401901"/>
    <w:rsid w:val="0040194A"/>
    <w:rsid w:val="00401AA5"/>
    <w:rsid w:val="004027E0"/>
    <w:rsid w:val="00402952"/>
    <w:rsid w:val="00403940"/>
    <w:rsid w:val="00403BC2"/>
    <w:rsid w:val="0040451F"/>
    <w:rsid w:val="00404DE0"/>
    <w:rsid w:val="0040568E"/>
    <w:rsid w:val="00405893"/>
    <w:rsid w:val="004062BC"/>
    <w:rsid w:val="004077BA"/>
    <w:rsid w:val="0041015A"/>
    <w:rsid w:val="00410BE6"/>
    <w:rsid w:val="00410C06"/>
    <w:rsid w:val="00410E2D"/>
    <w:rsid w:val="004116E7"/>
    <w:rsid w:val="00411EF9"/>
    <w:rsid w:val="0041216B"/>
    <w:rsid w:val="00412C79"/>
    <w:rsid w:val="00413C62"/>
    <w:rsid w:val="004147ED"/>
    <w:rsid w:val="00414C9C"/>
    <w:rsid w:val="00415304"/>
    <w:rsid w:val="0041581D"/>
    <w:rsid w:val="0041599F"/>
    <w:rsid w:val="00415E5B"/>
    <w:rsid w:val="00416FF8"/>
    <w:rsid w:val="004171C1"/>
    <w:rsid w:val="004172F5"/>
    <w:rsid w:val="0041774C"/>
    <w:rsid w:val="0041798E"/>
    <w:rsid w:val="0041C71C"/>
    <w:rsid w:val="0042012A"/>
    <w:rsid w:val="00422551"/>
    <w:rsid w:val="00422F5A"/>
    <w:rsid w:val="00423B4C"/>
    <w:rsid w:val="00423CF2"/>
    <w:rsid w:val="00423FB9"/>
    <w:rsid w:val="004249AF"/>
    <w:rsid w:val="00424CD1"/>
    <w:rsid w:val="00425B33"/>
    <w:rsid w:val="00425BDD"/>
    <w:rsid w:val="00425D01"/>
    <w:rsid w:val="004269EA"/>
    <w:rsid w:val="00427052"/>
    <w:rsid w:val="004275C9"/>
    <w:rsid w:val="00427FC8"/>
    <w:rsid w:val="004300B6"/>
    <w:rsid w:val="00430163"/>
    <w:rsid w:val="00430C11"/>
    <w:rsid w:val="00430EBD"/>
    <w:rsid w:val="00430F09"/>
    <w:rsid w:val="00431199"/>
    <w:rsid w:val="00431238"/>
    <w:rsid w:val="0043127A"/>
    <w:rsid w:val="00431350"/>
    <w:rsid w:val="00431493"/>
    <w:rsid w:val="0043172B"/>
    <w:rsid w:val="00432BBD"/>
    <w:rsid w:val="00432DF9"/>
    <w:rsid w:val="00433142"/>
    <w:rsid w:val="00433777"/>
    <w:rsid w:val="00433B72"/>
    <w:rsid w:val="004344A6"/>
    <w:rsid w:val="004349E2"/>
    <w:rsid w:val="00434A08"/>
    <w:rsid w:val="00434FF3"/>
    <w:rsid w:val="004352E7"/>
    <w:rsid w:val="004352E8"/>
    <w:rsid w:val="00435ACD"/>
    <w:rsid w:val="00435B13"/>
    <w:rsid w:val="00435B86"/>
    <w:rsid w:val="00436139"/>
    <w:rsid w:val="0043659D"/>
    <w:rsid w:val="00436799"/>
    <w:rsid w:val="00436923"/>
    <w:rsid w:val="004373E5"/>
    <w:rsid w:val="00437CE9"/>
    <w:rsid w:val="00437E38"/>
    <w:rsid w:val="004400CF"/>
    <w:rsid w:val="00440396"/>
    <w:rsid w:val="00440C2F"/>
    <w:rsid w:val="004417BD"/>
    <w:rsid w:val="00442952"/>
    <w:rsid w:val="00443137"/>
    <w:rsid w:val="0044314D"/>
    <w:rsid w:val="00443A50"/>
    <w:rsid w:val="00443D3C"/>
    <w:rsid w:val="004442F3"/>
    <w:rsid w:val="00444AD7"/>
    <w:rsid w:val="00445055"/>
    <w:rsid w:val="004459E5"/>
    <w:rsid w:val="00445A52"/>
    <w:rsid w:val="00445AD6"/>
    <w:rsid w:val="00445FB9"/>
    <w:rsid w:val="00445FDD"/>
    <w:rsid w:val="00446232"/>
    <w:rsid w:val="004462F1"/>
    <w:rsid w:val="00446A2C"/>
    <w:rsid w:val="004471C9"/>
    <w:rsid w:val="00450275"/>
    <w:rsid w:val="00450CD4"/>
    <w:rsid w:val="00450ED2"/>
    <w:rsid w:val="004542C5"/>
    <w:rsid w:val="00454396"/>
    <w:rsid w:val="004545C4"/>
    <w:rsid w:val="00454DD0"/>
    <w:rsid w:val="00455297"/>
    <w:rsid w:val="00455301"/>
    <w:rsid w:val="0045536B"/>
    <w:rsid w:val="00455402"/>
    <w:rsid w:val="00455924"/>
    <w:rsid w:val="00455DF5"/>
    <w:rsid w:val="00456059"/>
    <w:rsid w:val="00457509"/>
    <w:rsid w:val="00457AC6"/>
    <w:rsid w:val="00457BB8"/>
    <w:rsid w:val="00457EF4"/>
    <w:rsid w:val="00457F02"/>
    <w:rsid w:val="004608B1"/>
    <w:rsid w:val="004609B6"/>
    <w:rsid w:val="00460A68"/>
    <w:rsid w:val="00460F97"/>
    <w:rsid w:val="004611AD"/>
    <w:rsid w:val="0046145B"/>
    <w:rsid w:val="004617FB"/>
    <w:rsid w:val="0046191F"/>
    <w:rsid w:val="00461EB2"/>
    <w:rsid w:val="00461FF0"/>
    <w:rsid w:val="004643E3"/>
    <w:rsid w:val="00464FE1"/>
    <w:rsid w:val="0046512F"/>
    <w:rsid w:val="00465341"/>
    <w:rsid w:val="00466451"/>
    <w:rsid w:val="004668AA"/>
    <w:rsid w:val="00466DA6"/>
    <w:rsid w:val="004679F1"/>
    <w:rsid w:val="00467A45"/>
    <w:rsid w:val="00470DF0"/>
    <w:rsid w:val="0047142C"/>
    <w:rsid w:val="00471735"/>
    <w:rsid w:val="00471B57"/>
    <w:rsid w:val="00471C8A"/>
    <w:rsid w:val="0047219F"/>
    <w:rsid w:val="00472488"/>
    <w:rsid w:val="0047311B"/>
    <w:rsid w:val="00473A36"/>
    <w:rsid w:val="00473CBD"/>
    <w:rsid w:val="00473F4A"/>
    <w:rsid w:val="0047484F"/>
    <w:rsid w:val="00474C9A"/>
    <w:rsid w:val="0047520A"/>
    <w:rsid w:val="00475327"/>
    <w:rsid w:val="004755AC"/>
    <w:rsid w:val="00476700"/>
    <w:rsid w:val="00477008"/>
    <w:rsid w:val="004770DB"/>
    <w:rsid w:val="00480F24"/>
    <w:rsid w:val="00481024"/>
    <w:rsid w:val="00481389"/>
    <w:rsid w:val="00481548"/>
    <w:rsid w:val="00481EC3"/>
    <w:rsid w:val="004824DD"/>
    <w:rsid w:val="00482564"/>
    <w:rsid w:val="004825B0"/>
    <w:rsid w:val="004829F5"/>
    <w:rsid w:val="00482BB8"/>
    <w:rsid w:val="00482BD9"/>
    <w:rsid w:val="00482F70"/>
    <w:rsid w:val="0048314B"/>
    <w:rsid w:val="00483229"/>
    <w:rsid w:val="00483559"/>
    <w:rsid w:val="0048366F"/>
    <w:rsid w:val="00483EF5"/>
    <w:rsid w:val="0048429E"/>
    <w:rsid w:val="00484631"/>
    <w:rsid w:val="004847C8"/>
    <w:rsid w:val="00485462"/>
    <w:rsid w:val="004867AD"/>
    <w:rsid w:val="004868FA"/>
    <w:rsid w:val="00487159"/>
    <w:rsid w:val="0048717B"/>
    <w:rsid w:val="00487522"/>
    <w:rsid w:val="00487693"/>
    <w:rsid w:val="004876BF"/>
    <w:rsid w:val="004876CE"/>
    <w:rsid w:val="00487817"/>
    <w:rsid w:val="0049019B"/>
    <w:rsid w:val="00490435"/>
    <w:rsid w:val="0049099E"/>
    <w:rsid w:val="00490ECA"/>
    <w:rsid w:val="004913D0"/>
    <w:rsid w:val="00492274"/>
    <w:rsid w:val="004922EA"/>
    <w:rsid w:val="004926B7"/>
    <w:rsid w:val="00493327"/>
    <w:rsid w:val="00493B40"/>
    <w:rsid w:val="00494742"/>
    <w:rsid w:val="00495160"/>
    <w:rsid w:val="0049534B"/>
    <w:rsid w:val="004955C1"/>
    <w:rsid w:val="00495865"/>
    <w:rsid w:val="00495BC5"/>
    <w:rsid w:val="00496AAC"/>
    <w:rsid w:val="00496C5B"/>
    <w:rsid w:val="00497337"/>
    <w:rsid w:val="00497710"/>
    <w:rsid w:val="00497986"/>
    <w:rsid w:val="004A041E"/>
    <w:rsid w:val="004A0B84"/>
    <w:rsid w:val="004A0DFB"/>
    <w:rsid w:val="004A0EF8"/>
    <w:rsid w:val="004A130B"/>
    <w:rsid w:val="004A160C"/>
    <w:rsid w:val="004A17B0"/>
    <w:rsid w:val="004A1AC3"/>
    <w:rsid w:val="004A1FD4"/>
    <w:rsid w:val="004A2A60"/>
    <w:rsid w:val="004A2E8B"/>
    <w:rsid w:val="004A3446"/>
    <w:rsid w:val="004A3CB8"/>
    <w:rsid w:val="004A3EAF"/>
    <w:rsid w:val="004A48D3"/>
    <w:rsid w:val="004A4C72"/>
    <w:rsid w:val="004A4C95"/>
    <w:rsid w:val="004A4EE1"/>
    <w:rsid w:val="004A5045"/>
    <w:rsid w:val="004A5132"/>
    <w:rsid w:val="004A51D1"/>
    <w:rsid w:val="004A5C7C"/>
    <w:rsid w:val="004A63BC"/>
    <w:rsid w:val="004A6489"/>
    <w:rsid w:val="004A682A"/>
    <w:rsid w:val="004A68D2"/>
    <w:rsid w:val="004B0D7E"/>
    <w:rsid w:val="004B173E"/>
    <w:rsid w:val="004B1ADF"/>
    <w:rsid w:val="004B1B2F"/>
    <w:rsid w:val="004B2518"/>
    <w:rsid w:val="004B358F"/>
    <w:rsid w:val="004B37ED"/>
    <w:rsid w:val="004B46D0"/>
    <w:rsid w:val="004B4BC5"/>
    <w:rsid w:val="004B557C"/>
    <w:rsid w:val="004B5C15"/>
    <w:rsid w:val="004B74EE"/>
    <w:rsid w:val="004C049A"/>
    <w:rsid w:val="004C0789"/>
    <w:rsid w:val="004C09DF"/>
    <w:rsid w:val="004C0AF4"/>
    <w:rsid w:val="004C1D47"/>
    <w:rsid w:val="004C222A"/>
    <w:rsid w:val="004C235F"/>
    <w:rsid w:val="004C2D32"/>
    <w:rsid w:val="004C331A"/>
    <w:rsid w:val="004C3ADC"/>
    <w:rsid w:val="004C40B7"/>
    <w:rsid w:val="004C48ED"/>
    <w:rsid w:val="004C4B10"/>
    <w:rsid w:val="004C52B3"/>
    <w:rsid w:val="004C5C38"/>
    <w:rsid w:val="004C619F"/>
    <w:rsid w:val="004C6E61"/>
    <w:rsid w:val="004C7340"/>
    <w:rsid w:val="004C7742"/>
    <w:rsid w:val="004D019B"/>
    <w:rsid w:val="004D0718"/>
    <w:rsid w:val="004D07CB"/>
    <w:rsid w:val="004D1798"/>
    <w:rsid w:val="004D1ACE"/>
    <w:rsid w:val="004D1CDD"/>
    <w:rsid w:val="004D1D10"/>
    <w:rsid w:val="004D1D28"/>
    <w:rsid w:val="004D1F5F"/>
    <w:rsid w:val="004D24C1"/>
    <w:rsid w:val="004D32B2"/>
    <w:rsid w:val="004D3516"/>
    <w:rsid w:val="004D4119"/>
    <w:rsid w:val="004D4169"/>
    <w:rsid w:val="004D466B"/>
    <w:rsid w:val="004D4CD0"/>
    <w:rsid w:val="004D748A"/>
    <w:rsid w:val="004D7CEE"/>
    <w:rsid w:val="004E03BE"/>
    <w:rsid w:val="004E0F43"/>
    <w:rsid w:val="004E1341"/>
    <w:rsid w:val="004E139E"/>
    <w:rsid w:val="004E162A"/>
    <w:rsid w:val="004E1A95"/>
    <w:rsid w:val="004E306D"/>
    <w:rsid w:val="004E3467"/>
    <w:rsid w:val="004E3C3A"/>
    <w:rsid w:val="004E3E0C"/>
    <w:rsid w:val="004E4116"/>
    <w:rsid w:val="004E4306"/>
    <w:rsid w:val="004E436B"/>
    <w:rsid w:val="004E4634"/>
    <w:rsid w:val="004E5483"/>
    <w:rsid w:val="004E5728"/>
    <w:rsid w:val="004E63E1"/>
    <w:rsid w:val="004E6A99"/>
    <w:rsid w:val="004E6E5F"/>
    <w:rsid w:val="004E71CA"/>
    <w:rsid w:val="004E75CE"/>
    <w:rsid w:val="004E78EA"/>
    <w:rsid w:val="004E7BCF"/>
    <w:rsid w:val="004F021D"/>
    <w:rsid w:val="004F0966"/>
    <w:rsid w:val="004F0AD8"/>
    <w:rsid w:val="004F1160"/>
    <w:rsid w:val="004F119A"/>
    <w:rsid w:val="004F12D0"/>
    <w:rsid w:val="004F131D"/>
    <w:rsid w:val="004F15B1"/>
    <w:rsid w:val="004F187C"/>
    <w:rsid w:val="004F1E99"/>
    <w:rsid w:val="004F261C"/>
    <w:rsid w:val="004F32F0"/>
    <w:rsid w:val="004F3C39"/>
    <w:rsid w:val="004F3F9A"/>
    <w:rsid w:val="004F4F3A"/>
    <w:rsid w:val="004F5114"/>
    <w:rsid w:val="004F5BFD"/>
    <w:rsid w:val="004F5CF3"/>
    <w:rsid w:val="004F5D9D"/>
    <w:rsid w:val="004F62AF"/>
    <w:rsid w:val="004F643B"/>
    <w:rsid w:val="004F6653"/>
    <w:rsid w:val="004F79A2"/>
    <w:rsid w:val="004F7CE5"/>
    <w:rsid w:val="004F7E06"/>
    <w:rsid w:val="004F7FEA"/>
    <w:rsid w:val="005001D3"/>
    <w:rsid w:val="005002FA"/>
    <w:rsid w:val="00500543"/>
    <w:rsid w:val="0050071D"/>
    <w:rsid w:val="00500BD3"/>
    <w:rsid w:val="00500CFB"/>
    <w:rsid w:val="00500F3F"/>
    <w:rsid w:val="00501181"/>
    <w:rsid w:val="005025CA"/>
    <w:rsid w:val="0050270F"/>
    <w:rsid w:val="00502877"/>
    <w:rsid w:val="00502ACB"/>
    <w:rsid w:val="00502FDA"/>
    <w:rsid w:val="0050300D"/>
    <w:rsid w:val="00503177"/>
    <w:rsid w:val="005032A8"/>
    <w:rsid w:val="005035E1"/>
    <w:rsid w:val="00503D23"/>
    <w:rsid w:val="00504180"/>
    <w:rsid w:val="005044A4"/>
    <w:rsid w:val="00504BA6"/>
    <w:rsid w:val="005050BC"/>
    <w:rsid w:val="00505D68"/>
    <w:rsid w:val="005063CA"/>
    <w:rsid w:val="00507787"/>
    <w:rsid w:val="00507951"/>
    <w:rsid w:val="00507B01"/>
    <w:rsid w:val="00507D6B"/>
    <w:rsid w:val="0050E772"/>
    <w:rsid w:val="0051036F"/>
    <w:rsid w:val="00510773"/>
    <w:rsid w:val="00510A24"/>
    <w:rsid w:val="00510F52"/>
    <w:rsid w:val="0051128C"/>
    <w:rsid w:val="0051145B"/>
    <w:rsid w:val="0051152F"/>
    <w:rsid w:val="00511A30"/>
    <w:rsid w:val="00511DEF"/>
    <w:rsid w:val="00511EFD"/>
    <w:rsid w:val="00512067"/>
    <w:rsid w:val="00512132"/>
    <w:rsid w:val="00512347"/>
    <w:rsid w:val="0051256C"/>
    <w:rsid w:val="005128E6"/>
    <w:rsid w:val="005129D7"/>
    <w:rsid w:val="005131EC"/>
    <w:rsid w:val="00513CEC"/>
    <w:rsid w:val="00513E04"/>
    <w:rsid w:val="005141D7"/>
    <w:rsid w:val="00514300"/>
    <w:rsid w:val="00514434"/>
    <w:rsid w:val="00514576"/>
    <w:rsid w:val="005145AD"/>
    <w:rsid w:val="00514958"/>
    <w:rsid w:val="00514BAE"/>
    <w:rsid w:val="00514D1A"/>
    <w:rsid w:val="00516681"/>
    <w:rsid w:val="005174BA"/>
    <w:rsid w:val="005209E9"/>
    <w:rsid w:val="00520C04"/>
    <w:rsid w:val="00521C35"/>
    <w:rsid w:val="00521CBB"/>
    <w:rsid w:val="00522263"/>
    <w:rsid w:val="0052232D"/>
    <w:rsid w:val="005224ED"/>
    <w:rsid w:val="00522675"/>
    <w:rsid w:val="005226AA"/>
    <w:rsid w:val="005229A0"/>
    <w:rsid w:val="00522B25"/>
    <w:rsid w:val="005231F8"/>
    <w:rsid w:val="005232A4"/>
    <w:rsid w:val="005237DC"/>
    <w:rsid w:val="00523E22"/>
    <w:rsid w:val="00524253"/>
    <w:rsid w:val="0052473E"/>
    <w:rsid w:val="00524811"/>
    <w:rsid w:val="00524A90"/>
    <w:rsid w:val="00525467"/>
    <w:rsid w:val="00525585"/>
    <w:rsid w:val="005256F3"/>
    <w:rsid w:val="00525BD8"/>
    <w:rsid w:val="00526546"/>
    <w:rsid w:val="00527A2B"/>
    <w:rsid w:val="00527C9E"/>
    <w:rsid w:val="005300EF"/>
    <w:rsid w:val="00530C46"/>
    <w:rsid w:val="00530F2D"/>
    <w:rsid w:val="0053110E"/>
    <w:rsid w:val="00531ADD"/>
    <w:rsid w:val="00531C47"/>
    <w:rsid w:val="00531D44"/>
    <w:rsid w:val="00531D8E"/>
    <w:rsid w:val="00532126"/>
    <w:rsid w:val="005325D9"/>
    <w:rsid w:val="00532706"/>
    <w:rsid w:val="00532A0F"/>
    <w:rsid w:val="00532E54"/>
    <w:rsid w:val="00533344"/>
    <w:rsid w:val="0053488A"/>
    <w:rsid w:val="00534A7C"/>
    <w:rsid w:val="00534E24"/>
    <w:rsid w:val="0053511E"/>
    <w:rsid w:val="00535383"/>
    <w:rsid w:val="00535823"/>
    <w:rsid w:val="00535E6D"/>
    <w:rsid w:val="00536A8A"/>
    <w:rsid w:val="00536C3B"/>
    <w:rsid w:val="005371B5"/>
    <w:rsid w:val="0053763E"/>
    <w:rsid w:val="00537710"/>
    <w:rsid w:val="005379EB"/>
    <w:rsid w:val="00540391"/>
    <w:rsid w:val="00540502"/>
    <w:rsid w:val="005406F8"/>
    <w:rsid w:val="005408AF"/>
    <w:rsid w:val="00540C88"/>
    <w:rsid w:val="00541381"/>
    <w:rsid w:val="005418B4"/>
    <w:rsid w:val="00541CC5"/>
    <w:rsid w:val="00541CFD"/>
    <w:rsid w:val="00542767"/>
    <w:rsid w:val="00542F18"/>
    <w:rsid w:val="0054301B"/>
    <w:rsid w:val="00543109"/>
    <w:rsid w:val="00543A70"/>
    <w:rsid w:val="00543D47"/>
    <w:rsid w:val="00544ECA"/>
    <w:rsid w:val="00544F49"/>
    <w:rsid w:val="00545635"/>
    <w:rsid w:val="0054591B"/>
    <w:rsid w:val="00545AFB"/>
    <w:rsid w:val="00545F7D"/>
    <w:rsid w:val="00546447"/>
    <w:rsid w:val="00546C3C"/>
    <w:rsid w:val="00550080"/>
    <w:rsid w:val="005512C2"/>
    <w:rsid w:val="005513AC"/>
    <w:rsid w:val="005518EB"/>
    <w:rsid w:val="00552169"/>
    <w:rsid w:val="0055218F"/>
    <w:rsid w:val="00552573"/>
    <w:rsid w:val="00552B90"/>
    <w:rsid w:val="005534DC"/>
    <w:rsid w:val="00553586"/>
    <w:rsid w:val="0055390E"/>
    <w:rsid w:val="0055425D"/>
    <w:rsid w:val="005542E8"/>
    <w:rsid w:val="005543F8"/>
    <w:rsid w:val="005544F3"/>
    <w:rsid w:val="00554EA9"/>
    <w:rsid w:val="00555142"/>
    <w:rsid w:val="00555312"/>
    <w:rsid w:val="0055596D"/>
    <w:rsid w:val="00555BFF"/>
    <w:rsid w:val="00555D1E"/>
    <w:rsid w:val="00555E1D"/>
    <w:rsid w:val="00555EBE"/>
    <w:rsid w:val="00556607"/>
    <w:rsid w:val="00556D1F"/>
    <w:rsid w:val="00556DBF"/>
    <w:rsid w:val="0055750A"/>
    <w:rsid w:val="005603AD"/>
    <w:rsid w:val="00561836"/>
    <w:rsid w:val="00561E55"/>
    <w:rsid w:val="005623EB"/>
    <w:rsid w:val="0056244A"/>
    <w:rsid w:val="00562734"/>
    <w:rsid w:val="00563147"/>
    <w:rsid w:val="00563784"/>
    <w:rsid w:val="00563D8F"/>
    <w:rsid w:val="00564B4B"/>
    <w:rsid w:val="00564D80"/>
    <w:rsid w:val="00565749"/>
    <w:rsid w:val="0056690D"/>
    <w:rsid w:val="00566F4E"/>
    <w:rsid w:val="0056708F"/>
    <w:rsid w:val="005674BD"/>
    <w:rsid w:val="00567C8F"/>
    <w:rsid w:val="00567CB3"/>
    <w:rsid w:val="0057033C"/>
    <w:rsid w:val="00570435"/>
    <w:rsid w:val="005704F7"/>
    <w:rsid w:val="005705D0"/>
    <w:rsid w:val="00570D3D"/>
    <w:rsid w:val="00571158"/>
    <w:rsid w:val="005711F0"/>
    <w:rsid w:val="0057195A"/>
    <w:rsid w:val="00571E3B"/>
    <w:rsid w:val="00572608"/>
    <w:rsid w:val="0057267D"/>
    <w:rsid w:val="00572B37"/>
    <w:rsid w:val="00573DF1"/>
    <w:rsid w:val="00574B92"/>
    <w:rsid w:val="00574D74"/>
    <w:rsid w:val="00575C36"/>
    <w:rsid w:val="00576D49"/>
    <w:rsid w:val="0058023B"/>
    <w:rsid w:val="005807D2"/>
    <w:rsid w:val="0058085C"/>
    <w:rsid w:val="005810FA"/>
    <w:rsid w:val="0058124B"/>
    <w:rsid w:val="00581280"/>
    <w:rsid w:val="00581E5C"/>
    <w:rsid w:val="005826E0"/>
    <w:rsid w:val="00582DB7"/>
    <w:rsid w:val="00582DC4"/>
    <w:rsid w:val="00582EFA"/>
    <w:rsid w:val="00582F58"/>
    <w:rsid w:val="00583208"/>
    <w:rsid w:val="005834D8"/>
    <w:rsid w:val="00583515"/>
    <w:rsid w:val="005844CD"/>
    <w:rsid w:val="0058468B"/>
    <w:rsid w:val="00584719"/>
    <w:rsid w:val="00585942"/>
    <w:rsid w:val="00585D73"/>
    <w:rsid w:val="005868AE"/>
    <w:rsid w:val="00586B7E"/>
    <w:rsid w:val="00586E18"/>
    <w:rsid w:val="0058737E"/>
    <w:rsid w:val="00587487"/>
    <w:rsid w:val="0058777B"/>
    <w:rsid w:val="00587841"/>
    <w:rsid w:val="00587A58"/>
    <w:rsid w:val="00587F3F"/>
    <w:rsid w:val="0059003A"/>
    <w:rsid w:val="00590A19"/>
    <w:rsid w:val="00591A2F"/>
    <w:rsid w:val="005921A4"/>
    <w:rsid w:val="0059237C"/>
    <w:rsid w:val="00593167"/>
    <w:rsid w:val="005932BA"/>
    <w:rsid w:val="00593997"/>
    <w:rsid w:val="00593DBA"/>
    <w:rsid w:val="00593EC1"/>
    <w:rsid w:val="00594092"/>
    <w:rsid w:val="00594149"/>
    <w:rsid w:val="005946B4"/>
    <w:rsid w:val="0059484F"/>
    <w:rsid w:val="005955DA"/>
    <w:rsid w:val="00595A10"/>
    <w:rsid w:val="00595B81"/>
    <w:rsid w:val="00595FDC"/>
    <w:rsid w:val="005962CD"/>
    <w:rsid w:val="005963DE"/>
    <w:rsid w:val="005968B5"/>
    <w:rsid w:val="00596CE2"/>
    <w:rsid w:val="00596F65"/>
    <w:rsid w:val="0059787A"/>
    <w:rsid w:val="00597931"/>
    <w:rsid w:val="00597AED"/>
    <w:rsid w:val="00597FA9"/>
    <w:rsid w:val="00598B73"/>
    <w:rsid w:val="005A027C"/>
    <w:rsid w:val="005A063E"/>
    <w:rsid w:val="005A07F4"/>
    <w:rsid w:val="005A0BCC"/>
    <w:rsid w:val="005A0C6F"/>
    <w:rsid w:val="005A0FA1"/>
    <w:rsid w:val="005A1ED9"/>
    <w:rsid w:val="005A274A"/>
    <w:rsid w:val="005A2D98"/>
    <w:rsid w:val="005A2FFC"/>
    <w:rsid w:val="005A3028"/>
    <w:rsid w:val="005A315F"/>
    <w:rsid w:val="005A3C71"/>
    <w:rsid w:val="005A3FF5"/>
    <w:rsid w:val="005A4064"/>
    <w:rsid w:val="005A48F8"/>
    <w:rsid w:val="005A50EC"/>
    <w:rsid w:val="005A5E0E"/>
    <w:rsid w:val="005A6EBE"/>
    <w:rsid w:val="005A76E9"/>
    <w:rsid w:val="005A7EBC"/>
    <w:rsid w:val="005A8461"/>
    <w:rsid w:val="005B0FBC"/>
    <w:rsid w:val="005B109D"/>
    <w:rsid w:val="005B11C2"/>
    <w:rsid w:val="005B148E"/>
    <w:rsid w:val="005B1AEB"/>
    <w:rsid w:val="005B1E57"/>
    <w:rsid w:val="005B1F13"/>
    <w:rsid w:val="005B2018"/>
    <w:rsid w:val="005B224B"/>
    <w:rsid w:val="005B24BC"/>
    <w:rsid w:val="005B24CD"/>
    <w:rsid w:val="005B24ED"/>
    <w:rsid w:val="005B2CFE"/>
    <w:rsid w:val="005B358D"/>
    <w:rsid w:val="005B3BD8"/>
    <w:rsid w:val="005B4098"/>
    <w:rsid w:val="005B476D"/>
    <w:rsid w:val="005B4F90"/>
    <w:rsid w:val="005B54E0"/>
    <w:rsid w:val="005B6698"/>
    <w:rsid w:val="005B7184"/>
    <w:rsid w:val="005B7408"/>
    <w:rsid w:val="005B7846"/>
    <w:rsid w:val="005B7C4C"/>
    <w:rsid w:val="005C0154"/>
    <w:rsid w:val="005C06F2"/>
    <w:rsid w:val="005C071C"/>
    <w:rsid w:val="005C0D49"/>
    <w:rsid w:val="005C0E8A"/>
    <w:rsid w:val="005C0F66"/>
    <w:rsid w:val="005C1176"/>
    <w:rsid w:val="005C118F"/>
    <w:rsid w:val="005C11D6"/>
    <w:rsid w:val="005C137E"/>
    <w:rsid w:val="005C162D"/>
    <w:rsid w:val="005C17FD"/>
    <w:rsid w:val="005C1F3A"/>
    <w:rsid w:val="005C1F4C"/>
    <w:rsid w:val="005C216E"/>
    <w:rsid w:val="005C2357"/>
    <w:rsid w:val="005C2987"/>
    <w:rsid w:val="005C2B0A"/>
    <w:rsid w:val="005C2C1B"/>
    <w:rsid w:val="005C318D"/>
    <w:rsid w:val="005C32F2"/>
    <w:rsid w:val="005C3A49"/>
    <w:rsid w:val="005C4514"/>
    <w:rsid w:val="005C476E"/>
    <w:rsid w:val="005C49CA"/>
    <w:rsid w:val="005C4FAF"/>
    <w:rsid w:val="005C5204"/>
    <w:rsid w:val="005C53DF"/>
    <w:rsid w:val="005C5B69"/>
    <w:rsid w:val="005C5C69"/>
    <w:rsid w:val="005C5D6B"/>
    <w:rsid w:val="005C6947"/>
    <w:rsid w:val="005C6E14"/>
    <w:rsid w:val="005C79A6"/>
    <w:rsid w:val="005C7DE8"/>
    <w:rsid w:val="005D00B2"/>
    <w:rsid w:val="005D0209"/>
    <w:rsid w:val="005D02C6"/>
    <w:rsid w:val="005D03B9"/>
    <w:rsid w:val="005D0C86"/>
    <w:rsid w:val="005D1510"/>
    <w:rsid w:val="005D16FE"/>
    <w:rsid w:val="005D1B4D"/>
    <w:rsid w:val="005D1E82"/>
    <w:rsid w:val="005D1E97"/>
    <w:rsid w:val="005D1EC5"/>
    <w:rsid w:val="005D23B1"/>
    <w:rsid w:val="005D2A1F"/>
    <w:rsid w:val="005D3076"/>
    <w:rsid w:val="005D3359"/>
    <w:rsid w:val="005D3CE0"/>
    <w:rsid w:val="005D3E17"/>
    <w:rsid w:val="005D3F02"/>
    <w:rsid w:val="005D3F2E"/>
    <w:rsid w:val="005D4230"/>
    <w:rsid w:val="005D457A"/>
    <w:rsid w:val="005D45EA"/>
    <w:rsid w:val="005D50C6"/>
    <w:rsid w:val="005D568B"/>
    <w:rsid w:val="005D5709"/>
    <w:rsid w:val="005D6002"/>
    <w:rsid w:val="005D68DD"/>
    <w:rsid w:val="005D6E35"/>
    <w:rsid w:val="005D7716"/>
    <w:rsid w:val="005D7980"/>
    <w:rsid w:val="005D7A2E"/>
    <w:rsid w:val="005E01A1"/>
    <w:rsid w:val="005E0244"/>
    <w:rsid w:val="005E0C04"/>
    <w:rsid w:val="005E0E92"/>
    <w:rsid w:val="005E0E9D"/>
    <w:rsid w:val="005E0ED4"/>
    <w:rsid w:val="005E20B5"/>
    <w:rsid w:val="005E24F1"/>
    <w:rsid w:val="005E24F6"/>
    <w:rsid w:val="005E2F23"/>
    <w:rsid w:val="005E35D8"/>
    <w:rsid w:val="005E3744"/>
    <w:rsid w:val="005E3AA9"/>
    <w:rsid w:val="005E3F8B"/>
    <w:rsid w:val="005E49BD"/>
    <w:rsid w:val="005E4C2B"/>
    <w:rsid w:val="005E5C4B"/>
    <w:rsid w:val="005E5E09"/>
    <w:rsid w:val="005E5F4B"/>
    <w:rsid w:val="005E6937"/>
    <w:rsid w:val="005E6C5D"/>
    <w:rsid w:val="005E72B2"/>
    <w:rsid w:val="005E772B"/>
    <w:rsid w:val="005E7953"/>
    <w:rsid w:val="005E7DC5"/>
    <w:rsid w:val="005F052A"/>
    <w:rsid w:val="005F07A0"/>
    <w:rsid w:val="005F0F77"/>
    <w:rsid w:val="005F14BA"/>
    <w:rsid w:val="005F1704"/>
    <w:rsid w:val="005F1752"/>
    <w:rsid w:val="005F1920"/>
    <w:rsid w:val="005F19F5"/>
    <w:rsid w:val="005F1FB0"/>
    <w:rsid w:val="005F3049"/>
    <w:rsid w:val="005F336D"/>
    <w:rsid w:val="005F41A9"/>
    <w:rsid w:val="005F4294"/>
    <w:rsid w:val="005F4726"/>
    <w:rsid w:val="005F476A"/>
    <w:rsid w:val="005F48AC"/>
    <w:rsid w:val="005F4C02"/>
    <w:rsid w:val="005F533F"/>
    <w:rsid w:val="005F5540"/>
    <w:rsid w:val="005F5759"/>
    <w:rsid w:val="005F5CBD"/>
    <w:rsid w:val="005F603E"/>
    <w:rsid w:val="005F6C86"/>
    <w:rsid w:val="005F6D3D"/>
    <w:rsid w:val="005F6D70"/>
    <w:rsid w:val="005F73A2"/>
    <w:rsid w:val="005F74D8"/>
    <w:rsid w:val="00600255"/>
    <w:rsid w:val="00600D7F"/>
    <w:rsid w:val="00601AF4"/>
    <w:rsid w:val="00601E70"/>
    <w:rsid w:val="00602082"/>
    <w:rsid w:val="006021D1"/>
    <w:rsid w:val="00602469"/>
    <w:rsid w:val="00602E15"/>
    <w:rsid w:val="0060392F"/>
    <w:rsid w:val="00604169"/>
    <w:rsid w:val="0060420D"/>
    <w:rsid w:val="0060483B"/>
    <w:rsid w:val="00604AF0"/>
    <w:rsid w:val="00604F97"/>
    <w:rsid w:val="006055FF"/>
    <w:rsid w:val="006057A3"/>
    <w:rsid w:val="00606814"/>
    <w:rsid w:val="00607A86"/>
    <w:rsid w:val="00607ADB"/>
    <w:rsid w:val="00607C95"/>
    <w:rsid w:val="006101BB"/>
    <w:rsid w:val="006102BD"/>
    <w:rsid w:val="00611056"/>
    <w:rsid w:val="00611959"/>
    <w:rsid w:val="00611EF5"/>
    <w:rsid w:val="00612215"/>
    <w:rsid w:val="006125D4"/>
    <w:rsid w:val="00612DE3"/>
    <w:rsid w:val="006131A3"/>
    <w:rsid w:val="006135EA"/>
    <w:rsid w:val="006139CA"/>
    <w:rsid w:val="00614192"/>
    <w:rsid w:val="00614623"/>
    <w:rsid w:val="00614936"/>
    <w:rsid w:val="00615755"/>
    <w:rsid w:val="00615944"/>
    <w:rsid w:val="00615A01"/>
    <w:rsid w:val="00615B17"/>
    <w:rsid w:val="00615B7A"/>
    <w:rsid w:val="00615BEB"/>
    <w:rsid w:val="006167DA"/>
    <w:rsid w:val="00616A58"/>
    <w:rsid w:val="00616A99"/>
    <w:rsid w:val="0061709B"/>
    <w:rsid w:val="0061764D"/>
    <w:rsid w:val="00620A69"/>
    <w:rsid w:val="006210AF"/>
    <w:rsid w:val="006210C2"/>
    <w:rsid w:val="006210F5"/>
    <w:rsid w:val="006215BB"/>
    <w:rsid w:val="0062161A"/>
    <w:rsid w:val="006221CF"/>
    <w:rsid w:val="00623713"/>
    <w:rsid w:val="00623897"/>
    <w:rsid w:val="00623B8B"/>
    <w:rsid w:val="00623E9E"/>
    <w:rsid w:val="00623FFA"/>
    <w:rsid w:val="006241B4"/>
    <w:rsid w:val="00624225"/>
    <w:rsid w:val="00624CFE"/>
    <w:rsid w:val="006259C6"/>
    <w:rsid w:val="00625B64"/>
    <w:rsid w:val="00625D5B"/>
    <w:rsid w:val="00625DF1"/>
    <w:rsid w:val="00626CC7"/>
    <w:rsid w:val="00626CDB"/>
    <w:rsid w:val="00626E14"/>
    <w:rsid w:val="00626F64"/>
    <w:rsid w:val="006275B3"/>
    <w:rsid w:val="00627679"/>
    <w:rsid w:val="00627917"/>
    <w:rsid w:val="00630530"/>
    <w:rsid w:val="00630E31"/>
    <w:rsid w:val="00630F0B"/>
    <w:rsid w:val="00630F58"/>
    <w:rsid w:val="00631168"/>
    <w:rsid w:val="00631185"/>
    <w:rsid w:val="006317DA"/>
    <w:rsid w:val="00631B76"/>
    <w:rsid w:val="00631FAD"/>
    <w:rsid w:val="00632B1A"/>
    <w:rsid w:val="00632BEA"/>
    <w:rsid w:val="00632E1B"/>
    <w:rsid w:val="006334F6"/>
    <w:rsid w:val="00634240"/>
    <w:rsid w:val="006349C9"/>
    <w:rsid w:val="00634D9A"/>
    <w:rsid w:val="006354B6"/>
    <w:rsid w:val="00635592"/>
    <w:rsid w:val="00635AE4"/>
    <w:rsid w:val="0063620B"/>
    <w:rsid w:val="006362E1"/>
    <w:rsid w:val="00636C4A"/>
    <w:rsid w:val="00636E42"/>
    <w:rsid w:val="00637152"/>
    <w:rsid w:val="00637589"/>
    <w:rsid w:val="0064010C"/>
    <w:rsid w:val="00641004"/>
    <w:rsid w:val="006413BB"/>
    <w:rsid w:val="0064250D"/>
    <w:rsid w:val="00642667"/>
    <w:rsid w:val="00643223"/>
    <w:rsid w:val="006432D6"/>
    <w:rsid w:val="006434E1"/>
    <w:rsid w:val="00643BA5"/>
    <w:rsid w:val="0064407B"/>
    <w:rsid w:val="0064491F"/>
    <w:rsid w:val="00644AE0"/>
    <w:rsid w:val="00644C23"/>
    <w:rsid w:val="00644C8E"/>
    <w:rsid w:val="00644EA3"/>
    <w:rsid w:val="00644EEF"/>
    <w:rsid w:val="006452A7"/>
    <w:rsid w:val="00645C0A"/>
    <w:rsid w:val="006462D5"/>
    <w:rsid w:val="006468B4"/>
    <w:rsid w:val="006470DC"/>
    <w:rsid w:val="006472A7"/>
    <w:rsid w:val="006474CF"/>
    <w:rsid w:val="00647525"/>
    <w:rsid w:val="00647F48"/>
    <w:rsid w:val="00647F68"/>
    <w:rsid w:val="006501AA"/>
    <w:rsid w:val="006509CC"/>
    <w:rsid w:val="00651462"/>
    <w:rsid w:val="00651B1C"/>
    <w:rsid w:val="00651B21"/>
    <w:rsid w:val="00651DD1"/>
    <w:rsid w:val="0065289B"/>
    <w:rsid w:val="00652AD8"/>
    <w:rsid w:val="00653646"/>
    <w:rsid w:val="00653E70"/>
    <w:rsid w:val="006549D8"/>
    <w:rsid w:val="006551E7"/>
    <w:rsid w:val="006560D7"/>
    <w:rsid w:val="00656DCF"/>
    <w:rsid w:val="00656E44"/>
    <w:rsid w:val="006577F9"/>
    <w:rsid w:val="006601D2"/>
    <w:rsid w:val="006604A7"/>
    <w:rsid w:val="006604BB"/>
    <w:rsid w:val="00660767"/>
    <w:rsid w:val="00660D90"/>
    <w:rsid w:val="0066213A"/>
    <w:rsid w:val="006621C1"/>
    <w:rsid w:val="00662210"/>
    <w:rsid w:val="0066236D"/>
    <w:rsid w:val="0066327A"/>
    <w:rsid w:val="0066392B"/>
    <w:rsid w:val="0066417D"/>
    <w:rsid w:val="006643F4"/>
    <w:rsid w:val="00664703"/>
    <w:rsid w:val="00664ECE"/>
    <w:rsid w:val="00664F75"/>
    <w:rsid w:val="006653E4"/>
    <w:rsid w:val="0066548A"/>
    <w:rsid w:val="006656CF"/>
    <w:rsid w:val="006674BB"/>
    <w:rsid w:val="00667742"/>
    <w:rsid w:val="00667987"/>
    <w:rsid w:val="00667AA6"/>
    <w:rsid w:val="006702BE"/>
    <w:rsid w:val="006705B6"/>
    <w:rsid w:val="00671C34"/>
    <w:rsid w:val="00671EC2"/>
    <w:rsid w:val="00672937"/>
    <w:rsid w:val="00672A66"/>
    <w:rsid w:val="00672B18"/>
    <w:rsid w:val="00672B87"/>
    <w:rsid w:val="00673840"/>
    <w:rsid w:val="00673A7E"/>
    <w:rsid w:val="00674088"/>
    <w:rsid w:val="00674812"/>
    <w:rsid w:val="006748CA"/>
    <w:rsid w:val="00675B7D"/>
    <w:rsid w:val="00676237"/>
    <w:rsid w:val="00676554"/>
    <w:rsid w:val="00676742"/>
    <w:rsid w:val="00676CDA"/>
    <w:rsid w:val="00677126"/>
    <w:rsid w:val="0067745A"/>
    <w:rsid w:val="006774A8"/>
    <w:rsid w:val="00677B35"/>
    <w:rsid w:val="00677D61"/>
    <w:rsid w:val="006802CE"/>
    <w:rsid w:val="00680334"/>
    <w:rsid w:val="00680720"/>
    <w:rsid w:val="00681631"/>
    <w:rsid w:val="0068172F"/>
    <w:rsid w:val="00681C8B"/>
    <w:rsid w:val="00681F5B"/>
    <w:rsid w:val="00682047"/>
    <w:rsid w:val="00682D5F"/>
    <w:rsid w:val="0068328F"/>
    <w:rsid w:val="006838A8"/>
    <w:rsid w:val="00683DE7"/>
    <w:rsid w:val="006840BD"/>
    <w:rsid w:val="006848B0"/>
    <w:rsid w:val="006850E8"/>
    <w:rsid w:val="00685E60"/>
    <w:rsid w:val="0068633F"/>
    <w:rsid w:val="0068695A"/>
    <w:rsid w:val="0068735B"/>
    <w:rsid w:val="006879E1"/>
    <w:rsid w:val="00690E31"/>
    <w:rsid w:val="0069140D"/>
    <w:rsid w:val="00691733"/>
    <w:rsid w:val="006919D5"/>
    <w:rsid w:val="00691AF3"/>
    <w:rsid w:val="00691BC6"/>
    <w:rsid w:val="00691F76"/>
    <w:rsid w:val="0069294F"/>
    <w:rsid w:val="00693405"/>
    <w:rsid w:val="006941F4"/>
    <w:rsid w:val="006947EC"/>
    <w:rsid w:val="0069481F"/>
    <w:rsid w:val="00694C96"/>
    <w:rsid w:val="006954FD"/>
    <w:rsid w:val="00695E70"/>
    <w:rsid w:val="006963AB"/>
    <w:rsid w:val="00696704"/>
    <w:rsid w:val="006974EA"/>
    <w:rsid w:val="0069770C"/>
    <w:rsid w:val="00697F66"/>
    <w:rsid w:val="006A0433"/>
    <w:rsid w:val="006A11E7"/>
    <w:rsid w:val="006A126A"/>
    <w:rsid w:val="006A15B6"/>
    <w:rsid w:val="006A20A6"/>
    <w:rsid w:val="006A25FF"/>
    <w:rsid w:val="006A2D17"/>
    <w:rsid w:val="006A4468"/>
    <w:rsid w:val="006A4E54"/>
    <w:rsid w:val="006A562C"/>
    <w:rsid w:val="006A57E8"/>
    <w:rsid w:val="006A5E0A"/>
    <w:rsid w:val="006A61E1"/>
    <w:rsid w:val="006A69B9"/>
    <w:rsid w:val="006A72D5"/>
    <w:rsid w:val="006A7302"/>
    <w:rsid w:val="006A77D3"/>
    <w:rsid w:val="006B009E"/>
    <w:rsid w:val="006B0504"/>
    <w:rsid w:val="006B1663"/>
    <w:rsid w:val="006B1F7F"/>
    <w:rsid w:val="006B20C5"/>
    <w:rsid w:val="006B20CC"/>
    <w:rsid w:val="006B24CA"/>
    <w:rsid w:val="006B254D"/>
    <w:rsid w:val="006B2AE1"/>
    <w:rsid w:val="006B2E53"/>
    <w:rsid w:val="006B2F5E"/>
    <w:rsid w:val="006B32BE"/>
    <w:rsid w:val="006B3B47"/>
    <w:rsid w:val="006B3C0E"/>
    <w:rsid w:val="006B4E18"/>
    <w:rsid w:val="006B539F"/>
    <w:rsid w:val="006B5B34"/>
    <w:rsid w:val="006B5E3D"/>
    <w:rsid w:val="006B63E1"/>
    <w:rsid w:val="006B6649"/>
    <w:rsid w:val="006B6DEB"/>
    <w:rsid w:val="006B7185"/>
    <w:rsid w:val="006B73E8"/>
    <w:rsid w:val="006B7DB7"/>
    <w:rsid w:val="006C0346"/>
    <w:rsid w:val="006C0365"/>
    <w:rsid w:val="006C1687"/>
    <w:rsid w:val="006C1972"/>
    <w:rsid w:val="006C1B5E"/>
    <w:rsid w:val="006C1F0F"/>
    <w:rsid w:val="006C1F52"/>
    <w:rsid w:val="006C245C"/>
    <w:rsid w:val="006C252A"/>
    <w:rsid w:val="006C3797"/>
    <w:rsid w:val="006C3ADD"/>
    <w:rsid w:val="006C3FE9"/>
    <w:rsid w:val="006C4068"/>
    <w:rsid w:val="006C43D9"/>
    <w:rsid w:val="006C47AE"/>
    <w:rsid w:val="006C4B94"/>
    <w:rsid w:val="006C6964"/>
    <w:rsid w:val="006C6FFB"/>
    <w:rsid w:val="006C70AA"/>
    <w:rsid w:val="006C78C4"/>
    <w:rsid w:val="006C7C57"/>
    <w:rsid w:val="006C7DE8"/>
    <w:rsid w:val="006D09F5"/>
    <w:rsid w:val="006D16BE"/>
    <w:rsid w:val="006D256D"/>
    <w:rsid w:val="006D2977"/>
    <w:rsid w:val="006D2B00"/>
    <w:rsid w:val="006D2FBF"/>
    <w:rsid w:val="006D30DF"/>
    <w:rsid w:val="006D30E4"/>
    <w:rsid w:val="006D3664"/>
    <w:rsid w:val="006D39F0"/>
    <w:rsid w:val="006D3DED"/>
    <w:rsid w:val="006D42CF"/>
    <w:rsid w:val="006D4399"/>
    <w:rsid w:val="006D4C8A"/>
    <w:rsid w:val="006D4DAD"/>
    <w:rsid w:val="006D576D"/>
    <w:rsid w:val="006D585E"/>
    <w:rsid w:val="006D5A77"/>
    <w:rsid w:val="006D6A17"/>
    <w:rsid w:val="006D6B4C"/>
    <w:rsid w:val="006D6B80"/>
    <w:rsid w:val="006D6BF4"/>
    <w:rsid w:val="006D6C33"/>
    <w:rsid w:val="006D6E45"/>
    <w:rsid w:val="006D6F2D"/>
    <w:rsid w:val="006D7509"/>
    <w:rsid w:val="006D781C"/>
    <w:rsid w:val="006D7997"/>
    <w:rsid w:val="006E02BB"/>
    <w:rsid w:val="006E164D"/>
    <w:rsid w:val="006E1B75"/>
    <w:rsid w:val="006E1D83"/>
    <w:rsid w:val="006E2632"/>
    <w:rsid w:val="006E2CDC"/>
    <w:rsid w:val="006E2F77"/>
    <w:rsid w:val="006E3148"/>
    <w:rsid w:val="006E32A4"/>
    <w:rsid w:val="006E331D"/>
    <w:rsid w:val="006E345A"/>
    <w:rsid w:val="006E3A40"/>
    <w:rsid w:val="006E3B85"/>
    <w:rsid w:val="006E4024"/>
    <w:rsid w:val="006E4540"/>
    <w:rsid w:val="006E4B05"/>
    <w:rsid w:val="006E5176"/>
    <w:rsid w:val="006E51EC"/>
    <w:rsid w:val="006E52CB"/>
    <w:rsid w:val="006E6090"/>
    <w:rsid w:val="006E6158"/>
    <w:rsid w:val="006E66B8"/>
    <w:rsid w:val="006E6766"/>
    <w:rsid w:val="006E7898"/>
    <w:rsid w:val="006E7AE0"/>
    <w:rsid w:val="006E7B44"/>
    <w:rsid w:val="006F0637"/>
    <w:rsid w:val="006F0755"/>
    <w:rsid w:val="006F08FE"/>
    <w:rsid w:val="006F0B77"/>
    <w:rsid w:val="006F0B9C"/>
    <w:rsid w:val="006F11E5"/>
    <w:rsid w:val="006F17FD"/>
    <w:rsid w:val="006F194E"/>
    <w:rsid w:val="006F2193"/>
    <w:rsid w:val="006F23BC"/>
    <w:rsid w:val="006F2A55"/>
    <w:rsid w:val="006F2A8E"/>
    <w:rsid w:val="006F338E"/>
    <w:rsid w:val="006F35A3"/>
    <w:rsid w:val="006F38A4"/>
    <w:rsid w:val="006F3953"/>
    <w:rsid w:val="006F3964"/>
    <w:rsid w:val="006F4CD8"/>
    <w:rsid w:val="006F4D84"/>
    <w:rsid w:val="006F5AF8"/>
    <w:rsid w:val="006F5BBD"/>
    <w:rsid w:val="006F6272"/>
    <w:rsid w:val="006F69AD"/>
    <w:rsid w:val="006F6A37"/>
    <w:rsid w:val="006F6D64"/>
    <w:rsid w:val="006F7C57"/>
    <w:rsid w:val="006F7D82"/>
    <w:rsid w:val="007006FF"/>
    <w:rsid w:val="00700B0F"/>
    <w:rsid w:val="00700DD9"/>
    <w:rsid w:val="007016C5"/>
    <w:rsid w:val="00701DFA"/>
    <w:rsid w:val="0070333B"/>
    <w:rsid w:val="00703340"/>
    <w:rsid w:val="007041E4"/>
    <w:rsid w:val="007042A5"/>
    <w:rsid w:val="007045D9"/>
    <w:rsid w:val="00704DCC"/>
    <w:rsid w:val="00704E3A"/>
    <w:rsid w:val="00704FB4"/>
    <w:rsid w:val="00704FBB"/>
    <w:rsid w:val="00704FDD"/>
    <w:rsid w:val="007052DF"/>
    <w:rsid w:val="0070547C"/>
    <w:rsid w:val="007057B3"/>
    <w:rsid w:val="007066D1"/>
    <w:rsid w:val="00707518"/>
    <w:rsid w:val="007079DA"/>
    <w:rsid w:val="00707CD9"/>
    <w:rsid w:val="0071160C"/>
    <w:rsid w:val="00711B3F"/>
    <w:rsid w:val="00711C13"/>
    <w:rsid w:val="0071230B"/>
    <w:rsid w:val="00713720"/>
    <w:rsid w:val="007143D3"/>
    <w:rsid w:val="00714624"/>
    <w:rsid w:val="007148E9"/>
    <w:rsid w:val="00714912"/>
    <w:rsid w:val="00715324"/>
    <w:rsid w:val="007159F6"/>
    <w:rsid w:val="00715D05"/>
    <w:rsid w:val="00716049"/>
    <w:rsid w:val="0071636D"/>
    <w:rsid w:val="00716E67"/>
    <w:rsid w:val="0072011D"/>
    <w:rsid w:val="007205D3"/>
    <w:rsid w:val="00720B29"/>
    <w:rsid w:val="00722327"/>
    <w:rsid w:val="0072265A"/>
    <w:rsid w:val="00722667"/>
    <w:rsid w:val="007233FC"/>
    <w:rsid w:val="007236C7"/>
    <w:rsid w:val="007237D5"/>
    <w:rsid w:val="00723FB3"/>
    <w:rsid w:val="007244AA"/>
    <w:rsid w:val="0072485B"/>
    <w:rsid w:val="0072489C"/>
    <w:rsid w:val="00724C44"/>
    <w:rsid w:val="00724F85"/>
    <w:rsid w:val="00725108"/>
    <w:rsid w:val="0072514A"/>
    <w:rsid w:val="007257CA"/>
    <w:rsid w:val="00726168"/>
    <w:rsid w:val="00726989"/>
    <w:rsid w:val="007304BC"/>
    <w:rsid w:val="00730A89"/>
    <w:rsid w:val="00730DCF"/>
    <w:rsid w:val="00731748"/>
    <w:rsid w:val="007319FA"/>
    <w:rsid w:val="007324BA"/>
    <w:rsid w:val="00732895"/>
    <w:rsid w:val="00732FDE"/>
    <w:rsid w:val="0073302B"/>
    <w:rsid w:val="00733FDA"/>
    <w:rsid w:val="00734563"/>
    <w:rsid w:val="00734C40"/>
    <w:rsid w:val="00734DAE"/>
    <w:rsid w:val="00734ED5"/>
    <w:rsid w:val="00735446"/>
    <w:rsid w:val="0073648A"/>
    <w:rsid w:val="00736500"/>
    <w:rsid w:val="00736569"/>
    <w:rsid w:val="00736F18"/>
    <w:rsid w:val="00736F74"/>
    <w:rsid w:val="00737B43"/>
    <w:rsid w:val="007400F8"/>
    <w:rsid w:val="00740620"/>
    <w:rsid w:val="007414EC"/>
    <w:rsid w:val="00741AE4"/>
    <w:rsid w:val="00742776"/>
    <w:rsid w:val="0074389F"/>
    <w:rsid w:val="00743A8D"/>
    <w:rsid w:val="007440C4"/>
    <w:rsid w:val="007440E7"/>
    <w:rsid w:val="0074467C"/>
    <w:rsid w:val="007446AD"/>
    <w:rsid w:val="00744871"/>
    <w:rsid w:val="0074632C"/>
    <w:rsid w:val="00746564"/>
    <w:rsid w:val="00746B11"/>
    <w:rsid w:val="00746F79"/>
    <w:rsid w:val="007470E4"/>
    <w:rsid w:val="0074712F"/>
    <w:rsid w:val="00747EE9"/>
    <w:rsid w:val="00750D8C"/>
    <w:rsid w:val="00751B60"/>
    <w:rsid w:val="007525B0"/>
    <w:rsid w:val="00752685"/>
    <w:rsid w:val="00752E81"/>
    <w:rsid w:val="00753BB0"/>
    <w:rsid w:val="00753C04"/>
    <w:rsid w:val="00754046"/>
    <w:rsid w:val="007542CC"/>
    <w:rsid w:val="00754B5F"/>
    <w:rsid w:val="00755231"/>
    <w:rsid w:val="007555BA"/>
    <w:rsid w:val="007555E8"/>
    <w:rsid w:val="007557A1"/>
    <w:rsid w:val="007574E4"/>
    <w:rsid w:val="00757502"/>
    <w:rsid w:val="00757CB4"/>
    <w:rsid w:val="00757E6A"/>
    <w:rsid w:val="00761076"/>
    <w:rsid w:val="00761C53"/>
    <w:rsid w:val="0076233C"/>
    <w:rsid w:val="00762B0A"/>
    <w:rsid w:val="007632A8"/>
    <w:rsid w:val="0076396D"/>
    <w:rsid w:val="00764D3F"/>
    <w:rsid w:val="00764FF5"/>
    <w:rsid w:val="00765C9B"/>
    <w:rsid w:val="00765D1F"/>
    <w:rsid w:val="00770368"/>
    <w:rsid w:val="00770BE6"/>
    <w:rsid w:val="00770C2D"/>
    <w:rsid w:val="00771362"/>
    <w:rsid w:val="00771E46"/>
    <w:rsid w:val="00771E8C"/>
    <w:rsid w:val="00772233"/>
    <w:rsid w:val="00772D3D"/>
    <w:rsid w:val="00772ED7"/>
    <w:rsid w:val="0077321B"/>
    <w:rsid w:val="00773BA8"/>
    <w:rsid w:val="007749F8"/>
    <w:rsid w:val="00774B81"/>
    <w:rsid w:val="0077542F"/>
    <w:rsid w:val="00775590"/>
    <w:rsid w:val="007756BC"/>
    <w:rsid w:val="00775707"/>
    <w:rsid w:val="00775A8D"/>
    <w:rsid w:val="007760F7"/>
    <w:rsid w:val="0077673B"/>
    <w:rsid w:val="007768E2"/>
    <w:rsid w:val="00776B1B"/>
    <w:rsid w:val="00776E18"/>
    <w:rsid w:val="00776E23"/>
    <w:rsid w:val="00776E8B"/>
    <w:rsid w:val="00777223"/>
    <w:rsid w:val="00777480"/>
    <w:rsid w:val="007775F6"/>
    <w:rsid w:val="0077768D"/>
    <w:rsid w:val="00777B63"/>
    <w:rsid w:val="00780626"/>
    <w:rsid w:val="0078062E"/>
    <w:rsid w:val="007806E7"/>
    <w:rsid w:val="0078099F"/>
    <w:rsid w:val="00780E4B"/>
    <w:rsid w:val="00782724"/>
    <w:rsid w:val="00782EB9"/>
    <w:rsid w:val="00783982"/>
    <w:rsid w:val="00784A7D"/>
    <w:rsid w:val="00785C20"/>
    <w:rsid w:val="00785FEB"/>
    <w:rsid w:val="00786453"/>
    <w:rsid w:val="00786801"/>
    <w:rsid w:val="007869F2"/>
    <w:rsid w:val="007869F4"/>
    <w:rsid w:val="00787372"/>
    <w:rsid w:val="00787CE7"/>
    <w:rsid w:val="007904FC"/>
    <w:rsid w:val="00790D0A"/>
    <w:rsid w:val="007919D2"/>
    <w:rsid w:val="007924D4"/>
    <w:rsid w:val="00792573"/>
    <w:rsid w:val="007926D5"/>
    <w:rsid w:val="00792E56"/>
    <w:rsid w:val="00793915"/>
    <w:rsid w:val="00793A9F"/>
    <w:rsid w:val="0079427B"/>
    <w:rsid w:val="0079456F"/>
    <w:rsid w:val="00794B34"/>
    <w:rsid w:val="00795217"/>
    <w:rsid w:val="00795972"/>
    <w:rsid w:val="0079679A"/>
    <w:rsid w:val="007967E4"/>
    <w:rsid w:val="00796A29"/>
    <w:rsid w:val="00796ED4"/>
    <w:rsid w:val="007970B4"/>
    <w:rsid w:val="007973A7"/>
    <w:rsid w:val="00797513"/>
    <w:rsid w:val="00797A7A"/>
    <w:rsid w:val="007A1181"/>
    <w:rsid w:val="007A2195"/>
    <w:rsid w:val="007A32E2"/>
    <w:rsid w:val="007A3519"/>
    <w:rsid w:val="007A44C4"/>
    <w:rsid w:val="007A4D83"/>
    <w:rsid w:val="007A542C"/>
    <w:rsid w:val="007A57B5"/>
    <w:rsid w:val="007A58D6"/>
    <w:rsid w:val="007A5B3A"/>
    <w:rsid w:val="007A682B"/>
    <w:rsid w:val="007A69BE"/>
    <w:rsid w:val="007A6A26"/>
    <w:rsid w:val="007A6D3B"/>
    <w:rsid w:val="007A7FE3"/>
    <w:rsid w:val="007B04A8"/>
    <w:rsid w:val="007B08DE"/>
    <w:rsid w:val="007B0D80"/>
    <w:rsid w:val="007B0EDA"/>
    <w:rsid w:val="007B0F29"/>
    <w:rsid w:val="007B1DB7"/>
    <w:rsid w:val="007B277B"/>
    <w:rsid w:val="007B29F1"/>
    <w:rsid w:val="007B2A50"/>
    <w:rsid w:val="007B2E5C"/>
    <w:rsid w:val="007B31CC"/>
    <w:rsid w:val="007B384D"/>
    <w:rsid w:val="007B3A9B"/>
    <w:rsid w:val="007B3F8A"/>
    <w:rsid w:val="007B4264"/>
    <w:rsid w:val="007B483F"/>
    <w:rsid w:val="007B62DA"/>
    <w:rsid w:val="007B6D89"/>
    <w:rsid w:val="007B7616"/>
    <w:rsid w:val="007B7965"/>
    <w:rsid w:val="007B79E0"/>
    <w:rsid w:val="007B7EE5"/>
    <w:rsid w:val="007C05CF"/>
    <w:rsid w:val="007C18AE"/>
    <w:rsid w:val="007C1DD8"/>
    <w:rsid w:val="007C25DF"/>
    <w:rsid w:val="007C2E4D"/>
    <w:rsid w:val="007C35E4"/>
    <w:rsid w:val="007C364B"/>
    <w:rsid w:val="007C3904"/>
    <w:rsid w:val="007C40FD"/>
    <w:rsid w:val="007C461A"/>
    <w:rsid w:val="007C4A46"/>
    <w:rsid w:val="007C4EEB"/>
    <w:rsid w:val="007C54E6"/>
    <w:rsid w:val="007C61A2"/>
    <w:rsid w:val="007C66DC"/>
    <w:rsid w:val="007C6C8F"/>
    <w:rsid w:val="007C6F19"/>
    <w:rsid w:val="007C7356"/>
    <w:rsid w:val="007C7DE3"/>
    <w:rsid w:val="007C7F38"/>
    <w:rsid w:val="007D03C2"/>
    <w:rsid w:val="007D0416"/>
    <w:rsid w:val="007D0F55"/>
    <w:rsid w:val="007D171F"/>
    <w:rsid w:val="007D3184"/>
    <w:rsid w:val="007D3266"/>
    <w:rsid w:val="007D32D8"/>
    <w:rsid w:val="007D364C"/>
    <w:rsid w:val="007D3A1C"/>
    <w:rsid w:val="007D4205"/>
    <w:rsid w:val="007D4792"/>
    <w:rsid w:val="007D49DB"/>
    <w:rsid w:val="007D4C7F"/>
    <w:rsid w:val="007D4F07"/>
    <w:rsid w:val="007D5019"/>
    <w:rsid w:val="007D518F"/>
    <w:rsid w:val="007D5533"/>
    <w:rsid w:val="007D5F07"/>
    <w:rsid w:val="007D6131"/>
    <w:rsid w:val="007D6197"/>
    <w:rsid w:val="007D6302"/>
    <w:rsid w:val="007D6B24"/>
    <w:rsid w:val="007D742C"/>
    <w:rsid w:val="007D760B"/>
    <w:rsid w:val="007D7BD0"/>
    <w:rsid w:val="007D7DF3"/>
    <w:rsid w:val="007D7EB5"/>
    <w:rsid w:val="007E04AD"/>
    <w:rsid w:val="007E0914"/>
    <w:rsid w:val="007E098A"/>
    <w:rsid w:val="007E0D0F"/>
    <w:rsid w:val="007E145C"/>
    <w:rsid w:val="007E19F2"/>
    <w:rsid w:val="007E1B93"/>
    <w:rsid w:val="007E215A"/>
    <w:rsid w:val="007E22CF"/>
    <w:rsid w:val="007E24DF"/>
    <w:rsid w:val="007E281C"/>
    <w:rsid w:val="007E2FAA"/>
    <w:rsid w:val="007E3056"/>
    <w:rsid w:val="007E32D4"/>
    <w:rsid w:val="007E3416"/>
    <w:rsid w:val="007E359A"/>
    <w:rsid w:val="007E3CF2"/>
    <w:rsid w:val="007E4062"/>
    <w:rsid w:val="007E4414"/>
    <w:rsid w:val="007E4853"/>
    <w:rsid w:val="007E5017"/>
    <w:rsid w:val="007E5173"/>
    <w:rsid w:val="007E6313"/>
    <w:rsid w:val="007E6F42"/>
    <w:rsid w:val="007E7347"/>
    <w:rsid w:val="007F033A"/>
    <w:rsid w:val="007F0894"/>
    <w:rsid w:val="007F0ADE"/>
    <w:rsid w:val="007F0B2D"/>
    <w:rsid w:val="007F0D1A"/>
    <w:rsid w:val="007F1144"/>
    <w:rsid w:val="007F1742"/>
    <w:rsid w:val="007F1BA8"/>
    <w:rsid w:val="007F1DA8"/>
    <w:rsid w:val="007F2B6B"/>
    <w:rsid w:val="007F3E85"/>
    <w:rsid w:val="007F402C"/>
    <w:rsid w:val="007F44D8"/>
    <w:rsid w:val="007F519E"/>
    <w:rsid w:val="007F59B7"/>
    <w:rsid w:val="007F5A4F"/>
    <w:rsid w:val="007F5EE2"/>
    <w:rsid w:val="007F666C"/>
    <w:rsid w:val="007F67D5"/>
    <w:rsid w:val="007F680F"/>
    <w:rsid w:val="007F7225"/>
    <w:rsid w:val="007F7B64"/>
    <w:rsid w:val="007F7DF8"/>
    <w:rsid w:val="0080084C"/>
    <w:rsid w:val="008009D1"/>
    <w:rsid w:val="00800A19"/>
    <w:rsid w:val="00801597"/>
    <w:rsid w:val="0080227E"/>
    <w:rsid w:val="008022DD"/>
    <w:rsid w:val="00802621"/>
    <w:rsid w:val="00802FD9"/>
    <w:rsid w:val="0080335E"/>
    <w:rsid w:val="00803EE5"/>
    <w:rsid w:val="00804460"/>
    <w:rsid w:val="00804CF9"/>
    <w:rsid w:val="00804D44"/>
    <w:rsid w:val="0080555F"/>
    <w:rsid w:val="008055DC"/>
    <w:rsid w:val="0080574E"/>
    <w:rsid w:val="00806345"/>
    <w:rsid w:val="008070DA"/>
    <w:rsid w:val="008102AF"/>
    <w:rsid w:val="0081081A"/>
    <w:rsid w:val="00810AFB"/>
    <w:rsid w:val="00811751"/>
    <w:rsid w:val="008119E6"/>
    <w:rsid w:val="008119F5"/>
    <w:rsid w:val="00811ABE"/>
    <w:rsid w:val="00811E16"/>
    <w:rsid w:val="00812BED"/>
    <w:rsid w:val="0081322D"/>
    <w:rsid w:val="00813B72"/>
    <w:rsid w:val="0081430A"/>
    <w:rsid w:val="0081462F"/>
    <w:rsid w:val="008146A0"/>
    <w:rsid w:val="00814BC4"/>
    <w:rsid w:val="008150C4"/>
    <w:rsid w:val="008158D8"/>
    <w:rsid w:val="00815B9F"/>
    <w:rsid w:val="00816F0A"/>
    <w:rsid w:val="00817084"/>
    <w:rsid w:val="00817414"/>
    <w:rsid w:val="00817B5E"/>
    <w:rsid w:val="00817DE0"/>
    <w:rsid w:val="00817FBC"/>
    <w:rsid w:val="008200B4"/>
    <w:rsid w:val="008201BD"/>
    <w:rsid w:val="00820CDD"/>
    <w:rsid w:val="00820DB1"/>
    <w:rsid w:val="0082126F"/>
    <w:rsid w:val="0082171D"/>
    <w:rsid w:val="00821D16"/>
    <w:rsid w:val="00821D5E"/>
    <w:rsid w:val="00821E5D"/>
    <w:rsid w:val="00822318"/>
    <w:rsid w:val="0082231D"/>
    <w:rsid w:val="00822628"/>
    <w:rsid w:val="008229A4"/>
    <w:rsid w:val="00822D84"/>
    <w:rsid w:val="00822FE6"/>
    <w:rsid w:val="008237F2"/>
    <w:rsid w:val="008240FA"/>
    <w:rsid w:val="00824247"/>
    <w:rsid w:val="00824CC5"/>
    <w:rsid w:val="00824F6A"/>
    <w:rsid w:val="0082567D"/>
    <w:rsid w:val="00825CD5"/>
    <w:rsid w:val="00825EBB"/>
    <w:rsid w:val="00826C80"/>
    <w:rsid w:val="008270F2"/>
    <w:rsid w:val="0082714B"/>
    <w:rsid w:val="0082770D"/>
    <w:rsid w:val="00827923"/>
    <w:rsid w:val="00827F06"/>
    <w:rsid w:val="00830023"/>
    <w:rsid w:val="008304D0"/>
    <w:rsid w:val="00832026"/>
    <w:rsid w:val="0083210C"/>
    <w:rsid w:val="00832871"/>
    <w:rsid w:val="00832FEA"/>
    <w:rsid w:val="008332D9"/>
    <w:rsid w:val="00833888"/>
    <w:rsid w:val="00833D4A"/>
    <w:rsid w:val="00834281"/>
    <w:rsid w:val="008355E8"/>
    <w:rsid w:val="0083596D"/>
    <w:rsid w:val="00835CFD"/>
    <w:rsid w:val="00835FDB"/>
    <w:rsid w:val="00836713"/>
    <w:rsid w:val="00837945"/>
    <w:rsid w:val="00837FD1"/>
    <w:rsid w:val="008413B5"/>
    <w:rsid w:val="00841C95"/>
    <w:rsid w:val="008422BA"/>
    <w:rsid w:val="0084332B"/>
    <w:rsid w:val="0084338C"/>
    <w:rsid w:val="00843DB4"/>
    <w:rsid w:val="00843E83"/>
    <w:rsid w:val="00844865"/>
    <w:rsid w:val="00844981"/>
    <w:rsid w:val="00844BD5"/>
    <w:rsid w:val="00844CFE"/>
    <w:rsid w:val="00845693"/>
    <w:rsid w:val="008459C9"/>
    <w:rsid w:val="00845DF0"/>
    <w:rsid w:val="008461E3"/>
    <w:rsid w:val="008463F3"/>
    <w:rsid w:val="00846932"/>
    <w:rsid w:val="00846AC2"/>
    <w:rsid w:val="00846DC7"/>
    <w:rsid w:val="0084729C"/>
    <w:rsid w:val="0084781F"/>
    <w:rsid w:val="00847E01"/>
    <w:rsid w:val="00847EF9"/>
    <w:rsid w:val="00850CA4"/>
    <w:rsid w:val="008515F2"/>
    <w:rsid w:val="008517A7"/>
    <w:rsid w:val="00851820"/>
    <w:rsid w:val="00852133"/>
    <w:rsid w:val="00852E10"/>
    <w:rsid w:val="00852F57"/>
    <w:rsid w:val="00853719"/>
    <w:rsid w:val="0085385E"/>
    <w:rsid w:val="00853947"/>
    <w:rsid w:val="00853CA4"/>
    <w:rsid w:val="00853D34"/>
    <w:rsid w:val="008542B8"/>
    <w:rsid w:val="008545FA"/>
    <w:rsid w:val="00855BFD"/>
    <w:rsid w:val="00855E7A"/>
    <w:rsid w:val="0085639F"/>
    <w:rsid w:val="00856EC5"/>
    <w:rsid w:val="008571ED"/>
    <w:rsid w:val="00860071"/>
    <w:rsid w:val="008600A6"/>
    <w:rsid w:val="008603E2"/>
    <w:rsid w:val="00861AC2"/>
    <w:rsid w:val="0086212F"/>
    <w:rsid w:val="00862E45"/>
    <w:rsid w:val="0086337D"/>
    <w:rsid w:val="00863387"/>
    <w:rsid w:val="0086357E"/>
    <w:rsid w:val="00863613"/>
    <w:rsid w:val="00863772"/>
    <w:rsid w:val="00863AEB"/>
    <w:rsid w:val="00863D14"/>
    <w:rsid w:val="00864230"/>
    <w:rsid w:val="0086442E"/>
    <w:rsid w:val="008645F7"/>
    <w:rsid w:val="008649F0"/>
    <w:rsid w:val="00865582"/>
    <w:rsid w:val="00865B7E"/>
    <w:rsid w:val="00865F8F"/>
    <w:rsid w:val="00866647"/>
    <w:rsid w:val="008674A0"/>
    <w:rsid w:val="008675EA"/>
    <w:rsid w:val="0086778E"/>
    <w:rsid w:val="00867B7D"/>
    <w:rsid w:val="0087060D"/>
    <w:rsid w:val="00870627"/>
    <w:rsid w:val="00871335"/>
    <w:rsid w:val="008715FA"/>
    <w:rsid w:val="00871962"/>
    <w:rsid w:val="00871A02"/>
    <w:rsid w:val="0087219E"/>
    <w:rsid w:val="00872B64"/>
    <w:rsid w:val="00872F2E"/>
    <w:rsid w:val="00872FF6"/>
    <w:rsid w:val="00873707"/>
    <w:rsid w:val="00874341"/>
    <w:rsid w:val="008755E9"/>
    <w:rsid w:val="00875D55"/>
    <w:rsid w:val="00877A9E"/>
    <w:rsid w:val="00880043"/>
    <w:rsid w:val="00880284"/>
    <w:rsid w:val="008802BC"/>
    <w:rsid w:val="008809B6"/>
    <w:rsid w:val="00881AB6"/>
    <w:rsid w:val="00882DEB"/>
    <w:rsid w:val="008831D0"/>
    <w:rsid w:val="00883D92"/>
    <w:rsid w:val="00883DD8"/>
    <w:rsid w:val="00883EE7"/>
    <w:rsid w:val="008840A3"/>
    <w:rsid w:val="00884111"/>
    <w:rsid w:val="008848C5"/>
    <w:rsid w:val="00884AA0"/>
    <w:rsid w:val="00884DAD"/>
    <w:rsid w:val="008866FD"/>
    <w:rsid w:val="0088727C"/>
    <w:rsid w:val="008874DF"/>
    <w:rsid w:val="00887BCA"/>
    <w:rsid w:val="008903A2"/>
    <w:rsid w:val="008907FC"/>
    <w:rsid w:val="0089147A"/>
    <w:rsid w:val="00891856"/>
    <w:rsid w:val="0089209F"/>
    <w:rsid w:val="008920AC"/>
    <w:rsid w:val="008920DE"/>
    <w:rsid w:val="00892123"/>
    <w:rsid w:val="00892165"/>
    <w:rsid w:val="008921AF"/>
    <w:rsid w:val="00892EB2"/>
    <w:rsid w:val="00893FEA"/>
    <w:rsid w:val="00895323"/>
    <w:rsid w:val="00895402"/>
    <w:rsid w:val="008959CF"/>
    <w:rsid w:val="00896738"/>
    <w:rsid w:val="00896C51"/>
    <w:rsid w:val="0089759C"/>
    <w:rsid w:val="008977F2"/>
    <w:rsid w:val="008A0C58"/>
    <w:rsid w:val="008A0E37"/>
    <w:rsid w:val="008A1592"/>
    <w:rsid w:val="008A16A8"/>
    <w:rsid w:val="008A184F"/>
    <w:rsid w:val="008A250A"/>
    <w:rsid w:val="008A2B5F"/>
    <w:rsid w:val="008A36F7"/>
    <w:rsid w:val="008A3F83"/>
    <w:rsid w:val="008A47BB"/>
    <w:rsid w:val="008A4847"/>
    <w:rsid w:val="008A497A"/>
    <w:rsid w:val="008A4ADC"/>
    <w:rsid w:val="008A50DE"/>
    <w:rsid w:val="008A58BA"/>
    <w:rsid w:val="008A60AA"/>
    <w:rsid w:val="008A648D"/>
    <w:rsid w:val="008A720A"/>
    <w:rsid w:val="008A74BC"/>
    <w:rsid w:val="008A74D1"/>
    <w:rsid w:val="008A75D2"/>
    <w:rsid w:val="008A7A74"/>
    <w:rsid w:val="008B0132"/>
    <w:rsid w:val="008B01D2"/>
    <w:rsid w:val="008B0455"/>
    <w:rsid w:val="008B046D"/>
    <w:rsid w:val="008B085D"/>
    <w:rsid w:val="008B1083"/>
    <w:rsid w:val="008B1B4F"/>
    <w:rsid w:val="008B1C9F"/>
    <w:rsid w:val="008B1F6F"/>
    <w:rsid w:val="008B2EB1"/>
    <w:rsid w:val="008B302F"/>
    <w:rsid w:val="008B303B"/>
    <w:rsid w:val="008B4212"/>
    <w:rsid w:val="008B45BA"/>
    <w:rsid w:val="008B4B59"/>
    <w:rsid w:val="008B4B84"/>
    <w:rsid w:val="008B5801"/>
    <w:rsid w:val="008B5CB3"/>
    <w:rsid w:val="008B60EB"/>
    <w:rsid w:val="008B62FF"/>
    <w:rsid w:val="008B6EBF"/>
    <w:rsid w:val="008B7442"/>
    <w:rsid w:val="008B7CA2"/>
    <w:rsid w:val="008B7FE6"/>
    <w:rsid w:val="008C005B"/>
    <w:rsid w:val="008C0513"/>
    <w:rsid w:val="008C061A"/>
    <w:rsid w:val="008C07FB"/>
    <w:rsid w:val="008C09DF"/>
    <w:rsid w:val="008C11AF"/>
    <w:rsid w:val="008C1318"/>
    <w:rsid w:val="008C15C3"/>
    <w:rsid w:val="008C1661"/>
    <w:rsid w:val="008C187A"/>
    <w:rsid w:val="008C1BBC"/>
    <w:rsid w:val="008C227E"/>
    <w:rsid w:val="008C2546"/>
    <w:rsid w:val="008C285C"/>
    <w:rsid w:val="008C2AC9"/>
    <w:rsid w:val="008C2E59"/>
    <w:rsid w:val="008C2F6B"/>
    <w:rsid w:val="008C322A"/>
    <w:rsid w:val="008C3BF6"/>
    <w:rsid w:val="008C3CE0"/>
    <w:rsid w:val="008C46EC"/>
    <w:rsid w:val="008C4858"/>
    <w:rsid w:val="008C51D2"/>
    <w:rsid w:val="008C6036"/>
    <w:rsid w:val="008C71DC"/>
    <w:rsid w:val="008C76AB"/>
    <w:rsid w:val="008C7910"/>
    <w:rsid w:val="008C7B13"/>
    <w:rsid w:val="008D096D"/>
    <w:rsid w:val="008D09EB"/>
    <w:rsid w:val="008D1C9D"/>
    <w:rsid w:val="008D1E3D"/>
    <w:rsid w:val="008D2387"/>
    <w:rsid w:val="008D23A0"/>
    <w:rsid w:val="008D2EEE"/>
    <w:rsid w:val="008D4C3A"/>
    <w:rsid w:val="008D4C41"/>
    <w:rsid w:val="008D5707"/>
    <w:rsid w:val="008D59F3"/>
    <w:rsid w:val="008D62B8"/>
    <w:rsid w:val="008D63D7"/>
    <w:rsid w:val="008D67E4"/>
    <w:rsid w:val="008D6DCF"/>
    <w:rsid w:val="008D7449"/>
    <w:rsid w:val="008D7728"/>
    <w:rsid w:val="008D777C"/>
    <w:rsid w:val="008D789A"/>
    <w:rsid w:val="008D793D"/>
    <w:rsid w:val="008D7BC1"/>
    <w:rsid w:val="008D7F0E"/>
    <w:rsid w:val="008D7F38"/>
    <w:rsid w:val="008E00C5"/>
    <w:rsid w:val="008E072E"/>
    <w:rsid w:val="008E074C"/>
    <w:rsid w:val="008E0DAE"/>
    <w:rsid w:val="008E101D"/>
    <w:rsid w:val="008E1021"/>
    <w:rsid w:val="008E18B8"/>
    <w:rsid w:val="008E1ED3"/>
    <w:rsid w:val="008E1EF1"/>
    <w:rsid w:val="008E2D5B"/>
    <w:rsid w:val="008E304C"/>
    <w:rsid w:val="008E31F7"/>
    <w:rsid w:val="008E3520"/>
    <w:rsid w:val="008E4364"/>
    <w:rsid w:val="008E47D3"/>
    <w:rsid w:val="008E4B3A"/>
    <w:rsid w:val="008E4EE5"/>
    <w:rsid w:val="008E4F87"/>
    <w:rsid w:val="008E4FA3"/>
    <w:rsid w:val="008E540D"/>
    <w:rsid w:val="008E59DE"/>
    <w:rsid w:val="008E5B2E"/>
    <w:rsid w:val="008E5FEF"/>
    <w:rsid w:val="008E6E9A"/>
    <w:rsid w:val="008E79C2"/>
    <w:rsid w:val="008E7ADF"/>
    <w:rsid w:val="008F042D"/>
    <w:rsid w:val="008F05F9"/>
    <w:rsid w:val="008F0BB3"/>
    <w:rsid w:val="008F1640"/>
    <w:rsid w:val="008F1820"/>
    <w:rsid w:val="008F2789"/>
    <w:rsid w:val="008F384D"/>
    <w:rsid w:val="008F45F9"/>
    <w:rsid w:val="008F4797"/>
    <w:rsid w:val="008F491D"/>
    <w:rsid w:val="008F582D"/>
    <w:rsid w:val="008F58C9"/>
    <w:rsid w:val="008F5B79"/>
    <w:rsid w:val="008F639B"/>
    <w:rsid w:val="008F6408"/>
    <w:rsid w:val="008F6482"/>
    <w:rsid w:val="008F66C7"/>
    <w:rsid w:val="008F6794"/>
    <w:rsid w:val="008F720B"/>
    <w:rsid w:val="008F7460"/>
    <w:rsid w:val="008F7AFE"/>
    <w:rsid w:val="008F7BED"/>
    <w:rsid w:val="009001A9"/>
    <w:rsid w:val="00900F6E"/>
    <w:rsid w:val="00901841"/>
    <w:rsid w:val="009018AE"/>
    <w:rsid w:val="00902640"/>
    <w:rsid w:val="00902F26"/>
    <w:rsid w:val="00903173"/>
    <w:rsid w:val="00903824"/>
    <w:rsid w:val="00903CE1"/>
    <w:rsid w:val="0090432B"/>
    <w:rsid w:val="009043FB"/>
    <w:rsid w:val="0090485F"/>
    <w:rsid w:val="00905326"/>
    <w:rsid w:val="0090553F"/>
    <w:rsid w:val="00906030"/>
    <w:rsid w:val="0090634D"/>
    <w:rsid w:val="009063D2"/>
    <w:rsid w:val="0090767B"/>
    <w:rsid w:val="00907F6C"/>
    <w:rsid w:val="00910160"/>
    <w:rsid w:val="00910288"/>
    <w:rsid w:val="00910CEB"/>
    <w:rsid w:val="009115A5"/>
    <w:rsid w:val="00911CF6"/>
    <w:rsid w:val="00914786"/>
    <w:rsid w:val="00914D56"/>
    <w:rsid w:val="00915D57"/>
    <w:rsid w:val="00916397"/>
    <w:rsid w:val="009164BB"/>
    <w:rsid w:val="00917B04"/>
    <w:rsid w:val="00917BA6"/>
    <w:rsid w:val="00920FB4"/>
    <w:rsid w:val="009212A7"/>
    <w:rsid w:val="009218B7"/>
    <w:rsid w:val="00921CE6"/>
    <w:rsid w:val="00921D5D"/>
    <w:rsid w:val="00922092"/>
    <w:rsid w:val="009222B4"/>
    <w:rsid w:val="009223CE"/>
    <w:rsid w:val="0092276B"/>
    <w:rsid w:val="009229F2"/>
    <w:rsid w:val="00922A65"/>
    <w:rsid w:val="0092321C"/>
    <w:rsid w:val="0092347F"/>
    <w:rsid w:val="00923A3C"/>
    <w:rsid w:val="009244B5"/>
    <w:rsid w:val="00924C96"/>
    <w:rsid w:val="00924D47"/>
    <w:rsid w:val="0092522C"/>
    <w:rsid w:val="00925871"/>
    <w:rsid w:val="00926589"/>
    <w:rsid w:val="0092681C"/>
    <w:rsid w:val="009268B8"/>
    <w:rsid w:val="00927018"/>
    <w:rsid w:val="00927608"/>
    <w:rsid w:val="0092783D"/>
    <w:rsid w:val="00930233"/>
    <w:rsid w:val="00930815"/>
    <w:rsid w:val="0093112F"/>
    <w:rsid w:val="0093158F"/>
    <w:rsid w:val="009324B2"/>
    <w:rsid w:val="0093266C"/>
    <w:rsid w:val="00932A78"/>
    <w:rsid w:val="00932CF1"/>
    <w:rsid w:val="00933336"/>
    <w:rsid w:val="009333BF"/>
    <w:rsid w:val="00933BA4"/>
    <w:rsid w:val="00933CD6"/>
    <w:rsid w:val="009341B5"/>
    <w:rsid w:val="00934C8B"/>
    <w:rsid w:val="00934F21"/>
    <w:rsid w:val="0093543E"/>
    <w:rsid w:val="00935882"/>
    <w:rsid w:val="0093608C"/>
    <w:rsid w:val="00936903"/>
    <w:rsid w:val="009370A5"/>
    <w:rsid w:val="009370B8"/>
    <w:rsid w:val="009373C7"/>
    <w:rsid w:val="00937D89"/>
    <w:rsid w:val="00940337"/>
    <w:rsid w:val="00940376"/>
    <w:rsid w:val="00940765"/>
    <w:rsid w:val="0094153F"/>
    <w:rsid w:val="009428BF"/>
    <w:rsid w:val="00942C6E"/>
    <w:rsid w:val="009435BD"/>
    <w:rsid w:val="009441BF"/>
    <w:rsid w:val="0094479B"/>
    <w:rsid w:val="009447D3"/>
    <w:rsid w:val="00944C38"/>
    <w:rsid w:val="00945C7A"/>
    <w:rsid w:val="00945DA2"/>
    <w:rsid w:val="00945DC6"/>
    <w:rsid w:val="009468F8"/>
    <w:rsid w:val="00947544"/>
    <w:rsid w:val="00947741"/>
    <w:rsid w:val="009502A9"/>
    <w:rsid w:val="00950A95"/>
    <w:rsid w:val="00950D9D"/>
    <w:rsid w:val="009521C2"/>
    <w:rsid w:val="0095224C"/>
    <w:rsid w:val="00953696"/>
    <w:rsid w:val="009539F0"/>
    <w:rsid w:val="00954027"/>
    <w:rsid w:val="00954326"/>
    <w:rsid w:val="009543AE"/>
    <w:rsid w:val="00954FB6"/>
    <w:rsid w:val="00955A6F"/>
    <w:rsid w:val="00955D9B"/>
    <w:rsid w:val="0095688B"/>
    <w:rsid w:val="00960A9B"/>
    <w:rsid w:val="00961501"/>
    <w:rsid w:val="009618E4"/>
    <w:rsid w:val="00962A15"/>
    <w:rsid w:val="00962D3B"/>
    <w:rsid w:val="00962E4A"/>
    <w:rsid w:val="00963A05"/>
    <w:rsid w:val="0096496A"/>
    <w:rsid w:val="00965144"/>
    <w:rsid w:val="00965165"/>
    <w:rsid w:val="0096589D"/>
    <w:rsid w:val="00965931"/>
    <w:rsid w:val="009662D2"/>
    <w:rsid w:val="0096656C"/>
    <w:rsid w:val="00966F53"/>
    <w:rsid w:val="009676AF"/>
    <w:rsid w:val="00967BC6"/>
    <w:rsid w:val="00967E03"/>
    <w:rsid w:val="009701B5"/>
    <w:rsid w:val="0097022D"/>
    <w:rsid w:val="00970AEB"/>
    <w:rsid w:val="009725C4"/>
    <w:rsid w:val="00973159"/>
    <w:rsid w:val="009736F8"/>
    <w:rsid w:val="009737DB"/>
    <w:rsid w:val="009739E7"/>
    <w:rsid w:val="00973C2D"/>
    <w:rsid w:val="00974582"/>
    <w:rsid w:val="00974976"/>
    <w:rsid w:val="00974AD0"/>
    <w:rsid w:val="00974B4E"/>
    <w:rsid w:val="00974C98"/>
    <w:rsid w:val="00975310"/>
    <w:rsid w:val="0097737C"/>
    <w:rsid w:val="00977561"/>
    <w:rsid w:val="00977578"/>
    <w:rsid w:val="009777FB"/>
    <w:rsid w:val="00980D91"/>
    <w:rsid w:val="00981348"/>
    <w:rsid w:val="009813F7"/>
    <w:rsid w:val="0098158A"/>
    <w:rsid w:val="009823BE"/>
    <w:rsid w:val="00982E36"/>
    <w:rsid w:val="009830F3"/>
    <w:rsid w:val="009834B8"/>
    <w:rsid w:val="00983C53"/>
    <w:rsid w:val="00983FAA"/>
    <w:rsid w:val="00985094"/>
    <w:rsid w:val="009851AD"/>
    <w:rsid w:val="009852DC"/>
    <w:rsid w:val="009855C5"/>
    <w:rsid w:val="00985688"/>
    <w:rsid w:val="00985A0E"/>
    <w:rsid w:val="00985E78"/>
    <w:rsid w:val="0098645B"/>
    <w:rsid w:val="00986648"/>
    <w:rsid w:val="00986A6B"/>
    <w:rsid w:val="00987014"/>
    <w:rsid w:val="0098708E"/>
    <w:rsid w:val="009879EB"/>
    <w:rsid w:val="0099092F"/>
    <w:rsid w:val="00991048"/>
    <w:rsid w:val="0099117B"/>
    <w:rsid w:val="0099172C"/>
    <w:rsid w:val="00992E08"/>
    <w:rsid w:val="00994028"/>
    <w:rsid w:val="00995BE4"/>
    <w:rsid w:val="0099629F"/>
    <w:rsid w:val="00996340"/>
    <w:rsid w:val="00997A14"/>
    <w:rsid w:val="00997A26"/>
    <w:rsid w:val="009A02B7"/>
    <w:rsid w:val="009A05B5"/>
    <w:rsid w:val="009A12AA"/>
    <w:rsid w:val="009A15DD"/>
    <w:rsid w:val="009A1637"/>
    <w:rsid w:val="009A1A54"/>
    <w:rsid w:val="009A1B94"/>
    <w:rsid w:val="009A1CC6"/>
    <w:rsid w:val="009A2219"/>
    <w:rsid w:val="009A26AA"/>
    <w:rsid w:val="009A2B79"/>
    <w:rsid w:val="009A3055"/>
    <w:rsid w:val="009A3A03"/>
    <w:rsid w:val="009A3DA9"/>
    <w:rsid w:val="009A3F97"/>
    <w:rsid w:val="009A4154"/>
    <w:rsid w:val="009A46EE"/>
    <w:rsid w:val="009A4816"/>
    <w:rsid w:val="009A4AD9"/>
    <w:rsid w:val="009A4D60"/>
    <w:rsid w:val="009A521C"/>
    <w:rsid w:val="009A5C80"/>
    <w:rsid w:val="009A608C"/>
    <w:rsid w:val="009A6322"/>
    <w:rsid w:val="009A64FD"/>
    <w:rsid w:val="009A6875"/>
    <w:rsid w:val="009A7154"/>
    <w:rsid w:val="009A7E57"/>
    <w:rsid w:val="009A7EE6"/>
    <w:rsid w:val="009B0761"/>
    <w:rsid w:val="009B07FA"/>
    <w:rsid w:val="009B1078"/>
    <w:rsid w:val="009B2174"/>
    <w:rsid w:val="009B22EE"/>
    <w:rsid w:val="009B28EF"/>
    <w:rsid w:val="009B4881"/>
    <w:rsid w:val="009B49AC"/>
    <w:rsid w:val="009B5706"/>
    <w:rsid w:val="009B5F4E"/>
    <w:rsid w:val="009B6450"/>
    <w:rsid w:val="009B69DF"/>
    <w:rsid w:val="009B6E01"/>
    <w:rsid w:val="009B6FDE"/>
    <w:rsid w:val="009B79CD"/>
    <w:rsid w:val="009B79E0"/>
    <w:rsid w:val="009B7B4F"/>
    <w:rsid w:val="009C0104"/>
    <w:rsid w:val="009C14D4"/>
    <w:rsid w:val="009C1949"/>
    <w:rsid w:val="009C22F9"/>
    <w:rsid w:val="009C278C"/>
    <w:rsid w:val="009C2CEA"/>
    <w:rsid w:val="009C2E1C"/>
    <w:rsid w:val="009C2F91"/>
    <w:rsid w:val="009C3123"/>
    <w:rsid w:val="009C4729"/>
    <w:rsid w:val="009C4E81"/>
    <w:rsid w:val="009C53C2"/>
    <w:rsid w:val="009C548F"/>
    <w:rsid w:val="009C595A"/>
    <w:rsid w:val="009C5AC7"/>
    <w:rsid w:val="009C5D50"/>
    <w:rsid w:val="009C5E5E"/>
    <w:rsid w:val="009C5E9F"/>
    <w:rsid w:val="009C5F1D"/>
    <w:rsid w:val="009C68EC"/>
    <w:rsid w:val="009D0228"/>
    <w:rsid w:val="009D027F"/>
    <w:rsid w:val="009D092F"/>
    <w:rsid w:val="009D0BA6"/>
    <w:rsid w:val="009D114E"/>
    <w:rsid w:val="009D1A55"/>
    <w:rsid w:val="009D1D88"/>
    <w:rsid w:val="009D3113"/>
    <w:rsid w:val="009D39BF"/>
    <w:rsid w:val="009D4461"/>
    <w:rsid w:val="009D4691"/>
    <w:rsid w:val="009D4698"/>
    <w:rsid w:val="009D583E"/>
    <w:rsid w:val="009D588B"/>
    <w:rsid w:val="009D5911"/>
    <w:rsid w:val="009D5D6C"/>
    <w:rsid w:val="009D6109"/>
    <w:rsid w:val="009D681F"/>
    <w:rsid w:val="009D6D92"/>
    <w:rsid w:val="009D6E50"/>
    <w:rsid w:val="009D7075"/>
    <w:rsid w:val="009D7335"/>
    <w:rsid w:val="009D7CFE"/>
    <w:rsid w:val="009E012E"/>
    <w:rsid w:val="009E0423"/>
    <w:rsid w:val="009E048B"/>
    <w:rsid w:val="009E0D1E"/>
    <w:rsid w:val="009E1FDD"/>
    <w:rsid w:val="009E2454"/>
    <w:rsid w:val="009E2E25"/>
    <w:rsid w:val="009E2FA2"/>
    <w:rsid w:val="009E2FBA"/>
    <w:rsid w:val="009E311E"/>
    <w:rsid w:val="009E374D"/>
    <w:rsid w:val="009E4F68"/>
    <w:rsid w:val="009E5C25"/>
    <w:rsid w:val="009E6D66"/>
    <w:rsid w:val="009E7273"/>
    <w:rsid w:val="009E7660"/>
    <w:rsid w:val="009E7FBD"/>
    <w:rsid w:val="009F0317"/>
    <w:rsid w:val="009F0605"/>
    <w:rsid w:val="009F0DE5"/>
    <w:rsid w:val="009F0E02"/>
    <w:rsid w:val="009F1E1C"/>
    <w:rsid w:val="009F1F13"/>
    <w:rsid w:val="009F24C3"/>
    <w:rsid w:val="009F250C"/>
    <w:rsid w:val="009F259D"/>
    <w:rsid w:val="009F2F89"/>
    <w:rsid w:val="009F30C2"/>
    <w:rsid w:val="009F30CD"/>
    <w:rsid w:val="009F3281"/>
    <w:rsid w:val="009F32DC"/>
    <w:rsid w:val="009F3877"/>
    <w:rsid w:val="009F3E10"/>
    <w:rsid w:val="009F3E79"/>
    <w:rsid w:val="009F3EB8"/>
    <w:rsid w:val="009F45CC"/>
    <w:rsid w:val="009F5737"/>
    <w:rsid w:val="009F5F1E"/>
    <w:rsid w:val="009F67EE"/>
    <w:rsid w:val="009F69FF"/>
    <w:rsid w:val="009F6BB8"/>
    <w:rsid w:val="009F6BF2"/>
    <w:rsid w:val="009F74C9"/>
    <w:rsid w:val="009F7506"/>
    <w:rsid w:val="009F77D2"/>
    <w:rsid w:val="009F7BE0"/>
    <w:rsid w:val="009F7C5A"/>
    <w:rsid w:val="009F7C86"/>
    <w:rsid w:val="00A003B3"/>
    <w:rsid w:val="00A0078E"/>
    <w:rsid w:val="00A009F3"/>
    <w:rsid w:val="00A00DC7"/>
    <w:rsid w:val="00A00F28"/>
    <w:rsid w:val="00A01232"/>
    <w:rsid w:val="00A01529"/>
    <w:rsid w:val="00A01979"/>
    <w:rsid w:val="00A01A8F"/>
    <w:rsid w:val="00A01E7A"/>
    <w:rsid w:val="00A0236E"/>
    <w:rsid w:val="00A02462"/>
    <w:rsid w:val="00A02F0D"/>
    <w:rsid w:val="00A03512"/>
    <w:rsid w:val="00A036F8"/>
    <w:rsid w:val="00A0379B"/>
    <w:rsid w:val="00A03E5C"/>
    <w:rsid w:val="00A048F3"/>
    <w:rsid w:val="00A04D8E"/>
    <w:rsid w:val="00A0542F"/>
    <w:rsid w:val="00A05DC1"/>
    <w:rsid w:val="00A05ED5"/>
    <w:rsid w:val="00A0648F"/>
    <w:rsid w:val="00A068B4"/>
    <w:rsid w:val="00A06DD0"/>
    <w:rsid w:val="00A07049"/>
    <w:rsid w:val="00A07269"/>
    <w:rsid w:val="00A072FC"/>
    <w:rsid w:val="00A07DFA"/>
    <w:rsid w:val="00A10227"/>
    <w:rsid w:val="00A1101E"/>
    <w:rsid w:val="00A114D7"/>
    <w:rsid w:val="00A11874"/>
    <w:rsid w:val="00A121AE"/>
    <w:rsid w:val="00A1225B"/>
    <w:rsid w:val="00A12337"/>
    <w:rsid w:val="00A12D91"/>
    <w:rsid w:val="00A136A4"/>
    <w:rsid w:val="00A13BE4"/>
    <w:rsid w:val="00A142EF"/>
    <w:rsid w:val="00A1461C"/>
    <w:rsid w:val="00A14A4C"/>
    <w:rsid w:val="00A14B0D"/>
    <w:rsid w:val="00A14DB3"/>
    <w:rsid w:val="00A14F16"/>
    <w:rsid w:val="00A155A2"/>
    <w:rsid w:val="00A15AAF"/>
    <w:rsid w:val="00A1622A"/>
    <w:rsid w:val="00A169BE"/>
    <w:rsid w:val="00A16BEF"/>
    <w:rsid w:val="00A17212"/>
    <w:rsid w:val="00A17DCA"/>
    <w:rsid w:val="00A209C3"/>
    <w:rsid w:val="00A20B01"/>
    <w:rsid w:val="00A20BA9"/>
    <w:rsid w:val="00A2113B"/>
    <w:rsid w:val="00A2182E"/>
    <w:rsid w:val="00A21D7F"/>
    <w:rsid w:val="00A21DC3"/>
    <w:rsid w:val="00A21E4C"/>
    <w:rsid w:val="00A2225B"/>
    <w:rsid w:val="00A22337"/>
    <w:rsid w:val="00A22775"/>
    <w:rsid w:val="00A22AF7"/>
    <w:rsid w:val="00A22FAE"/>
    <w:rsid w:val="00A235ED"/>
    <w:rsid w:val="00A23BDD"/>
    <w:rsid w:val="00A23E02"/>
    <w:rsid w:val="00A246EE"/>
    <w:rsid w:val="00A25179"/>
    <w:rsid w:val="00A2529C"/>
    <w:rsid w:val="00A2590F"/>
    <w:rsid w:val="00A26228"/>
    <w:rsid w:val="00A279DF"/>
    <w:rsid w:val="00A300C2"/>
    <w:rsid w:val="00A30149"/>
    <w:rsid w:val="00A30511"/>
    <w:rsid w:val="00A306A8"/>
    <w:rsid w:val="00A3140E"/>
    <w:rsid w:val="00A3151D"/>
    <w:rsid w:val="00A31745"/>
    <w:rsid w:val="00A3208D"/>
    <w:rsid w:val="00A33844"/>
    <w:rsid w:val="00A3384B"/>
    <w:rsid w:val="00A3385D"/>
    <w:rsid w:val="00A33D1B"/>
    <w:rsid w:val="00A33F26"/>
    <w:rsid w:val="00A35521"/>
    <w:rsid w:val="00A3568A"/>
    <w:rsid w:val="00A35D70"/>
    <w:rsid w:val="00A363B4"/>
    <w:rsid w:val="00A36EF7"/>
    <w:rsid w:val="00A373CE"/>
    <w:rsid w:val="00A37744"/>
    <w:rsid w:val="00A37C56"/>
    <w:rsid w:val="00A37FE6"/>
    <w:rsid w:val="00A40190"/>
    <w:rsid w:val="00A40802"/>
    <w:rsid w:val="00A4086C"/>
    <w:rsid w:val="00A40A7B"/>
    <w:rsid w:val="00A4103C"/>
    <w:rsid w:val="00A4172A"/>
    <w:rsid w:val="00A42363"/>
    <w:rsid w:val="00A42B83"/>
    <w:rsid w:val="00A43F4A"/>
    <w:rsid w:val="00A44A48"/>
    <w:rsid w:val="00A4529B"/>
    <w:rsid w:val="00A452BD"/>
    <w:rsid w:val="00A45C2D"/>
    <w:rsid w:val="00A46A4C"/>
    <w:rsid w:val="00A46CCB"/>
    <w:rsid w:val="00A47455"/>
    <w:rsid w:val="00A50D90"/>
    <w:rsid w:val="00A51BB1"/>
    <w:rsid w:val="00A52106"/>
    <w:rsid w:val="00A52377"/>
    <w:rsid w:val="00A5283A"/>
    <w:rsid w:val="00A52F14"/>
    <w:rsid w:val="00A53284"/>
    <w:rsid w:val="00A5379D"/>
    <w:rsid w:val="00A53980"/>
    <w:rsid w:val="00A54126"/>
    <w:rsid w:val="00A54794"/>
    <w:rsid w:val="00A54B9F"/>
    <w:rsid w:val="00A5538E"/>
    <w:rsid w:val="00A55C84"/>
    <w:rsid w:val="00A55FFB"/>
    <w:rsid w:val="00A56D05"/>
    <w:rsid w:val="00A56E5C"/>
    <w:rsid w:val="00A573FF"/>
    <w:rsid w:val="00A57708"/>
    <w:rsid w:val="00A57A07"/>
    <w:rsid w:val="00A6027E"/>
    <w:rsid w:val="00A6076F"/>
    <w:rsid w:val="00A60A73"/>
    <w:rsid w:val="00A60CCC"/>
    <w:rsid w:val="00A60CE2"/>
    <w:rsid w:val="00A6106B"/>
    <w:rsid w:val="00A610C4"/>
    <w:rsid w:val="00A61CB7"/>
    <w:rsid w:val="00A62F2C"/>
    <w:rsid w:val="00A630C4"/>
    <w:rsid w:val="00A63B5F"/>
    <w:rsid w:val="00A63B7B"/>
    <w:rsid w:val="00A63DA9"/>
    <w:rsid w:val="00A63E20"/>
    <w:rsid w:val="00A6434A"/>
    <w:rsid w:val="00A6434B"/>
    <w:rsid w:val="00A64691"/>
    <w:rsid w:val="00A65DED"/>
    <w:rsid w:val="00A66343"/>
    <w:rsid w:val="00A6678C"/>
    <w:rsid w:val="00A676E0"/>
    <w:rsid w:val="00A67AD9"/>
    <w:rsid w:val="00A67F6C"/>
    <w:rsid w:val="00A7020A"/>
    <w:rsid w:val="00A70308"/>
    <w:rsid w:val="00A703FB"/>
    <w:rsid w:val="00A70D57"/>
    <w:rsid w:val="00A712AA"/>
    <w:rsid w:val="00A7196E"/>
    <w:rsid w:val="00A71A27"/>
    <w:rsid w:val="00A71FDF"/>
    <w:rsid w:val="00A7283D"/>
    <w:rsid w:val="00A72DF5"/>
    <w:rsid w:val="00A72F8F"/>
    <w:rsid w:val="00A7351A"/>
    <w:rsid w:val="00A7450F"/>
    <w:rsid w:val="00A74744"/>
    <w:rsid w:val="00A74FFF"/>
    <w:rsid w:val="00A75A79"/>
    <w:rsid w:val="00A75DFF"/>
    <w:rsid w:val="00A75ED7"/>
    <w:rsid w:val="00A75EE2"/>
    <w:rsid w:val="00A760C1"/>
    <w:rsid w:val="00A76813"/>
    <w:rsid w:val="00A76AA4"/>
    <w:rsid w:val="00A76B23"/>
    <w:rsid w:val="00A77BBE"/>
    <w:rsid w:val="00A77C9D"/>
    <w:rsid w:val="00A8032A"/>
    <w:rsid w:val="00A8097C"/>
    <w:rsid w:val="00A80A3B"/>
    <w:rsid w:val="00A80D8A"/>
    <w:rsid w:val="00A81093"/>
    <w:rsid w:val="00A81488"/>
    <w:rsid w:val="00A82582"/>
    <w:rsid w:val="00A82E5F"/>
    <w:rsid w:val="00A83A27"/>
    <w:rsid w:val="00A83F55"/>
    <w:rsid w:val="00A8464F"/>
    <w:rsid w:val="00A84963"/>
    <w:rsid w:val="00A84D45"/>
    <w:rsid w:val="00A854CB"/>
    <w:rsid w:val="00A85DE5"/>
    <w:rsid w:val="00A86159"/>
    <w:rsid w:val="00A86233"/>
    <w:rsid w:val="00A8688F"/>
    <w:rsid w:val="00A86E71"/>
    <w:rsid w:val="00A8741B"/>
    <w:rsid w:val="00A876D0"/>
    <w:rsid w:val="00A8776E"/>
    <w:rsid w:val="00A90BD6"/>
    <w:rsid w:val="00A9106F"/>
    <w:rsid w:val="00A9119E"/>
    <w:rsid w:val="00A9144F"/>
    <w:rsid w:val="00A924C1"/>
    <w:rsid w:val="00A92844"/>
    <w:rsid w:val="00A9291F"/>
    <w:rsid w:val="00A92CB2"/>
    <w:rsid w:val="00A93036"/>
    <w:rsid w:val="00A93C49"/>
    <w:rsid w:val="00A94BB4"/>
    <w:rsid w:val="00A94F25"/>
    <w:rsid w:val="00A952A1"/>
    <w:rsid w:val="00A9540C"/>
    <w:rsid w:val="00A95440"/>
    <w:rsid w:val="00A95824"/>
    <w:rsid w:val="00A95D71"/>
    <w:rsid w:val="00A96163"/>
    <w:rsid w:val="00A965CF"/>
    <w:rsid w:val="00A96849"/>
    <w:rsid w:val="00A974A7"/>
    <w:rsid w:val="00A97608"/>
    <w:rsid w:val="00A97675"/>
    <w:rsid w:val="00A97F9C"/>
    <w:rsid w:val="00AA07B8"/>
    <w:rsid w:val="00AA0A34"/>
    <w:rsid w:val="00AA1354"/>
    <w:rsid w:val="00AA1C06"/>
    <w:rsid w:val="00AA2A3D"/>
    <w:rsid w:val="00AA2B62"/>
    <w:rsid w:val="00AA2BC5"/>
    <w:rsid w:val="00AA3111"/>
    <w:rsid w:val="00AA3AF8"/>
    <w:rsid w:val="00AA4532"/>
    <w:rsid w:val="00AA4E97"/>
    <w:rsid w:val="00AA51A1"/>
    <w:rsid w:val="00AA5596"/>
    <w:rsid w:val="00AA5791"/>
    <w:rsid w:val="00AA59DE"/>
    <w:rsid w:val="00AA5C48"/>
    <w:rsid w:val="00AA5EF1"/>
    <w:rsid w:val="00AA6475"/>
    <w:rsid w:val="00AA688F"/>
    <w:rsid w:val="00AA7ACB"/>
    <w:rsid w:val="00AB0555"/>
    <w:rsid w:val="00AB0828"/>
    <w:rsid w:val="00AB086E"/>
    <w:rsid w:val="00AB133D"/>
    <w:rsid w:val="00AB1FD7"/>
    <w:rsid w:val="00AB2315"/>
    <w:rsid w:val="00AB27A3"/>
    <w:rsid w:val="00AB2805"/>
    <w:rsid w:val="00AB288B"/>
    <w:rsid w:val="00AB2E0C"/>
    <w:rsid w:val="00AB3EF3"/>
    <w:rsid w:val="00AB4605"/>
    <w:rsid w:val="00AB464D"/>
    <w:rsid w:val="00AB47F5"/>
    <w:rsid w:val="00AB48B3"/>
    <w:rsid w:val="00AB5518"/>
    <w:rsid w:val="00AB5BFA"/>
    <w:rsid w:val="00AB64D5"/>
    <w:rsid w:val="00AB6CE4"/>
    <w:rsid w:val="00AB6E7F"/>
    <w:rsid w:val="00AB7799"/>
    <w:rsid w:val="00AB7AC7"/>
    <w:rsid w:val="00AB7EFE"/>
    <w:rsid w:val="00AC01C3"/>
    <w:rsid w:val="00AC08BA"/>
    <w:rsid w:val="00AC0F45"/>
    <w:rsid w:val="00AC2335"/>
    <w:rsid w:val="00AC26EB"/>
    <w:rsid w:val="00AC2BFF"/>
    <w:rsid w:val="00AC2E2D"/>
    <w:rsid w:val="00AC3EF6"/>
    <w:rsid w:val="00AC41DE"/>
    <w:rsid w:val="00AC445B"/>
    <w:rsid w:val="00AC4464"/>
    <w:rsid w:val="00AC5F9D"/>
    <w:rsid w:val="00AC79F1"/>
    <w:rsid w:val="00AC7C4E"/>
    <w:rsid w:val="00AC7FAC"/>
    <w:rsid w:val="00AD0209"/>
    <w:rsid w:val="00AD08A4"/>
    <w:rsid w:val="00AD17C6"/>
    <w:rsid w:val="00AD17EA"/>
    <w:rsid w:val="00AD1B6C"/>
    <w:rsid w:val="00AD1BBB"/>
    <w:rsid w:val="00AD1DCC"/>
    <w:rsid w:val="00AD3789"/>
    <w:rsid w:val="00AD45CC"/>
    <w:rsid w:val="00AD49A8"/>
    <w:rsid w:val="00AD4ED9"/>
    <w:rsid w:val="00AD60BF"/>
    <w:rsid w:val="00AD72F1"/>
    <w:rsid w:val="00AD795C"/>
    <w:rsid w:val="00AE0757"/>
    <w:rsid w:val="00AE08B3"/>
    <w:rsid w:val="00AE1800"/>
    <w:rsid w:val="00AE19D7"/>
    <w:rsid w:val="00AE1F64"/>
    <w:rsid w:val="00AE207A"/>
    <w:rsid w:val="00AE25D6"/>
    <w:rsid w:val="00AE2C06"/>
    <w:rsid w:val="00AE2FFC"/>
    <w:rsid w:val="00AE3116"/>
    <w:rsid w:val="00AE3298"/>
    <w:rsid w:val="00AE3668"/>
    <w:rsid w:val="00AE3845"/>
    <w:rsid w:val="00AE48DE"/>
    <w:rsid w:val="00AE4DEF"/>
    <w:rsid w:val="00AE4F9C"/>
    <w:rsid w:val="00AE51E7"/>
    <w:rsid w:val="00AE539B"/>
    <w:rsid w:val="00AE5BB6"/>
    <w:rsid w:val="00AE5FC2"/>
    <w:rsid w:val="00AE63C8"/>
    <w:rsid w:val="00AE6D57"/>
    <w:rsid w:val="00AE7A20"/>
    <w:rsid w:val="00AF059C"/>
    <w:rsid w:val="00AF07BC"/>
    <w:rsid w:val="00AF1D5A"/>
    <w:rsid w:val="00AF1FF2"/>
    <w:rsid w:val="00AF2011"/>
    <w:rsid w:val="00AF21AE"/>
    <w:rsid w:val="00AF28D5"/>
    <w:rsid w:val="00AF2B39"/>
    <w:rsid w:val="00AF2BAD"/>
    <w:rsid w:val="00AF2D82"/>
    <w:rsid w:val="00AF315A"/>
    <w:rsid w:val="00AF3ABD"/>
    <w:rsid w:val="00AF4850"/>
    <w:rsid w:val="00AF4B67"/>
    <w:rsid w:val="00AF5826"/>
    <w:rsid w:val="00AF58E1"/>
    <w:rsid w:val="00AF5EA5"/>
    <w:rsid w:val="00AF63A6"/>
    <w:rsid w:val="00AF6407"/>
    <w:rsid w:val="00AF68D4"/>
    <w:rsid w:val="00AF78B3"/>
    <w:rsid w:val="00B00237"/>
    <w:rsid w:val="00B004C6"/>
    <w:rsid w:val="00B00929"/>
    <w:rsid w:val="00B00B73"/>
    <w:rsid w:val="00B0137E"/>
    <w:rsid w:val="00B01638"/>
    <w:rsid w:val="00B018FE"/>
    <w:rsid w:val="00B01A4A"/>
    <w:rsid w:val="00B01C3A"/>
    <w:rsid w:val="00B020C3"/>
    <w:rsid w:val="00B02164"/>
    <w:rsid w:val="00B02241"/>
    <w:rsid w:val="00B02BB6"/>
    <w:rsid w:val="00B03033"/>
    <w:rsid w:val="00B03314"/>
    <w:rsid w:val="00B03A56"/>
    <w:rsid w:val="00B0405A"/>
    <w:rsid w:val="00B045CD"/>
    <w:rsid w:val="00B047D8"/>
    <w:rsid w:val="00B05295"/>
    <w:rsid w:val="00B0551C"/>
    <w:rsid w:val="00B055EB"/>
    <w:rsid w:val="00B05962"/>
    <w:rsid w:val="00B06F79"/>
    <w:rsid w:val="00B07527"/>
    <w:rsid w:val="00B076EA"/>
    <w:rsid w:val="00B077AC"/>
    <w:rsid w:val="00B07DA4"/>
    <w:rsid w:val="00B10F19"/>
    <w:rsid w:val="00B11097"/>
    <w:rsid w:val="00B1117F"/>
    <w:rsid w:val="00B1185A"/>
    <w:rsid w:val="00B118DB"/>
    <w:rsid w:val="00B11F61"/>
    <w:rsid w:val="00B1217C"/>
    <w:rsid w:val="00B1353E"/>
    <w:rsid w:val="00B140C6"/>
    <w:rsid w:val="00B14FC9"/>
    <w:rsid w:val="00B154EC"/>
    <w:rsid w:val="00B15A0B"/>
    <w:rsid w:val="00B15D4F"/>
    <w:rsid w:val="00B17285"/>
    <w:rsid w:val="00B1763A"/>
    <w:rsid w:val="00B17A1D"/>
    <w:rsid w:val="00B17BD0"/>
    <w:rsid w:val="00B17D38"/>
    <w:rsid w:val="00B20024"/>
    <w:rsid w:val="00B205AA"/>
    <w:rsid w:val="00B20864"/>
    <w:rsid w:val="00B209ED"/>
    <w:rsid w:val="00B21814"/>
    <w:rsid w:val="00B21A21"/>
    <w:rsid w:val="00B22E9A"/>
    <w:rsid w:val="00B2314B"/>
    <w:rsid w:val="00B2482A"/>
    <w:rsid w:val="00B25902"/>
    <w:rsid w:val="00B26009"/>
    <w:rsid w:val="00B26246"/>
    <w:rsid w:val="00B2693B"/>
    <w:rsid w:val="00B26CD2"/>
    <w:rsid w:val="00B2733D"/>
    <w:rsid w:val="00B27A76"/>
    <w:rsid w:val="00B303F7"/>
    <w:rsid w:val="00B30D19"/>
    <w:rsid w:val="00B31ABC"/>
    <w:rsid w:val="00B320C7"/>
    <w:rsid w:val="00B32CE0"/>
    <w:rsid w:val="00B33629"/>
    <w:rsid w:val="00B33A48"/>
    <w:rsid w:val="00B33FA6"/>
    <w:rsid w:val="00B34278"/>
    <w:rsid w:val="00B34475"/>
    <w:rsid w:val="00B3459D"/>
    <w:rsid w:val="00B34CE2"/>
    <w:rsid w:val="00B35163"/>
    <w:rsid w:val="00B35C94"/>
    <w:rsid w:val="00B35FD4"/>
    <w:rsid w:val="00B3732B"/>
    <w:rsid w:val="00B3798B"/>
    <w:rsid w:val="00B37A5A"/>
    <w:rsid w:val="00B400DB"/>
    <w:rsid w:val="00B403FD"/>
    <w:rsid w:val="00B40A51"/>
    <w:rsid w:val="00B40D49"/>
    <w:rsid w:val="00B4196E"/>
    <w:rsid w:val="00B41B12"/>
    <w:rsid w:val="00B42130"/>
    <w:rsid w:val="00B427E2"/>
    <w:rsid w:val="00B43121"/>
    <w:rsid w:val="00B4358A"/>
    <w:rsid w:val="00B4409C"/>
    <w:rsid w:val="00B4428B"/>
    <w:rsid w:val="00B44803"/>
    <w:rsid w:val="00B44E6E"/>
    <w:rsid w:val="00B456EA"/>
    <w:rsid w:val="00B45A77"/>
    <w:rsid w:val="00B46098"/>
    <w:rsid w:val="00B46BA2"/>
    <w:rsid w:val="00B47A84"/>
    <w:rsid w:val="00B47E57"/>
    <w:rsid w:val="00B47E7D"/>
    <w:rsid w:val="00B501F2"/>
    <w:rsid w:val="00B50405"/>
    <w:rsid w:val="00B5087C"/>
    <w:rsid w:val="00B508A1"/>
    <w:rsid w:val="00B51093"/>
    <w:rsid w:val="00B5135B"/>
    <w:rsid w:val="00B51FC8"/>
    <w:rsid w:val="00B52113"/>
    <w:rsid w:val="00B5248C"/>
    <w:rsid w:val="00B52D05"/>
    <w:rsid w:val="00B52D33"/>
    <w:rsid w:val="00B53419"/>
    <w:rsid w:val="00B53A59"/>
    <w:rsid w:val="00B53C24"/>
    <w:rsid w:val="00B53CC4"/>
    <w:rsid w:val="00B53D9C"/>
    <w:rsid w:val="00B53F00"/>
    <w:rsid w:val="00B53F6E"/>
    <w:rsid w:val="00B5459F"/>
    <w:rsid w:val="00B5470B"/>
    <w:rsid w:val="00B54C11"/>
    <w:rsid w:val="00B54C70"/>
    <w:rsid w:val="00B54D62"/>
    <w:rsid w:val="00B55065"/>
    <w:rsid w:val="00B55972"/>
    <w:rsid w:val="00B55F93"/>
    <w:rsid w:val="00B56D10"/>
    <w:rsid w:val="00B579D3"/>
    <w:rsid w:val="00B579DE"/>
    <w:rsid w:val="00B579F0"/>
    <w:rsid w:val="00B579F1"/>
    <w:rsid w:val="00B57A30"/>
    <w:rsid w:val="00B57A5A"/>
    <w:rsid w:val="00B57D0A"/>
    <w:rsid w:val="00B603B9"/>
    <w:rsid w:val="00B6043A"/>
    <w:rsid w:val="00B6062F"/>
    <w:rsid w:val="00B60C80"/>
    <w:rsid w:val="00B62663"/>
    <w:rsid w:val="00B62B87"/>
    <w:rsid w:val="00B62CE1"/>
    <w:rsid w:val="00B63250"/>
    <w:rsid w:val="00B63333"/>
    <w:rsid w:val="00B63917"/>
    <w:rsid w:val="00B63C32"/>
    <w:rsid w:val="00B64123"/>
    <w:rsid w:val="00B64221"/>
    <w:rsid w:val="00B662A8"/>
    <w:rsid w:val="00B66BC9"/>
    <w:rsid w:val="00B672ED"/>
    <w:rsid w:val="00B676F9"/>
    <w:rsid w:val="00B67C8E"/>
    <w:rsid w:val="00B67E49"/>
    <w:rsid w:val="00B70497"/>
    <w:rsid w:val="00B70754"/>
    <w:rsid w:val="00B709C2"/>
    <w:rsid w:val="00B70EB4"/>
    <w:rsid w:val="00B70F63"/>
    <w:rsid w:val="00B711E6"/>
    <w:rsid w:val="00B713CF"/>
    <w:rsid w:val="00B71617"/>
    <w:rsid w:val="00B71E40"/>
    <w:rsid w:val="00B720D7"/>
    <w:rsid w:val="00B721CF"/>
    <w:rsid w:val="00B72688"/>
    <w:rsid w:val="00B72F33"/>
    <w:rsid w:val="00B72F3A"/>
    <w:rsid w:val="00B73A28"/>
    <w:rsid w:val="00B74150"/>
    <w:rsid w:val="00B743E3"/>
    <w:rsid w:val="00B74405"/>
    <w:rsid w:val="00B744CC"/>
    <w:rsid w:val="00B747F6"/>
    <w:rsid w:val="00B75B7F"/>
    <w:rsid w:val="00B75D22"/>
    <w:rsid w:val="00B760E5"/>
    <w:rsid w:val="00B76795"/>
    <w:rsid w:val="00B7684B"/>
    <w:rsid w:val="00B76C96"/>
    <w:rsid w:val="00B7756F"/>
    <w:rsid w:val="00B77FF8"/>
    <w:rsid w:val="00B801D6"/>
    <w:rsid w:val="00B803EE"/>
    <w:rsid w:val="00B806AF"/>
    <w:rsid w:val="00B80C95"/>
    <w:rsid w:val="00B80CF7"/>
    <w:rsid w:val="00B8128D"/>
    <w:rsid w:val="00B81671"/>
    <w:rsid w:val="00B8251C"/>
    <w:rsid w:val="00B828B2"/>
    <w:rsid w:val="00B82E72"/>
    <w:rsid w:val="00B82F22"/>
    <w:rsid w:val="00B83728"/>
    <w:rsid w:val="00B83762"/>
    <w:rsid w:val="00B839BC"/>
    <w:rsid w:val="00B84C19"/>
    <w:rsid w:val="00B85B2A"/>
    <w:rsid w:val="00B85B57"/>
    <w:rsid w:val="00B85FC0"/>
    <w:rsid w:val="00B86183"/>
    <w:rsid w:val="00B861CB"/>
    <w:rsid w:val="00B8734A"/>
    <w:rsid w:val="00B87F1A"/>
    <w:rsid w:val="00B90E50"/>
    <w:rsid w:val="00B90F59"/>
    <w:rsid w:val="00B91372"/>
    <w:rsid w:val="00B913A7"/>
    <w:rsid w:val="00B92B22"/>
    <w:rsid w:val="00B92D00"/>
    <w:rsid w:val="00B92D81"/>
    <w:rsid w:val="00B92EB1"/>
    <w:rsid w:val="00B935BF"/>
    <w:rsid w:val="00B93841"/>
    <w:rsid w:val="00B94551"/>
    <w:rsid w:val="00B9538F"/>
    <w:rsid w:val="00B954EA"/>
    <w:rsid w:val="00B9580B"/>
    <w:rsid w:val="00B95E92"/>
    <w:rsid w:val="00B96A44"/>
    <w:rsid w:val="00B972B2"/>
    <w:rsid w:val="00B97861"/>
    <w:rsid w:val="00BA0795"/>
    <w:rsid w:val="00BA0D41"/>
    <w:rsid w:val="00BA1104"/>
    <w:rsid w:val="00BA146E"/>
    <w:rsid w:val="00BA157C"/>
    <w:rsid w:val="00BA1933"/>
    <w:rsid w:val="00BA25FF"/>
    <w:rsid w:val="00BA2E17"/>
    <w:rsid w:val="00BA336D"/>
    <w:rsid w:val="00BA3717"/>
    <w:rsid w:val="00BA390C"/>
    <w:rsid w:val="00BA3EAC"/>
    <w:rsid w:val="00BA3F6D"/>
    <w:rsid w:val="00BA498A"/>
    <w:rsid w:val="00BA4CAF"/>
    <w:rsid w:val="00BA53A0"/>
    <w:rsid w:val="00BA58D9"/>
    <w:rsid w:val="00BA606F"/>
    <w:rsid w:val="00BA65C6"/>
    <w:rsid w:val="00BA687C"/>
    <w:rsid w:val="00BA721E"/>
    <w:rsid w:val="00BA7836"/>
    <w:rsid w:val="00BA7CFE"/>
    <w:rsid w:val="00BB002A"/>
    <w:rsid w:val="00BB00AC"/>
    <w:rsid w:val="00BB0D70"/>
    <w:rsid w:val="00BB0D78"/>
    <w:rsid w:val="00BB1154"/>
    <w:rsid w:val="00BB11AE"/>
    <w:rsid w:val="00BB15C8"/>
    <w:rsid w:val="00BB1769"/>
    <w:rsid w:val="00BB1A53"/>
    <w:rsid w:val="00BB2077"/>
    <w:rsid w:val="00BB2DE9"/>
    <w:rsid w:val="00BB2F54"/>
    <w:rsid w:val="00BB3173"/>
    <w:rsid w:val="00BB31BF"/>
    <w:rsid w:val="00BB369D"/>
    <w:rsid w:val="00BB3B5B"/>
    <w:rsid w:val="00BB4003"/>
    <w:rsid w:val="00BB456D"/>
    <w:rsid w:val="00BB48DF"/>
    <w:rsid w:val="00BB566A"/>
    <w:rsid w:val="00BB661E"/>
    <w:rsid w:val="00BB68BB"/>
    <w:rsid w:val="00BB69DC"/>
    <w:rsid w:val="00BB72D0"/>
    <w:rsid w:val="00BC0250"/>
    <w:rsid w:val="00BC0BD5"/>
    <w:rsid w:val="00BC0E5D"/>
    <w:rsid w:val="00BC131C"/>
    <w:rsid w:val="00BC13A3"/>
    <w:rsid w:val="00BC1619"/>
    <w:rsid w:val="00BC18DF"/>
    <w:rsid w:val="00BC198F"/>
    <w:rsid w:val="00BC2455"/>
    <w:rsid w:val="00BC2540"/>
    <w:rsid w:val="00BC30AA"/>
    <w:rsid w:val="00BC34BE"/>
    <w:rsid w:val="00BC437C"/>
    <w:rsid w:val="00BC43DF"/>
    <w:rsid w:val="00BC4469"/>
    <w:rsid w:val="00BC44BB"/>
    <w:rsid w:val="00BC45D9"/>
    <w:rsid w:val="00BC4833"/>
    <w:rsid w:val="00BC4FA0"/>
    <w:rsid w:val="00BC534C"/>
    <w:rsid w:val="00BC5814"/>
    <w:rsid w:val="00BC58E3"/>
    <w:rsid w:val="00BC5F82"/>
    <w:rsid w:val="00BC6207"/>
    <w:rsid w:val="00BC763A"/>
    <w:rsid w:val="00BC78A8"/>
    <w:rsid w:val="00BD0EA7"/>
    <w:rsid w:val="00BD12A6"/>
    <w:rsid w:val="00BD186B"/>
    <w:rsid w:val="00BD1CC4"/>
    <w:rsid w:val="00BD28AC"/>
    <w:rsid w:val="00BD2C64"/>
    <w:rsid w:val="00BD35C6"/>
    <w:rsid w:val="00BD3B20"/>
    <w:rsid w:val="00BD3B79"/>
    <w:rsid w:val="00BD417F"/>
    <w:rsid w:val="00BD48D6"/>
    <w:rsid w:val="00BD4CC5"/>
    <w:rsid w:val="00BD4ED6"/>
    <w:rsid w:val="00BD599E"/>
    <w:rsid w:val="00BD6F45"/>
    <w:rsid w:val="00BD72AB"/>
    <w:rsid w:val="00BD74FD"/>
    <w:rsid w:val="00BD7506"/>
    <w:rsid w:val="00BD79BC"/>
    <w:rsid w:val="00BD7F2B"/>
    <w:rsid w:val="00BE0095"/>
    <w:rsid w:val="00BE14FC"/>
    <w:rsid w:val="00BE16DF"/>
    <w:rsid w:val="00BE32A0"/>
    <w:rsid w:val="00BE39A5"/>
    <w:rsid w:val="00BE3BBD"/>
    <w:rsid w:val="00BE3C05"/>
    <w:rsid w:val="00BE3C09"/>
    <w:rsid w:val="00BE3C97"/>
    <w:rsid w:val="00BE3F6B"/>
    <w:rsid w:val="00BE416D"/>
    <w:rsid w:val="00BE4BA2"/>
    <w:rsid w:val="00BE567D"/>
    <w:rsid w:val="00BE57D1"/>
    <w:rsid w:val="00BE5A7D"/>
    <w:rsid w:val="00BE5AF8"/>
    <w:rsid w:val="00BE5C71"/>
    <w:rsid w:val="00BE5EC7"/>
    <w:rsid w:val="00BE628E"/>
    <w:rsid w:val="00BE658D"/>
    <w:rsid w:val="00BE661F"/>
    <w:rsid w:val="00BE665D"/>
    <w:rsid w:val="00BE6B8E"/>
    <w:rsid w:val="00BE76F1"/>
    <w:rsid w:val="00BF0F0C"/>
    <w:rsid w:val="00BF1372"/>
    <w:rsid w:val="00BF17D3"/>
    <w:rsid w:val="00BF192F"/>
    <w:rsid w:val="00BF1EBB"/>
    <w:rsid w:val="00BF2A7E"/>
    <w:rsid w:val="00BF2B6B"/>
    <w:rsid w:val="00BF317F"/>
    <w:rsid w:val="00BF34DF"/>
    <w:rsid w:val="00BF3E6E"/>
    <w:rsid w:val="00BF4145"/>
    <w:rsid w:val="00BF52DC"/>
    <w:rsid w:val="00BF5592"/>
    <w:rsid w:val="00BF55B2"/>
    <w:rsid w:val="00BF5645"/>
    <w:rsid w:val="00BF61D0"/>
    <w:rsid w:val="00BF64A9"/>
    <w:rsid w:val="00BF7020"/>
    <w:rsid w:val="00BF72CA"/>
    <w:rsid w:val="00C0035A"/>
    <w:rsid w:val="00C00AAD"/>
    <w:rsid w:val="00C00BA6"/>
    <w:rsid w:val="00C00CEE"/>
    <w:rsid w:val="00C01296"/>
    <w:rsid w:val="00C0189F"/>
    <w:rsid w:val="00C01A04"/>
    <w:rsid w:val="00C01C4F"/>
    <w:rsid w:val="00C01CD2"/>
    <w:rsid w:val="00C01DD8"/>
    <w:rsid w:val="00C02C0A"/>
    <w:rsid w:val="00C02E6C"/>
    <w:rsid w:val="00C032E3"/>
    <w:rsid w:val="00C033E1"/>
    <w:rsid w:val="00C04424"/>
    <w:rsid w:val="00C0550B"/>
    <w:rsid w:val="00C05E9A"/>
    <w:rsid w:val="00C06005"/>
    <w:rsid w:val="00C06885"/>
    <w:rsid w:val="00C07BC4"/>
    <w:rsid w:val="00C10595"/>
    <w:rsid w:val="00C11728"/>
    <w:rsid w:val="00C11D12"/>
    <w:rsid w:val="00C11D35"/>
    <w:rsid w:val="00C11FA4"/>
    <w:rsid w:val="00C1212B"/>
    <w:rsid w:val="00C12447"/>
    <w:rsid w:val="00C12B13"/>
    <w:rsid w:val="00C12B81"/>
    <w:rsid w:val="00C1322C"/>
    <w:rsid w:val="00C13AAC"/>
    <w:rsid w:val="00C1458C"/>
    <w:rsid w:val="00C14897"/>
    <w:rsid w:val="00C14B92"/>
    <w:rsid w:val="00C150DD"/>
    <w:rsid w:val="00C1544F"/>
    <w:rsid w:val="00C15724"/>
    <w:rsid w:val="00C15DC4"/>
    <w:rsid w:val="00C15ED2"/>
    <w:rsid w:val="00C15FD0"/>
    <w:rsid w:val="00C1766B"/>
    <w:rsid w:val="00C1770E"/>
    <w:rsid w:val="00C177BC"/>
    <w:rsid w:val="00C21B5E"/>
    <w:rsid w:val="00C21B7F"/>
    <w:rsid w:val="00C22192"/>
    <w:rsid w:val="00C2220F"/>
    <w:rsid w:val="00C22403"/>
    <w:rsid w:val="00C23DBA"/>
    <w:rsid w:val="00C23DD1"/>
    <w:rsid w:val="00C23E9F"/>
    <w:rsid w:val="00C240CB"/>
    <w:rsid w:val="00C2457D"/>
    <w:rsid w:val="00C24C79"/>
    <w:rsid w:val="00C24F28"/>
    <w:rsid w:val="00C2515E"/>
    <w:rsid w:val="00C25CF6"/>
    <w:rsid w:val="00C260B8"/>
    <w:rsid w:val="00C2650D"/>
    <w:rsid w:val="00C26A85"/>
    <w:rsid w:val="00C26F3A"/>
    <w:rsid w:val="00C27296"/>
    <w:rsid w:val="00C277C9"/>
    <w:rsid w:val="00C27C17"/>
    <w:rsid w:val="00C3009D"/>
    <w:rsid w:val="00C30164"/>
    <w:rsid w:val="00C30E28"/>
    <w:rsid w:val="00C31140"/>
    <w:rsid w:val="00C318A1"/>
    <w:rsid w:val="00C3201A"/>
    <w:rsid w:val="00C320DC"/>
    <w:rsid w:val="00C321AC"/>
    <w:rsid w:val="00C32318"/>
    <w:rsid w:val="00C3253B"/>
    <w:rsid w:val="00C327EF"/>
    <w:rsid w:val="00C32940"/>
    <w:rsid w:val="00C33307"/>
    <w:rsid w:val="00C333A2"/>
    <w:rsid w:val="00C34011"/>
    <w:rsid w:val="00C34529"/>
    <w:rsid w:val="00C3526F"/>
    <w:rsid w:val="00C35ABF"/>
    <w:rsid w:val="00C362AE"/>
    <w:rsid w:val="00C364CC"/>
    <w:rsid w:val="00C37396"/>
    <w:rsid w:val="00C37416"/>
    <w:rsid w:val="00C4083B"/>
    <w:rsid w:val="00C40CAD"/>
    <w:rsid w:val="00C416CD"/>
    <w:rsid w:val="00C41F6C"/>
    <w:rsid w:val="00C43369"/>
    <w:rsid w:val="00C43777"/>
    <w:rsid w:val="00C441F0"/>
    <w:rsid w:val="00C44737"/>
    <w:rsid w:val="00C44962"/>
    <w:rsid w:val="00C451D8"/>
    <w:rsid w:val="00C45849"/>
    <w:rsid w:val="00C45BCD"/>
    <w:rsid w:val="00C467B4"/>
    <w:rsid w:val="00C46854"/>
    <w:rsid w:val="00C46D16"/>
    <w:rsid w:val="00C473CB"/>
    <w:rsid w:val="00C4757D"/>
    <w:rsid w:val="00C476E7"/>
    <w:rsid w:val="00C47A7A"/>
    <w:rsid w:val="00C47E5C"/>
    <w:rsid w:val="00C5034A"/>
    <w:rsid w:val="00C505C9"/>
    <w:rsid w:val="00C507C1"/>
    <w:rsid w:val="00C50C22"/>
    <w:rsid w:val="00C514E7"/>
    <w:rsid w:val="00C522DE"/>
    <w:rsid w:val="00C52829"/>
    <w:rsid w:val="00C54504"/>
    <w:rsid w:val="00C548E6"/>
    <w:rsid w:val="00C54D51"/>
    <w:rsid w:val="00C55937"/>
    <w:rsid w:val="00C559FC"/>
    <w:rsid w:val="00C56137"/>
    <w:rsid w:val="00C5663E"/>
    <w:rsid w:val="00C56756"/>
    <w:rsid w:val="00C5680F"/>
    <w:rsid w:val="00C578F3"/>
    <w:rsid w:val="00C6010B"/>
    <w:rsid w:val="00C6014A"/>
    <w:rsid w:val="00C601C0"/>
    <w:rsid w:val="00C6081C"/>
    <w:rsid w:val="00C61284"/>
    <w:rsid w:val="00C61AD7"/>
    <w:rsid w:val="00C62AB6"/>
    <w:rsid w:val="00C62EB0"/>
    <w:rsid w:val="00C633CB"/>
    <w:rsid w:val="00C63BB3"/>
    <w:rsid w:val="00C63BB9"/>
    <w:rsid w:val="00C63CD4"/>
    <w:rsid w:val="00C64233"/>
    <w:rsid w:val="00C64A7F"/>
    <w:rsid w:val="00C64B5B"/>
    <w:rsid w:val="00C653D8"/>
    <w:rsid w:val="00C6620D"/>
    <w:rsid w:val="00C66291"/>
    <w:rsid w:val="00C66379"/>
    <w:rsid w:val="00C66A62"/>
    <w:rsid w:val="00C66B0D"/>
    <w:rsid w:val="00C66BAE"/>
    <w:rsid w:val="00C66C00"/>
    <w:rsid w:val="00C66C89"/>
    <w:rsid w:val="00C670DD"/>
    <w:rsid w:val="00C6792D"/>
    <w:rsid w:val="00C700BF"/>
    <w:rsid w:val="00C706E5"/>
    <w:rsid w:val="00C70F83"/>
    <w:rsid w:val="00C71FA4"/>
    <w:rsid w:val="00C72BC6"/>
    <w:rsid w:val="00C73152"/>
    <w:rsid w:val="00C74200"/>
    <w:rsid w:val="00C74492"/>
    <w:rsid w:val="00C7523E"/>
    <w:rsid w:val="00C754A7"/>
    <w:rsid w:val="00C75836"/>
    <w:rsid w:val="00C759A9"/>
    <w:rsid w:val="00C76279"/>
    <w:rsid w:val="00C765E1"/>
    <w:rsid w:val="00C770A0"/>
    <w:rsid w:val="00C77A93"/>
    <w:rsid w:val="00C77B00"/>
    <w:rsid w:val="00C8033F"/>
    <w:rsid w:val="00C80715"/>
    <w:rsid w:val="00C80AD8"/>
    <w:rsid w:val="00C80B81"/>
    <w:rsid w:val="00C80B9E"/>
    <w:rsid w:val="00C80E0B"/>
    <w:rsid w:val="00C8182C"/>
    <w:rsid w:val="00C82114"/>
    <w:rsid w:val="00C82B3D"/>
    <w:rsid w:val="00C82D5E"/>
    <w:rsid w:val="00C84397"/>
    <w:rsid w:val="00C84543"/>
    <w:rsid w:val="00C848FD"/>
    <w:rsid w:val="00C85A84"/>
    <w:rsid w:val="00C86F15"/>
    <w:rsid w:val="00C87512"/>
    <w:rsid w:val="00C87706"/>
    <w:rsid w:val="00C87802"/>
    <w:rsid w:val="00C87AE0"/>
    <w:rsid w:val="00C904AD"/>
    <w:rsid w:val="00C906CF"/>
    <w:rsid w:val="00C90D04"/>
    <w:rsid w:val="00C90D4C"/>
    <w:rsid w:val="00C90D69"/>
    <w:rsid w:val="00C90F27"/>
    <w:rsid w:val="00C91750"/>
    <w:rsid w:val="00C91824"/>
    <w:rsid w:val="00C91AB0"/>
    <w:rsid w:val="00C91C67"/>
    <w:rsid w:val="00C925CD"/>
    <w:rsid w:val="00C9279C"/>
    <w:rsid w:val="00C9289F"/>
    <w:rsid w:val="00C92923"/>
    <w:rsid w:val="00C92BD6"/>
    <w:rsid w:val="00C9368A"/>
    <w:rsid w:val="00C93E56"/>
    <w:rsid w:val="00C93FF1"/>
    <w:rsid w:val="00C940DF"/>
    <w:rsid w:val="00C94324"/>
    <w:rsid w:val="00C945A3"/>
    <w:rsid w:val="00C947F7"/>
    <w:rsid w:val="00C94993"/>
    <w:rsid w:val="00C94D76"/>
    <w:rsid w:val="00C954F5"/>
    <w:rsid w:val="00C95918"/>
    <w:rsid w:val="00C95B13"/>
    <w:rsid w:val="00C95B44"/>
    <w:rsid w:val="00C95FAF"/>
    <w:rsid w:val="00C9602F"/>
    <w:rsid w:val="00C965C1"/>
    <w:rsid w:val="00C96845"/>
    <w:rsid w:val="00C9685E"/>
    <w:rsid w:val="00C9730E"/>
    <w:rsid w:val="00C973F6"/>
    <w:rsid w:val="00C974D7"/>
    <w:rsid w:val="00CA0070"/>
    <w:rsid w:val="00CA0F9F"/>
    <w:rsid w:val="00CA19C8"/>
    <w:rsid w:val="00CA249B"/>
    <w:rsid w:val="00CA250F"/>
    <w:rsid w:val="00CA2BAE"/>
    <w:rsid w:val="00CA3880"/>
    <w:rsid w:val="00CA3F6D"/>
    <w:rsid w:val="00CA4255"/>
    <w:rsid w:val="00CA42D8"/>
    <w:rsid w:val="00CA48C9"/>
    <w:rsid w:val="00CA4AAE"/>
    <w:rsid w:val="00CA5514"/>
    <w:rsid w:val="00CA5789"/>
    <w:rsid w:val="00CA5C78"/>
    <w:rsid w:val="00CA60C4"/>
    <w:rsid w:val="00CA6102"/>
    <w:rsid w:val="00CA6792"/>
    <w:rsid w:val="00CA7040"/>
    <w:rsid w:val="00CA7110"/>
    <w:rsid w:val="00CA758B"/>
    <w:rsid w:val="00CA7612"/>
    <w:rsid w:val="00CA791C"/>
    <w:rsid w:val="00CA7F3D"/>
    <w:rsid w:val="00CB00B1"/>
    <w:rsid w:val="00CB0805"/>
    <w:rsid w:val="00CB08BB"/>
    <w:rsid w:val="00CB12E4"/>
    <w:rsid w:val="00CB1C52"/>
    <w:rsid w:val="00CB1CA0"/>
    <w:rsid w:val="00CB1CA6"/>
    <w:rsid w:val="00CB1CD3"/>
    <w:rsid w:val="00CB24EB"/>
    <w:rsid w:val="00CB29A4"/>
    <w:rsid w:val="00CB29DA"/>
    <w:rsid w:val="00CB2A6C"/>
    <w:rsid w:val="00CB39E0"/>
    <w:rsid w:val="00CB3A6A"/>
    <w:rsid w:val="00CB3B9B"/>
    <w:rsid w:val="00CB4092"/>
    <w:rsid w:val="00CB422D"/>
    <w:rsid w:val="00CB450A"/>
    <w:rsid w:val="00CB50A4"/>
    <w:rsid w:val="00CB526A"/>
    <w:rsid w:val="00CB52AF"/>
    <w:rsid w:val="00CB58AA"/>
    <w:rsid w:val="00CB612C"/>
    <w:rsid w:val="00CB66A4"/>
    <w:rsid w:val="00CB674E"/>
    <w:rsid w:val="00CB7387"/>
    <w:rsid w:val="00CB7D14"/>
    <w:rsid w:val="00CC0202"/>
    <w:rsid w:val="00CC0499"/>
    <w:rsid w:val="00CC10C9"/>
    <w:rsid w:val="00CC1367"/>
    <w:rsid w:val="00CC13F6"/>
    <w:rsid w:val="00CC1495"/>
    <w:rsid w:val="00CC28BA"/>
    <w:rsid w:val="00CC2DC3"/>
    <w:rsid w:val="00CC3025"/>
    <w:rsid w:val="00CC30DA"/>
    <w:rsid w:val="00CC334E"/>
    <w:rsid w:val="00CC338A"/>
    <w:rsid w:val="00CC3481"/>
    <w:rsid w:val="00CC4AF4"/>
    <w:rsid w:val="00CC4C13"/>
    <w:rsid w:val="00CC4E10"/>
    <w:rsid w:val="00CC56A9"/>
    <w:rsid w:val="00CC5A22"/>
    <w:rsid w:val="00CC5E96"/>
    <w:rsid w:val="00CC5F57"/>
    <w:rsid w:val="00CC73E3"/>
    <w:rsid w:val="00CC74DF"/>
    <w:rsid w:val="00CCCE9B"/>
    <w:rsid w:val="00CD07B8"/>
    <w:rsid w:val="00CD0A4D"/>
    <w:rsid w:val="00CD0A7B"/>
    <w:rsid w:val="00CD0B79"/>
    <w:rsid w:val="00CD1365"/>
    <w:rsid w:val="00CD2C04"/>
    <w:rsid w:val="00CD2C63"/>
    <w:rsid w:val="00CD3295"/>
    <w:rsid w:val="00CD3637"/>
    <w:rsid w:val="00CD5476"/>
    <w:rsid w:val="00CD5BFF"/>
    <w:rsid w:val="00CD63D4"/>
    <w:rsid w:val="00CD678E"/>
    <w:rsid w:val="00CD680F"/>
    <w:rsid w:val="00CD7987"/>
    <w:rsid w:val="00CD7A77"/>
    <w:rsid w:val="00CE038A"/>
    <w:rsid w:val="00CE051A"/>
    <w:rsid w:val="00CE1136"/>
    <w:rsid w:val="00CE150C"/>
    <w:rsid w:val="00CE26E9"/>
    <w:rsid w:val="00CE274E"/>
    <w:rsid w:val="00CE2DCF"/>
    <w:rsid w:val="00CE39AD"/>
    <w:rsid w:val="00CE43A5"/>
    <w:rsid w:val="00CE4B80"/>
    <w:rsid w:val="00CE4C3B"/>
    <w:rsid w:val="00CE4D37"/>
    <w:rsid w:val="00CE51DD"/>
    <w:rsid w:val="00CE57ED"/>
    <w:rsid w:val="00CE593B"/>
    <w:rsid w:val="00CE5F4A"/>
    <w:rsid w:val="00CE626B"/>
    <w:rsid w:val="00CE685C"/>
    <w:rsid w:val="00CE6D2D"/>
    <w:rsid w:val="00CE6DB4"/>
    <w:rsid w:val="00CE7138"/>
    <w:rsid w:val="00CE78C4"/>
    <w:rsid w:val="00CE79ED"/>
    <w:rsid w:val="00CE7A9A"/>
    <w:rsid w:val="00CF005F"/>
    <w:rsid w:val="00CF0060"/>
    <w:rsid w:val="00CF010A"/>
    <w:rsid w:val="00CF031F"/>
    <w:rsid w:val="00CF0CEF"/>
    <w:rsid w:val="00CF1062"/>
    <w:rsid w:val="00CF1B3A"/>
    <w:rsid w:val="00CF255F"/>
    <w:rsid w:val="00CF28A8"/>
    <w:rsid w:val="00CF3094"/>
    <w:rsid w:val="00CF3162"/>
    <w:rsid w:val="00CF3910"/>
    <w:rsid w:val="00CF4051"/>
    <w:rsid w:val="00CF4117"/>
    <w:rsid w:val="00CF4CF4"/>
    <w:rsid w:val="00CF57DC"/>
    <w:rsid w:val="00CF5B4E"/>
    <w:rsid w:val="00CF5C33"/>
    <w:rsid w:val="00CF5EFA"/>
    <w:rsid w:val="00CF609B"/>
    <w:rsid w:val="00CF7BEA"/>
    <w:rsid w:val="00D0023A"/>
    <w:rsid w:val="00D00679"/>
    <w:rsid w:val="00D0077B"/>
    <w:rsid w:val="00D00EC9"/>
    <w:rsid w:val="00D0181E"/>
    <w:rsid w:val="00D01874"/>
    <w:rsid w:val="00D01A84"/>
    <w:rsid w:val="00D035F9"/>
    <w:rsid w:val="00D0368B"/>
    <w:rsid w:val="00D0412B"/>
    <w:rsid w:val="00D049D1"/>
    <w:rsid w:val="00D04B87"/>
    <w:rsid w:val="00D05E7C"/>
    <w:rsid w:val="00D05F6B"/>
    <w:rsid w:val="00D0605E"/>
    <w:rsid w:val="00D06618"/>
    <w:rsid w:val="00D0685B"/>
    <w:rsid w:val="00D0769D"/>
    <w:rsid w:val="00D079CF"/>
    <w:rsid w:val="00D07EBD"/>
    <w:rsid w:val="00D105EE"/>
    <w:rsid w:val="00D108D5"/>
    <w:rsid w:val="00D11383"/>
    <w:rsid w:val="00D12959"/>
    <w:rsid w:val="00D12C2F"/>
    <w:rsid w:val="00D12DA5"/>
    <w:rsid w:val="00D13871"/>
    <w:rsid w:val="00D13A3E"/>
    <w:rsid w:val="00D13D1D"/>
    <w:rsid w:val="00D13E16"/>
    <w:rsid w:val="00D1418E"/>
    <w:rsid w:val="00D14CC7"/>
    <w:rsid w:val="00D15612"/>
    <w:rsid w:val="00D15EB0"/>
    <w:rsid w:val="00D165B7"/>
    <w:rsid w:val="00D16D7A"/>
    <w:rsid w:val="00D17446"/>
    <w:rsid w:val="00D1745E"/>
    <w:rsid w:val="00D17810"/>
    <w:rsid w:val="00D203CC"/>
    <w:rsid w:val="00D20C4B"/>
    <w:rsid w:val="00D212BC"/>
    <w:rsid w:val="00D2144B"/>
    <w:rsid w:val="00D21477"/>
    <w:rsid w:val="00D21652"/>
    <w:rsid w:val="00D21A2A"/>
    <w:rsid w:val="00D21FDF"/>
    <w:rsid w:val="00D22319"/>
    <w:rsid w:val="00D22AFD"/>
    <w:rsid w:val="00D22B64"/>
    <w:rsid w:val="00D2317F"/>
    <w:rsid w:val="00D235A8"/>
    <w:rsid w:val="00D23638"/>
    <w:rsid w:val="00D241E2"/>
    <w:rsid w:val="00D24C84"/>
    <w:rsid w:val="00D255C2"/>
    <w:rsid w:val="00D25BDA"/>
    <w:rsid w:val="00D264DE"/>
    <w:rsid w:val="00D27080"/>
    <w:rsid w:val="00D272B7"/>
    <w:rsid w:val="00D27E4E"/>
    <w:rsid w:val="00D3004E"/>
    <w:rsid w:val="00D303EB"/>
    <w:rsid w:val="00D31252"/>
    <w:rsid w:val="00D317E4"/>
    <w:rsid w:val="00D318A0"/>
    <w:rsid w:val="00D31946"/>
    <w:rsid w:val="00D327CE"/>
    <w:rsid w:val="00D3390D"/>
    <w:rsid w:val="00D34CF9"/>
    <w:rsid w:val="00D35122"/>
    <w:rsid w:val="00D357BA"/>
    <w:rsid w:val="00D3581E"/>
    <w:rsid w:val="00D35A1C"/>
    <w:rsid w:val="00D35A3A"/>
    <w:rsid w:val="00D35AA5"/>
    <w:rsid w:val="00D35DB6"/>
    <w:rsid w:val="00D36454"/>
    <w:rsid w:val="00D3671D"/>
    <w:rsid w:val="00D368B6"/>
    <w:rsid w:val="00D36D09"/>
    <w:rsid w:val="00D37740"/>
    <w:rsid w:val="00D40060"/>
    <w:rsid w:val="00D408D5"/>
    <w:rsid w:val="00D40AF7"/>
    <w:rsid w:val="00D40F08"/>
    <w:rsid w:val="00D40F1E"/>
    <w:rsid w:val="00D41016"/>
    <w:rsid w:val="00D41380"/>
    <w:rsid w:val="00D42016"/>
    <w:rsid w:val="00D42975"/>
    <w:rsid w:val="00D42A94"/>
    <w:rsid w:val="00D43296"/>
    <w:rsid w:val="00D438A7"/>
    <w:rsid w:val="00D439EF"/>
    <w:rsid w:val="00D43D15"/>
    <w:rsid w:val="00D442EF"/>
    <w:rsid w:val="00D44885"/>
    <w:rsid w:val="00D44C26"/>
    <w:rsid w:val="00D451CC"/>
    <w:rsid w:val="00D451EF"/>
    <w:rsid w:val="00D45281"/>
    <w:rsid w:val="00D455F3"/>
    <w:rsid w:val="00D4591B"/>
    <w:rsid w:val="00D45E73"/>
    <w:rsid w:val="00D45E7C"/>
    <w:rsid w:val="00D460A2"/>
    <w:rsid w:val="00D46213"/>
    <w:rsid w:val="00D469A6"/>
    <w:rsid w:val="00D46BA3"/>
    <w:rsid w:val="00D46D3B"/>
    <w:rsid w:val="00D475F5"/>
    <w:rsid w:val="00D5015F"/>
    <w:rsid w:val="00D50675"/>
    <w:rsid w:val="00D50D85"/>
    <w:rsid w:val="00D51027"/>
    <w:rsid w:val="00D5182E"/>
    <w:rsid w:val="00D519D8"/>
    <w:rsid w:val="00D519DD"/>
    <w:rsid w:val="00D51B1B"/>
    <w:rsid w:val="00D51C70"/>
    <w:rsid w:val="00D51CCF"/>
    <w:rsid w:val="00D52107"/>
    <w:rsid w:val="00D52A93"/>
    <w:rsid w:val="00D52CF6"/>
    <w:rsid w:val="00D535FD"/>
    <w:rsid w:val="00D536C4"/>
    <w:rsid w:val="00D54761"/>
    <w:rsid w:val="00D56232"/>
    <w:rsid w:val="00D56605"/>
    <w:rsid w:val="00D5677E"/>
    <w:rsid w:val="00D56A20"/>
    <w:rsid w:val="00D57E7F"/>
    <w:rsid w:val="00D601ED"/>
    <w:rsid w:val="00D60390"/>
    <w:rsid w:val="00D606CA"/>
    <w:rsid w:val="00D60E03"/>
    <w:rsid w:val="00D60E77"/>
    <w:rsid w:val="00D60F27"/>
    <w:rsid w:val="00D61BD4"/>
    <w:rsid w:val="00D61BE5"/>
    <w:rsid w:val="00D61F84"/>
    <w:rsid w:val="00D62BCF"/>
    <w:rsid w:val="00D62F7E"/>
    <w:rsid w:val="00D634F6"/>
    <w:rsid w:val="00D63A5A"/>
    <w:rsid w:val="00D64478"/>
    <w:rsid w:val="00D647D1"/>
    <w:rsid w:val="00D6487D"/>
    <w:rsid w:val="00D64BA9"/>
    <w:rsid w:val="00D6671B"/>
    <w:rsid w:val="00D668E3"/>
    <w:rsid w:val="00D66BF9"/>
    <w:rsid w:val="00D66EEA"/>
    <w:rsid w:val="00D67F3B"/>
    <w:rsid w:val="00D716DE"/>
    <w:rsid w:val="00D717A0"/>
    <w:rsid w:val="00D7182D"/>
    <w:rsid w:val="00D71C41"/>
    <w:rsid w:val="00D71D04"/>
    <w:rsid w:val="00D72F4C"/>
    <w:rsid w:val="00D731B7"/>
    <w:rsid w:val="00D73254"/>
    <w:rsid w:val="00D736A2"/>
    <w:rsid w:val="00D738A3"/>
    <w:rsid w:val="00D73C00"/>
    <w:rsid w:val="00D745E7"/>
    <w:rsid w:val="00D75116"/>
    <w:rsid w:val="00D75161"/>
    <w:rsid w:val="00D754A8"/>
    <w:rsid w:val="00D7691A"/>
    <w:rsid w:val="00D76E0D"/>
    <w:rsid w:val="00D76FE6"/>
    <w:rsid w:val="00D77762"/>
    <w:rsid w:val="00D77B97"/>
    <w:rsid w:val="00D800BB"/>
    <w:rsid w:val="00D80329"/>
    <w:rsid w:val="00D8048B"/>
    <w:rsid w:val="00D804E3"/>
    <w:rsid w:val="00D80604"/>
    <w:rsid w:val="00D8106B"/>
    <w:rsid w:val="00D81333"/>
    <w:rsid w:val="00D81DC2"/>
    <w:rsid w:val="00D81FEE"/>
    <w:rsid w:val="00D824B9"/>
    <w:rsid w:val="00D824C6"/>
    <w:rsid w:val="00D8299E"/>
    <w:rsid w:val="00D829EF"/>
    <w:rsid w:val="00D82B30"/>
    <w:rsid w:val="00D82C26"/>
    <w:rsid w:val="00D84853"/>
    <w:rsid w:val="00D849EA"/>
    <w:rsid w:val="00D84C00"/>
    <w:rsid w:val="00D84E8C"/>
    <w:rsid w:val="00D85070"/>
    <w:rsid w:val="00D851BE"/>
    <w:rsid w:val="00D85C17"/>
    <w:rsid w:val="00D869EB"/>
    <w:rsid w:val="00D86B10"/>
    <w:rsid w:val="00D876AD"/>
    <w:rsid w:val="00D90CA4"/>
    <w:rsid w:val="00D90EC7"/>
    <w:rsid w:val="00D90F4C"/>
    <w:rsid w:val="00D91B4E"/>
    <w:rsid w:val="00D92EFF"/>
    <w:rsid w:val="00D9382C"/>
    <w:rsid w:val="00D93845"/>
    <w:rsid w:val="00D93A49"/>
    <w:rsid w:val="00D93A5B"/>
    <w:rsid w:val="00D93E3A"/>
    <w:rsid w:val="00D9436E"/>
    <w:rsid w:val="00D95823"/>
    <w:rsid w:val="00D95CE5"/>
    <w:rsid w:val="00D96223"/>
    <w:rsid w:val="00D9646F"/>
    <w:rsid w:val="00D97251"/>
    <w:rsid w:val="00D9742C"/>
    <w:rsid w:val="00D9799A"/>
    <w:rsid w:val="00D97A8F"/>
    <w:rsid w:val="00DA0336"/>
    <w:rsid w:val="00DA080E"/>
    <w:rsid w:val="00DA09C5"/>
    <w:rsid w:val="00DA0AC9"/>
    <w:rsid w:val="00DA169D"/>
    <w:rsid w:val="00DA198B"/>
    <w:rsid w:val="00DA1F74"/>
    <w:rsid w:val="00DA332E"/>
    <w:rsid w:val="00DA4CCD"/>
    <w:rsid w:val="00DA5951"/>
    <w:rsid w:val="00DA5A38"/>
    <w:rsid w:val="00DA5B8C"/>
    <w:rsid w:val="00DA695E"/>
    <w:rsid w:val="00DA6BFE"/>
    <w:rsid w:val="00DA7DA8"/>
    <w:rsid w:val="00DB0148"/>
    <w:rsid w:val="00DB04E1"/>
    <w:rsid w:val="00DB0E52"/>
    <w:rsid w:val="00DB1AB9"/>
    <w:rsid w:val="00DB1FE8"/>
    <w:rsid w:val="00DB21F2"/>
    <w:rsid w:val="00DB2A78"/>
    <w:rsid w:val="00DB3AC9"/>
    <w:rsid w:val="00DB3DBB"/>
    <w:rsid w:val="00DB6B35"/>
    <w:rsid w:val="00DB6F65"/>
    <w:rsid w:val="00DB7207"/>
    <w:rsid w:val="00DB7BFE"/>
    <w:rsid w:val="00DC01F2"/>
    <w:rsid w:val="00DC02FB"/>
    <w:rsid w:val="00DC1531"/>
    <w:rsid w:val="00DC1728"/>
    <w:rsid w:val="00DC1B68"/>
    <w:rsid w:val="00DC21BD"/>
    <w:rsid w:val="00DC2AED"/>
    <w:rsid w:val="00DC2B67"/>
    <w:rsid w:val="00DC3D6F"/>
    <w:rsid w:val="00DC3ED5"/>
    <w:rsid w:val="00DC4768"/>
    <w:rsid w:val="00DC4D6C"/>
    <w:rsid w:val="00DC5A1C"/>
    <w:rsid w:val="00DC6820"/>
    <w:rsid w:val="00DC694F"/>
    <w:rsid w:val="00DC6AA6"/>
    <w:rsid w:val="00DC6BC0"/>
    <w:rsid w:val="00DC7012"/>
    <w:rsid w:val="00DC74A7"/>
    <w:rsid w:val="00DC7883"/>
    <w:rsid w:val="00DC79F1"/>
    <w:rsid w:val="00DD0415"/>
    <w:rsid w:val="00DD0968"/>
    <w:rsid w:val="00DD0A0D"/>
    <w:rsid w:val="00DD1BBF"/>
    <w:rsid w:val="00DD240E"/>
    <w:rsid w:val="00DD2896"/>
    <w:rsid w:val="00DD346B"/>
    <w:rsid w:val="00DD3633"/>
    <w:rsid w:val="00DD3914"/>
    <w:rsid w:val="00DD43B2"/>
    <w:rsid w:val="00DD4445"/>
    <w:rsid w:val="00DD4A05"/>
    <w:rsid w:val="00DD4D92"/>
    <w:rsid w:val="00DD51E4"/>
    <w:rsid w:val="00DD5A8A"/>
    <w:rsid w:val="00DD5C15"/>
    <w:rsid w:val="00DD5E29"/>
    <w:rsid w:val="00DD6ACA"/>
    <w:rsid w:val="00DD6B88"/>
    <w:rsid w:val="00DE041D"/>
    <w:rsid w:val="00DE0643"/>
    <w:rsid w:val="00DE0708"/>
    <w:rsid w:val="00DE090B"/>
    <w:rsid w:val="00DE0B53"/>
    <w:rsid w:val="00DE184F"/>
    <w:rsid w:val="00DE3850"/>
    <w:rsid w:val="00DE3DF2"/>
    <w:rsid w:val="00DE47F7"/>
    <w:rsid w:val="00DE483E"/>
    <w:rsid w:val="00DE4EA3"/>
    <w:rsid w:val="00DE4F1F"/>
    <w:rsid w:val="00DE530C"/>
    <w:rsid w:val="00DE5508"/>
    <w:rsid w:val="00DE5D2E"/>
    <w:rsid w:val="00DE6685"/>
    <w:rsid w:val="00DE6D85"/>
    <w:rsid w:val="00DE6F89"/>
    <w:rsid w:val="00DE706C"/>
    <w:rsid w:val="00DE7755"/>
    <w:rsid w:val="00DE7A64"/>
    <w:rsid w:val="00DE7C04"/>
    <w:rsid w:val="00DF0473"/>
    <w:rsid w:val="00DF06C4"/>
    <w:rsid w:val="00DF1254"/>
    <w:rsid w:val="00DF1D26"/>
    <w:rsid w:val="00DF201D"/>
    <w:rsid w:val="00DF42D7"/>
    <w:rsid w:val="00DF435A"/>
    <w:rsid w:val="00DF43A4"/>
    <w:rsid w:val="00DF4B7B"/>
    <w:rsid w:val="00DF4BCC"/>
    <w:rsid w:val="00DF4C64"/>
    <w:rsid w:val="00DF618C"/>
    <w:rsid w:val="00DF62A5"/>
    <w:rsid w:val="00DF7663"/>
    <w:rsid w:val="00DF7759"/>
    <w:rsid w:val="00DF7C94"/>
    <w:rsid w:val="00DF7D7B"/>
    <w:rsid w:val="00E001D2"/>
    <w:rsid w:val="00E002EB"/>
    <w:rsid w:val="00E0058A"/>
    <w:rsid w:val="00E00C76"/>
    <w:rsid w:val="00E01B1E"/>
    <w:rsid w:val="00E02014"/>
    <w:rsid w:val="00E02064"/>
    <w:rsid w:val="00E020DF"/>
    <w:rsid w:val="00E024EE"/>
    <w:rsid w:val="00E02557"/>
    <w:rsid w:val="00E02C27"/>
    <w:rsid w:val="00E030B1"/>
    <w:rsid w:val="00E03265"/>
    <w:rsid w:val="00E038BE"/>
    <w:rsid w:val="00E03A96"/>
    <w:rsid w:val="00E044E0"/>
    <w:rsid w:val="00E04847"/>
    <w:rsid w:val="00E04BBA"/>
    <w:rsid w:val="00E04EBC"/>
    <w:rsid w:val="00E0521D"/>
    <w:rsid w:val="00E05437"/>
    <w:rsid w:val="00E05757"/>
    <w:rsid w:val="00E05760"/>
    <w:rsid w:val="00E05E31"/>
    <w:rsid w:val="00E065DE"/>
    <w:rsid w:val="00E075C4"/>
    <w:rsid w:val="00E1010E"/>
    <w:rsid w:val="00E1035B"/>
    <w:rsid w:val="00E10827"/>
    <w:rsid w:val="00E10AD3"/>
    <w:rsid w:val="00E10FF2"/>
    <w:rsid w:val="00E112E2"/>
    <w:rsid w:val="00E117C8"/>
    <w:rsid w:val="00E11B09"/>
    <w:rsid w:val="00E12365"/>
    <w:rsid w:val="00E12711"/>
    <w:rsid w:val="00E13D0C"/>
    <w:rsid w:val="00E13EF2"/>
    <w:rsid w:val="00E14B5C"/>
    <w:rsid w:val="00E152CB"/>
    <w:rsid w:val="00E157CD"/>
    <w:rsid w:val="00E15BFC"/>
    <w:rsid w:val="00E173C8"/>
    <w:rsid w:val="00E17627"/>
    <w:rsid w:val="00E176D4"/>
    <w:rsid w:val="00E17975"/>
    <w:rsid w:val="00E17EF2"/>
    <w:rsid w:val="00E20C3F"/>
    <w:rsid w:val="00E20D3E"/>
    <w:rsid w:val="00E210C8"/>
    <w:rsid w:val="00E21B90"/>
    <w:rsid w:val="00E22505"/>
    <w:rsid w:val="00E236A4"/>
    <w:rsid w:val="00E23932"/>
    <w:rsid w:val="00E23BEC"/>
    <w:rsid w:val="00E24597"/>
    <w:rsid w:val="00E248CE"/>
    <w:rsid w:val="00E24DCE"/>
    <w:rsid w:val="00E250B7"/>
    <w:rsid w:val="00E2528C"/>
    <w:rsid w:val="00E252EB"/>
    <w:rsid w:val="00E255DE"/>
    <w:rsid w:val="00E25B28"/>
    <w:rsid w:val="00E2637A"/>
    <w:rsid w:val="00E26E5B"/>
    <w:rsid w:val="00E2711F"/>
    <w:rsid w:val="00E27291"/>
    <w:rsid w:val="00E308FA"/>
    <w:rsid w:val="00E30A5B"/>
    <w:rsid w:val="00E31135"/>
    <w:rsid w:val="00E31505"/>
    <w:rsid w:val="00E31CE3"/>
    <w:rsid w:val="00E31D06"/>
    <w:rsid w:val="00E32584"/>
    <w:rsid w:val="00E32E5E"/>
    <w:rsid w:val="00E3328D"/>
    <w:rsid w:val="00E337CC"/>
    <w:rsid w:val="00E337E1"/>
    <w:rsid w:val="00E348BF"/>
    <w:rsid w:val="00E34D1F"/>
    <w:rsid w:val="00E34F3E"/>
    <w:rsid w:val="00E362A7"/>
    <w:rsid w:val="00E36452"/>
    <w:rsid w:val="00E365CE"/>
    <w:rsid w:val="00E36624"/>
    <w:rsid w:val="00E36976"/>
    <w:rsid w:val="00E3709C"/>
    <w:rsid w:val="00E3792D"/>
    <w:rsid w:val="00E37F22"/>
    <w:rsid w:val="00E4020C"/>
    <w:rsid w:val="00E40445"/>
    <w:rsid w:val="00E40713"/>
    <w:rsid w:val="00E40DE3"/>
    <w:rsid w:val="00E4128C"/>
    <w:rsid w:val="00E4138A"/>
    <w:rsid w:val="00E419CB"/>
    <w:rsid w:val="00E420F9"/>
    <w:rsid w:val="00E42272"/>
    <w:rsid w:val="00E42B05"/>
    <w:rsid w:val="00E42D43"/>
    <w:rsid w:val="00E434D6"/>
    <w:rsid w:val="00E45127"/>
    <w:rsid w:val="00E45781"/>
    <w:rsid w:val="00E458B7"/>
    <w:rsid w:val="00E45C3F"/>
    <w:rsid w:val="00E45DE6"/>
    <w:rsid w:val="00E45E12"/>
    <w:rsid w:val="00E46133"/>
    <w:rsid w:val="00E467C5"/>
    <w:rsid w:val="00E46D42"/>
    <w:rsid w:val="00E47410"/>
    <w:rsid w:val="00E47AAD"/>
    <w:rsid w:val="00E50391"/>
    <w:rsid w:val="00E50660"/>
    <w:rsid w:val="00E50AEF"/>
    <w:rsid w:val="00E50B3E"/>
    <w:rsid w:val="00E5101D"/>
    <w:rsid w:val="00E513E0"/>
    <w:rsid w:val="00E519B1"/>
    <w:rsid w:val="00E51A8A"/>
    <w:rsid w:val="00E52AB7"/>
    <w:rsid w:val="00E52DCD"/>
    <w:rsid w:val="00E53628"/>
    <w:rsid w:val="00E53813"/>
    <w:rsid w:val="00E54255"/>
    <w:rsid w:val="00E54467"/>
    <w:rsid w:val="00E54659"/>
    <w:rsid w:val="00E54AC4"/>
    <w:rsid w:val="00E54C62"/>
    <w:rsid w:val="00E55B6C"/>
    <w:rsid w:val="00E55F61"/>
    <w:rsid w:val="00E5646A"/>
    <w:rsid w:val="00E57160"/>
    <w:rsid w:val="00E57753"/>
    <w:rsid w:val="00E57832"/>
    <w:rsid w:val="00E5797C"/>
    <w:rsid w:val="00E57E05"/>
    <w:rsid w:val="00E57F5D"/>
    <w:rsid w:val="00E60383"/>
    <w:rsid w:val="00E606DC"/>
    <w:rsid w:val="00E6083F"/>
    <w:rsid w:val="00E60A2D"/>
    <w:rsid w:val="00E60A5B"/>
    <w:rsid w:val="00E613F9"/>
    <w:rsid w:val="00E6178A"/>
    <w:rsid w:val="00E6182D"/>
    <w:rsid w:val="00E62058"/>
    <w:rsid w:val="00E63FF6"/>
    <w:rsid w:val="00E65054"/>
    <w:rsid w:val="00E65287"/>
    <w:rsid w:val="00E6549C"/>
    <w:rsid w:val="00E65A31"/>
    <w:rsid w:val="00E65AEF"/>
    <w:rsid w:val="00E65B50"/>
    <w:rsid w:val="00E65F80"/>
    <w:rsid w:val="00E6685A"/>
    <w:rsid w:val="00E66C88"/>
    <w:rsid w:val="00E674C0"/>
    <w:rsid w:val="00E677E6"/>
    <w:rsid w:val="00E67CF7"/>
    <w:rsid w:val="00E70621"/>
    <w:rsid w:val="00E70DE3"/>
    <w:rsid w:val="00E7164B"/>
    <w:rsid w:val="00E71AC9"/>
    <w:rsid w:val="00E73AA9"/>
    <w:rsid w:val="00E73FAC"/>
    <w:rsid w:val="00E74087"/>
    <w:rsid w:val="00E744A6"/>
    <w:rsid w:val="00E749B6"/>
    <w:rsid w:val="00E749FE"/>
    <w:rsid w:val="00E74A17"/>
    <w:rsid w:val="00E752AC"/>
    <w:rsid w:val="00E75767"/>
    <w:rsid w:val="00E76036"/>
    <w:rsid w:val="00E76685"/>
    <w:rsid w:val="00E76D55"/>
    <w:rsid w:val="00E77598"/>
    <w:rsid w:val="00E7761F"/>
    <w:rsid w:val="00E77718"/>
    <w:rsid w:val="00E77721"/>
    <w:rsid w:val="00E801C5"/>
    <w:rsid w:val="00E8020C"/>
    <w:rsid w:val="00E805E1"/>
    <w:rsid w:val="00E80F53"/>
    <w:rsid w:val="00E81060"/>
    <w:rsid w:val="00E810C6"/>
    <w:rsid w:val="00E81365"/>
    <w:rsid w:val="00E813BA"/>
    <w:rsid w:val="00E8144E"/>
    <w:rsid w:val="00E8195D"/>
    <w:rsid w:val="00E81C50"/>
    <w:rsid w:val="00E828E9"/>
    <w:rsid w:val="00E82E04"/>
    <w:rsid w:val="00E830A8"/>
    <w:rsid w:val="00E83C89"/>
    <w:rsid w:val="00E843F0"/>
    <w:rsid w:val="00E84A5E"/>
    <w:rsid w:val="00E851FE"/>
    <w:rsid w:val="00E85526"/>
    <w:rsid w:val="00E85F80"/>
    <w:rsid w:val="00E86970"/>
    <w:rsid w:val="00E86AB3"/>
    <w:rsid w:val="00E86B32"/>
    <w:rsid w:val="00E8772D"/>
    <w:rsid w:val="00E90DD0"/>
    <w:rsid w:val="00E90F81"/>
    <w:rsid w:val="00E916F3"/>
    <w:rsid w:val="00E91950"/>
    <w:rsid w:val="00E919CF"/>
    <w:rsid w:val="00E91ABA"/>
    <w:rsid w:val="00E91BCF"/>
    <w:rsid w:val="00E91EAA"/>
    <w:rsid w:val="00E920C5"/>
    <w:rsid w:val="00E93743"/>
    <w:rsid w:val="00E93E5B"/>
    <w:rsid w:val="00E9469F"/>
    <w:rsid w:val="00E94B5E"/>
    <w:rsid w:val="00E94E31"/>
    <w:rsid w:val="00E95061"/>
    <w:rsid w:val="00E950D6"/>
    <w:rsid w:val="00E96373"/>
    <w:rsid w:val="00E96A16"/>
    <w:rsid w:val="00E9747C"/>
    <w:rsid w:val="00E975A2"/>
    <w:rsid w:val="00E975F8"/>
    <w:rsid w:val="00E978D7"/>
    <w:rsid w:val="00E97AEB"/>
    <w:rsid w:val="00E97BE7"/>
    <w:rsid w:val="00E97DD3"/>
    <w:rsid w:val="00E9E4D0"/>
    <w:rsid w:val="00EA06B2"/>
    <w:rsid w:val="00EA0994"/>
    <w:rsid w:val="00EA09D3"/>
    <w:rsid w:val="00EA147C"/>
    <w:rsid w:val="00EA1569"/>
    <w:rsid w:val="00EA2003"/>
    <w:rsid w:val="00EA2840"/>
    <w:rsid w:val="00EA33CE"/>
    <w:rsid w:val="00EA3681"/>
    <w:rsid w:val="00EA3A47"/>
    <w:rsid w:val="00EA3B36"/>
    <w:rsid w:val="00EA45BC"/>
    <w:rsid w:val="00EA47C5"/>
    <w:rsid w:val="00EA49FA"/>
    <w:rsid w:val="00EA540D"/>
    <w:rsid w:val="00EA5784"/>
    <w:rsid w:val="00EA5B8C"/>
    <w:rsid w:val="00EA5F4F"/>
    <w:rsid w:val="00EA6098"/>
    <w:rsid w:val="00EA62A9"/>
    <w:rsid w:val="00EA6888"/>
    <w:rsid w:val="00EA6A1C"/>
    <w:rsid w:val="00EA6BF7"/>
    <w:rsid w:val="00EA75CF"/>
    <w:rsid w:val="00EA765B"/>
    <w:rsid w:val="00EA76FA"/>
    <w:rsid w:val="00EA7D98"/>
    <w:rsid w:val="00EB0F6B"/>
    <w:rsid w:val="00EB11C7"/>
    <w:rsid w:val="00EB2103"/>
    <w:rsid w:val="00EB24D4"/>
    <w:rsid w:val="00EB255A"/>
    <w:rsid w:val="00EB27F9"/>
    <w:rsid w:val="00EB29E3"/>
    <w:rsid w:val="00EB2AF8"/>
    <w:rsid w:val="00EB2DF5"/>
    <w:rsid w:val="00EB30B6"/>
    <w:rsid w:val="00EB33AF"/>
    <w:rsid w:val="00EB423F"/>
    <w:rsid w:val="00EB49FB"/>
    <w:rsid w:val="00EB4ADB"/>
    <w:rsid w:val="00EB4B11"/>
    <w:rsid w:val="00EB4CD2"/>
    <w:rsid w:val="00EB4ECD"/>
    <w:rsid w:val="00EB6361"/>
    <w:rsid w:val="00EB653F"/>
    <w:rsid w:val="00EB69D8"/>
    <w:rsid w:val="00EB76A9"/>
    <w:rsid w:val="00EC07BA"/>
    <w:rsid w:val="00EC0950"/>
    <w:rsid w:val="00EC0999"/>
    <w:rsid w:val="00EC0A4A"/>
    <w:rsid w:val="00EC0F9B"/>
    <w:rsid w:val="00EC127F"/>
    <w:rsid w:val="00EC3027"/>
    <w:rsid w:val="00EC3963"/>
    <w:rsid w:val="00EC3B9D"/>
    <w:rsid w:val="00EC4BA9"/>
    <w:rsid w:val="00EC53F6"/>
    <w:rsid w:val="00EC5865"/>
    <w:rsid w:val="00EC597C"/>
    <w:rsid w:val="00EC61C9"/>
    <w:rsid w:val="00EC62C7"/>
    <w:rsid w:val="00EC62FB"/>
    <w:rsid w:val="00EC66DD"/>
    <w:rsid w:val="00EC691F"/>
    <w:rsid w:val="00EC7469"/>
    <w:rsid w:val="00EC767E"/>
    <w:rsid w:val="00EC7C96"/>
    <w:rsid w:val="00ED0749"/>
    <w:rsid w:val="00ED0A65"/>
    <w:rsid w:val="00ED0AAB"/>
    <w:rsid w:val="00ED0AD5"/>
    <w:rsid w:val="00ED1253"/>
    <w:rsid w:val="00ED1782"/>
    <w:rsid w:val="00ED1EE3"/>
    <w:rsid w:val="00ED2BC4"/>
    <w:rsid w:val="00ED304F"/>
    <w:rsid w:val="00ED354D"/>
    <w:rsid w:val="00ED405B"/>
    <w:rsid w:val="00ED4325"/>
    <w:rsid w:val="00ED5BAC"/>
    <w:rsid w:val="00ED65C3"/>
    <w:rsid w:val="00ED699C"/>
    <w:rsid w:val="00ED7CD1"/>
    <w:rsid w:val="00EE085A"/>
    <w:rsid w:val="00EE0BED"/>
    <w:rsid w:val="00EE0E65"/>
    <w:rsid w:val="00EE0EC8"/>
    <w:rsid w:val="00EE1DCE"/>
    <w:rsid w:val="00EE2CA5"/>
    <w:rsid w:val="00EE41C1"/>
    <w:rsid w:val="00EE43D5"/>
    <w:rsid w:val="00EE46A3"/>
    <w:rsid w:val="00EE494D"/>
    <w:rsid w:val="00EE4FD2"/>
    <w:rsid w:val="00EE5CCD"/>
    <w:rsid w:val="00EE66DA"/>
    <w:rsid w:val="00EE695F"/>
    <w:rsid w:val="00EE7F1D"/>
    <w:rsid w:val="00EF1067"/>
    <w:rsid w:val="00EF176B"/>
    <w:rsid w:val="00EF1FD3"/>
    <w:rsid w:val="00EF22FF"/>
    <w:rsid w:val="00EF270A"/>
    <w:rsid w:val="00EF2910"/>
    <w:rsid w:val="00EF293A"/>
    <w:rsid w:val="00EF2BDC"/>
    <w:rsid w:val="00EF38D7"/>
    <w:rsid w:val="00EF3B7E"/>
    <w:rsid w:val="00EF3B85"/>
    <w:rsid w:val="00EF4EDA"/>
    <w:rsid w:val="00EF56F5"/>
    <w:rsid w:val="00EF5B98"/>
    <w:rsid w:val="00EF604E"/>
    <w:rsid w:val="00EF63B1"/>
    <w:rsid w:val="00EF6BE2"/>
    <w:rsid w:val="00EF72DD"/>
    <w:rsid w:val="00F000A1"/>
    <w:rsid w:val="00F000B9"/>
    <w:rsid w:val="00F00353"/>
    <w:rsid w:val="00F00C75"/>
    <w:rsid w:val="00F016A7"/>
    <w:rsid w:val="00F01C66"/>
    <w:rsid w:val="00F02020"/>
    <w:rsid w:val="00F02408"/>
    <w:rsid w:val="00F02541"/>
    <w:rsid w:val="00F02B58"/>
    <w:rsid w:val="00F03608"/>
    <w:rsid w:val="00F03672"/>
    <w:rsid w:val="00F036C4"/>
    <w:rsid w:val="00F03F93"/>
    <w:rsid w:val="00F04558"/>
    <w:rsid w:val="00F04D6E"/>
    <w:rsid w:val="00F04F98"/>
    <w:rsid w:val="00F0641B"/>
    <w:rsid w:val="00F06797"/>
    <w:rsid w:val="00F0698F"/>
    <w:rsid w:val="00F071F1"/>
    <w:rsid w:val="00F0738E"/>
    <w:rsid w:val="00F07EAC"/>
    <w:rsid w:val="00F10037"/>
    <w:rsid w:val="00F10446"/>
    <w:rsid w:val="00F10536"/>
    <w:rsid w:val="00F10562"/>
    <w:rsid w:val="00F107D0"/>
    <w:rsid w:val="00F10894"/>
    <w:rsid w:val="00F10E8F"/>
    <w:rsid w:val="00F116E1"/>
    <w:rsid w:val="00F119E9"/>
    <w:rsid w:val="00F11C31"/>
    <w:rsid w:val="00F1200E"/>
    <w:rsid w:val="00F1252E"/>
    <w:rsid w:val="00F12909"/>
    <w:rsid w:val="00F129D4"/>
    <w:rsid w:val="00F12A45"/>
    <w:rsid w:val="00F13EBB"/>
    <w:rsid w:val="00F14321"/>
    <w:rsid w:val="00F1440E"/>
    <w:rsid w:val="00F147BE"/>
    <w:rsid w:val="00F150B5"/>
    <w:rsid w:val="00F151DD"/>
    <w:rsid w:val="00F15D7C"/>
    <w:rsid w:val="00F162D5"/>
    <w:rsid w:val="00F163BB"/>
    <w:rsid w:val="00F205E8"/>
    <w:rsid w:val="00F20701"/>
    <w:rsid w:val="00F20E9A"/>
    <w:rsid w:val="00F21323"/>
    <w:rsid w:val="00F21662"/>
    <w:rsid w:val="00F22A4D"/>
    <w:rsid w:val="00F23ACF"/>
    <w:rsid w:val="00F2424D"/>
    <w:rsid w:val="00F24813"/>
    <w:rsid w:val="00F25460"/>
    <w:rsid w:val="00F25F39"/>
    <w:rsid w:val="00F265DE"/>
    <w:rsid w:val="00F2779F"/>
    <w:rsid w:val="00F27AAD"/>
    <w:rsid w:val="00F27BF4"/>
    <w:rsid w:val="00F27F7A"/>
    <w:rsid w:val="00F30D87"/>
    <w:rsid w:val="00F30F0F"/>
    <w:rsid w:val="00F31882"/>
    <w:rsid w:val="00F319AE"/>
    <w:rsid w:val="00F34874"/>
    <w:rsid w:val="00F3524C"/>
    <w:rsid w:val="00F35832"/>
    <w:rsid w:val="00F35FF1"/>
    <w:rsid w:val="00F36F18"/>
    <w:rsid w:val="00F37A27"/>
    <w:rsid w:val="00F37BF9"/>
    <w:rsid w:val="00F37D22"/>
    <w:rsid w:val="00F37DCD"/>
    <w:rsid w:val="00F405DC"/>
    <w:rsid w:val="00F40EC3"/>
    <w:rsid w:val="00F41A67"/>
    <w:rsid w:val="00F41B32"/>
    <w:rsid w:val="00F41BD5"/>
    <w:rsid w:val="00F421A7"/>
    <w:rsid w:val="00F43C04"/>
    <w:rsid w:val="00F43F34"/>
    <w:rsid w:val="00F442A0"/>
    <w:rsid w:val="00F44E14"/>
    <w:rsid w:val="00F450F9"/>
    <w:rsid w:val="00F455BF"/>
    <w:rsid w:val="00F457E5"/>
    <w:rsid w:val="00F45F39"/>
    <w:rsid w:val="00F465DD"/>
    <w:rsid w:val="00F4675A"/>
    <w:rsid w:val="00F47332"/>
    <w:rsid w:val="00F474E2"/>
    <w:rsid w:val="00F474F8"/>
    <w:rsid w:val="00F4781B"/>
    <w:rsid w:val="00F50BBF"/>
    <w:rsid w:val="00F51641"/>
    <w:rsid w:val="00F518C5"/>
    <w:rsid w:val="00F51D60"/>
    <w:rsid w:val="00F52063"/>
    <w:rsid w:val="00F52CFD"/>
    <w:rsid w:val="00F5301D"/>
    <w:rsid w:val="00F532F1"/>
    <w:rsid w:val="00F53597"/>
    <w:rsid w:val="00F53AF0"/>
    <w:rsid w:val="00F54197"/>
    <w:rsid w:val="00F552B1"/>
    <w:rsid w:val="00F555B1"/>
    <w:rsid w:val="00F56417"/>
    <w:rsid w:val="00F56444"/>
    <w:rsid w:val="00F56613"/>
    <w:rsid w:val="00F5771A"/>
    <w:rsid w:val="00F609E6"/>
    <w:rsid w:val="00F60DB3"/>
    <w:rsid w:val="00F60E00"/>
    <w:rsid w:val="00F6113E"/>
    <w:rsid w:val="00F61700"/>
    <w:rsid w:val="00F62312"/>
    <w:rsid w:val="00F62AED"/>
    <w:rsid w:val="00F62C19"/>
    <w:rsid w:val="00F62F43"/>
    <w:rsid w:val="00F6351C"/>
    <w:rsid w:val="00F63773"/>
    <w:rsid w:val="00F641E8"/>
    <w:rsid w:val="00F64266"/>
    <w:rsid w:val="00F647C6"/>
    <w:rsid w:val="00F64903"/>
    <w:rsid w:val="00F64C34"/>
    <w:rsid w:val="00F6514C"/>
    <w:rsid w:val="00F660D3"/>
    <w:rsid w:val="00F660F5"/>
    <w:rsid w:val="00F66DD4"/>
    <w:rsid w:val="00F67B43"/>
    <w:rsid w:val="00F702E3"/>
    <w:rsid w:val="00F70A08"/>
    <w:rsid w:val="00F714B4"/>
    <w:rsid w:val="00F71627"/>
    <w:rsid w:val="00F71C43"/>
    <w:rsid w:val="00F7208C"/>
    <w:rsid w:val="00F7262B"/>
    <w:rsid w:val="00F727F6"/>
    <w:rsid w:val="00F72D06"/>
    <w:rsid w:val="00F72DE0"/>
    <w:rsid w:val="00F72E64"/>
    <w:rsid w:val="00F73063"/>
    <w:rsid w:val="00F73092"/>
    <w:rsid w:val="00F730AF"/>
    <w:rsid w:val="00F737C0"/>
    <w:rsid w:val="00F73857"/>
    <w:rsid w:val="00F74355"/>
    <w:rsid w:val="00F743A7"/>
    <w:rsid w:val="00F74D42"/>
    <w:rsid w:val="00F7500D"/>
    <w:rsid w:val="00F7547F"/>
    <w:rsid w:val="00F75676"/>
    <w:rsid w:val="00F76217"/>
    <w:rsid w:val="00F7696B"/>
    <w:rsid w:val="00F77032"/>
    <w:rsid w:val="00F77752"/>
    <w:rsid w:val="00F8028A"/>
    <w:rsid w:val="00F80585"/>
    <w:rsid w:val="00F81CFC"/>
    <w:rsid w:val="00F81D1D"/>
    <w:rsid w:val="00F82A0D"/>
    <w:rsid w:val="00F82BC9"/>
    <w:rsid w:val="00F82D7B"/>
    <w:rsid w:val="00F83955"/>
    <w:rsid w:val="00F84A28"/>
    <w:rsid w:val="00F84BBB"/>
    <w:rsid w:val="00F8593D"/>
    <w:rsid w:val="00F86722"/>
    <w:rsid w:val="00F86A0B"/>
    <w:rsid w:val="00F86CA7"/>
    <w:rsid w:val="00F86D00"/>
    <w:rsid w:val="00F872AC"/>
    <w:rsid w:val="00F87DA6"/>
    <w:rsid w:val="00F87E73"/>
    <w:rsid w:val="00F9014C"/>
    <w:rsid w:val="00F901FB"/>
    <w:rsid w:val="00F9073C"/>
    <w:rsid w:val="00F90C7A"/>
    <w:rsid w:val="00F90E1C"/>
    <w:rsid w:val="00F90E4B"/>
    <w:rsid w:val="00F92299"/>
    <w:rsid w:val="00F93348"/>
    <w:rsid w:val="00F938AA"/>
    <w:rsid w:val="00F94AF7"/>
    <w:rsid w:val="00F951DB"/>
    <w:rsid w:val="00F96391"/>
    <w:rsid w:val="00F96761"/>
    <w:rsid w:val="00F96C1A"/>
    <w:rsid w:val="00F96C1F"/>
    <w:rsid w:val="00F96EC0"/>
    <w:rsid w:val="00F97421"/>
    <w:rsid w:val="00F97936"/>
    <w:rsid w:val="00F979A4"/>
    <w:rsid w:val="00FA0286"/>
    <w:rsid w:val="00FA06DA"/>
    <w:rsid w:val="00FA09F9"/>
    <w:rsid w:val="00FA0A99"/>
    <w:rsid w:val="00FA0AFB"/>
    <w:rsid w:val="00FA10ED"/>
    <w:rsid w:val="00FA146F"/>
    <w:rsid w:val="00FA1787"/>
    <w:rsid w:val="00FA1856"/>
    <w:rsid w:val="00FA1A21"/>
    <w:rsid w:val="00FA1E3D"/>
    <w:rsid w:val="00FA2693"/>
    <w:rsid w:val="00FA29E8"/>
    <w:rsid w:val="00FA2F28"/>
    <w:rsid w:val="00FA2F6A"/>
    <w:rsid w:val="00FA3719"/>
    <w:rsid w:val="00FA3A8B"/>
    <w:rsid w:val="00FA3C95"/>
    <w:rsid w:val="00FA4A22"/>
    <w:rsid w:val="00FA6034"/>
    <w:rsid w:val="00FA60D8"/>
    <w:rsid w:val="00FA63E3"/>
    <w:rsid w:val="00FA7196"/>
    <w:rsid w:val="00FA72E6"/>
    <w:rsid w:val="00FA757E"/>
    <w:rsid w:val="00FA76E0"/>
    <w:rsid w:val="00FB126D"/>
    <w:rsid w:val="00FB13E9"/>
    <w:rsid w:val="00FB16D6"/>
    <w:rsid w:val="00FB1B04"/>
    <w:rsid w:val="00FB1B78"/>
    <w:rsid w:val="00FB1C90"/>
    <w:rsid w:val="00FB2208"/>
    <w:rsid w:val="00FB2E70"/>
    <w:rsid w:val="00FB2F5A"/>
    <w:rsid w:val="00FB430E"/>
    <w:rsid w:val="00FB45A8"/>
    <w:rsid w:val="00FB5612"/>
    <w:rsid w:val="00FB5981"/>
    <w:rsid w:val="00FB5A09"/>
    <w:rsid w:val="00FB5FDD"/>
    <w:rsid w:val="00FB5FFB"/>
    <w:rsid w:val="00FB791D"/>
    <w:rsid w:val="00FC0011"/>
    <w:rsid w:val="00FC04B0"/>
    <w:rsid w:val="00FC097B"/>
    <w:rsid w:val="00FC15AC"/>
    <w:rsid w:val="00FC1F2A"/>
    <w:rsid w:val="00FC2467"/>
    <w:rsid w:val="00FC2773"/>
    <w:rsid w:val="00FC2B11"/>
    <w:rsid w:val="00FC2C34"/>
    <w:rsid w:val="00FC2E37"/>
    <w:rsid w:val="00FC325B"/>
    <w:rsid w:val="00FC3626"/>
    <w:rsid w:val="00FC39D3"/>
    <w:rsid w:val="00FC3A3C"/>
    <w:rsid w:val="00FC3E16"/>
    <w:rsid w:val="00FC3F46"/>
    <w:rsid w:val="00FC4496"/>
    <w:rsid w:val="00FC4989"/>
    <w:rsid w:val="00FC5024"/>
    <w:rsid w:val="00FC62FA"/>
    <w:rsid w:val="00FC68A9"/>
    <w:rsid w:val="00FC6B43"/>
    <w:rsid w:val="00FC6F14"/>
    <w:rsid w:val="00FC7091"/>
    <w:rsid w:val="00FC733F"/>
    <w:rsid w:val="00FC768F"/>
    <w:rsid w:val="00FC7743"/>
    <w:rsid w:val="00FD000A"/>
    <w:rsid w:val="00FD0310"/>
    <w:rsid w:val="00FD0361"/>
    <w:rsid w:val="00FD0365"/>
    <w:rsid w:val="00FD0809"/>
    <w:rsid w:val="00FD0A6B"/>
    <w:rsid w:val="00FD0C96"/>
    <w:rsid w:val="00FD0ED2"/>
    <w:rsid w:val="00FD11E8"/>
    <w:rsid w:val="00FD15B7"/>
    <w:rsid w:val="00FD15BD"/>
    <w:rsid w:val="00FD17BC"/>
    <w:rsid w:val="00FD17F5"/>
    <w:rsid w:val="00FD1CCE"/>
    <w:rsid w:val="00FD1FDA"/>
    <w:rsid w:val="00FD2023"/>
    <w:rsid w:val="00FD28EF"/>
    <w:rsid w:val="00FD2E84"/>
    <w:rsid w:val="00FD2F28"/>
    <w:rsid w:val="00FD3258"/>
    <w:rsid w:val="00FD33F0"/>
    <w:rsid w:val="00FD3A00"/>
    <w:rsid w:val="00FD4509"/>
    <w:rsid w:val="00FD47BB"/>
    <w:rsid w:val="00FD5DB8"/>
    <w:rsid w:val="00FD60AB"/>
    <w:rsid w:val="00FD614C"/>
    <w:rsid w:val="00FD6362"/>
    <w:rsid w:val="00FD6598"/>
    <w:rsid w:val="00FD692A"/>
    <w:rsid w:val="00FD6AA0"/>
    <w:rsid w:val="00FD6B18"/>
    <w:rsid w:val="00FD723A"/>
    <w:rsid w:val="00FD74B2"/>
    <w:rsid w:val="00FD7788"/>
    <w:rsid w:val="00FD792E"/>
    <w:rsid w:val="00FD797F"/>
    <w:rsid w:val="00FD79C5"/>
    <w:rsid w:val="00FD7B66"/>
    <w:rsid w:val="00FE060A"/>
    <w:rsid w:val="00FE0EAE"/>
    <w:rsid w:val="00FE0F35"/>
    <w:rsid w:val="00FE159F"/>
    <w:rsid w:val="00FE169D"/>
    <w:rsid w:val="00FE1798"/>
    <w:rsid w:val="00FE1CC0"/>
    <w:rsid w:val="00FE1D11"/>
    <w:rsid w:val="00FE271D"/>
    <w:rsid w:val="00FE3393"/>
    <w:rsid w:val="00FE3464"/>
    <w:rsid w:val="00FE3778"/>
    <w:rsid w:val="00FE40F2"/>
    <w:rsid w:val="00FE4827"/>
    <w:rsid w:val="00FE4B6C"/>
    <w:rsid w:val="00FE4B9E"/>
    <w:rsid w:val="00FE4EB1"/>
    <w:rsid w:val="00FE5525"/>
    <w:rsid w:val="00FE5BE7"/>
    <w:rsid w:val="00FE5F87"/>
    <w:rsid w:val="00FE64AB"/>
    <w:rsid w:val="00FE6756"/>
    <w:rsid w:val="00FE68B3"/>
    <w:rsid w:val="00FE6B21"/>
    <w:rsid w:val="00FE6E15"/>
    <w:rsid w:val="00FE6F97"/>
    <w:rsid w:val="00FE7268"/>
    <w:rsid w:val="00FE7486"/>
    <w:rsid w:val="00FF00BA"/>
    <w:rsid w:val="00FF01A9"/>
    <w:rsid w:val="00FF0540"/>
    <w:rsid w:val="00FF0550"/>
    <w:rsid w:val="00FF08D6"/>
    <w:rsid w:val="00FF098A"/>
    <w:rsid w:val="00FF0B57"/>
    <w:rsid w:val="00FF0EBC"/>
    <w:rsid w:val="00FF0F17"/>
    <w:rsid w:val="00FF2F0D"/>
    <w:rsid w:val="00FF3084"/>
    <w:rsid w:val="00FF319D"/>
    <w:rsid w:val="00FF3A9C"/>
    <w:rsid w:val="00FF3F61"/>
    <w:rsid w:val="00FF3FD1"/>
    <w:rsid w:val="00FF4095"/>
    <w:rsid w:val="00FF476D"/>
    <w:rsid w:val="00FF48A4"/>
    <w:rsid w:val="00FF498E"/>
    <w:rsid w:val="00FF51E5"/>
    <w:rsid w:val="00FF5808"/>
    <w:rsid w:val="00FF5D4F"/>
    <w:rsid w:val="00FF5D99"/>
    <w:rsid w:val="00FF6022"/>
    <w:rsid w:val="00FF79F8"/>
    <w:rsid w:val="00FF7D5A"/>
    <w:rsid w:val="00FF7DF8"/>
    <w:rsid w:val="00FF7E7A"/>
    <w:rsid w:val="010B3143"/>
    <w:rsid w:val="0132D8FF"/>
    <w:rsid w:val="0139020E"/>
    <w:rsid w:val="015A67BB"/>
    <w:rsid w:val="01968196"/>
    <w:rsid w:val="019839C7"/>
    <w:rsid w:val="019C2CA3"/>
    <w:rsid w:val="01A3E12A"/>
    <w:rsid w:val="01A8F412"/>
    <w:rsid w:val="01C9DB76"/>
    <w:rsid w:val="01D59768"/>
    <w:rsid w:val="01E73361"/>
    <w:rsid w:val="02089391"/>
    <w:rsid w:val="0213270F"/>
    <w:rsid w:val="0213A182"/>
    <w:rsid w:val="021A2936"/>
    <w:rsid w:val="022E965A"/>
    <w:rsid w:val="02458565"/>
    <w:rsid w:val="024E2619"/>
    <w:rsid w:val="026DE93B"/>
    <w:rsid w:val="027BCD1B"/>
    <w:rsid w:val="028D1CE6"/>
    <w:rsid w:val="02A3E28B"/>
    <w:rsid w:val="02E16C51"/>
    <w:rsid w:val="02E2FD70"/>
    <w:rsid w:val="02E5FC09"/>
    <w:rsid w:val="02F16C16"/>
    <w:rsid w:val="033F0B91"/>
    <w:rsid w:val="0366EB45"/>
    <w:rsid w:val="03718FC6"/>
    <w:rsid w:val="03773F92"/>
    <w:rsid w:val="037FE51E"/>
    <w:rsid w:val="038DC232"/>
    <w:rsid w:val="03BD9AE7"/>
    <w:rsid w:val="04053985"/>
    <w:rsid w:val="04435C5B"/>
    <w:rsid w:val="044682B2"/>
    <w:rsid w:val="045D4969"/>
    <w:rsid w:val="04C4BB8B"/>
    <w:rsid w:val="04DCF903"/>
    <w:rsid w:val="04F166D5"/>
    <w:rsid w:val="04FF29AA"/>
    <w:rsid w:val="052CE74A"/>
    <w:rsid w:val="05678AF2"/>
    <w:rsid w:val="0572FCCF"/>
    <w:rsid w:val="05732BEB"/>
    <w:rsid w:val="0581C742"/>
    <w:rsid w:val="059BA87C"/>
    <w:rsid w:val="05AEB79F"/>
    <w:rsid w:val="05C25A60"/>
    <w:rsid w:val="05C84C1F"/>
    <w:rsid w:val="05CFDE7F"/>
    <w:rsid w:val="05EE2ADD"/>
    <w:rsid w:val="060543F4"/>
    <w:rsid w:val="06089B8A"/>
    <w:rsid w:val="0608BC5B"/>
    <w:rsid w:val="062EFD88"/>
    <w:rsid w:val="0637900F"/>
    <w:rsid w:val="063D26C9"/>
    <w:rsid w:val="06678982"/>
    <w:rsid w:val="06787B21"/>
    <w:rsid w:val="06959429"/>
    <w:rsid w:val="06CC5CBB"/>
    <w:rsid w:val="06D32DAE"/>
    <w:rsid w:val="06DADC44"/>
    <w:rsid w:val="06E44EBD"/>
    <w:rsid w:val="06E5792B"/>
    <w:rsid w:val="06F2B042"/>
    <w:rsid w:val="06F60980"/>
    <w:rsid w:val="06FE6C95"/>
    <w:rsid w:val="0704F136"/>
    <w:rsid w:val="0714C3BD"/>
    <w:rsid w:val="0719D6C8"/>
    <w:rsid w:val="073CDFD1"/>
    <w:rsid w:val="0757DDC3"/>
    <w:rsid w:val="075A2A99"/>
    <w:rsid w:val="077F6F95"/>
    <w:rsid w:val="07B43786"/>
    <w:rsid w:val="07F0A074"/>
    <w:rsid w:val="07F0D29A"/>
    <w:rsid w:val="0803A0A8"/>
    <w:rsid w:val="080890F7"/>
    <w:rsid w:val="080F960A"/>
    <w:rsid w:val="08171192"/>
    <w:rsid w:val="08270001"/>
    <w:rsid w:val="084D9E5E"/>
    <w:rsid w:val="085586D9"/>
    <w:rsid w:val="0858BE0C"/>
    <w:rsid w:val="086534CC"/>
    <w:rsid w:val="08DE358C"/>
    <w:rsid w:val="08E46F3F"/>
    <w:rsid w:val="0918574B"/>
    <w:rsid w:val="0931C4A3"/>
    <w:rsid w:val="094A3A29"/>
    <w:rsid w:val="094DE5F7"/>
    <w:rsid w:val="0960AFCD"/>
    <w:rsid w:val="0969A835"/>
    <w:rsid w:val="09A219E3"/>
    <w:rsid w:val="09AB4938"/>
    <w:rsid w:val="09ACC5A0"/>
    <w:rsid w:val="09B54C33"/>
    <w:rsid w:val="09CD4FD9"/>
    <w:rsid w:val="09F92791"/>
    <w:rsid w:val="09FCCFF1"/>
    <w:rsid w:val="0A1FA01D"/>
    <w:rsid w:val="0A2976C5"/>
    <w:rsid w:val="0A487D03"/>
    <w:rsid w:val="0A5E8B80"/>
    <w:rsid w:val="0A789CAA"/>
    <w:rsid w:val="0A847D62"/>
    <w:rsid w:val="0A854D68"/>
    <w:rsid w:val="0A93C14D"/>
    <w:rsid w:val="0A9CF673"/>
    <w:rsid w:val="0AA24CF1"/>
    <w:rsid w:val="0AB2D241"/>
    <w:rsid w:val="0AB5C44F"/>
    <w:rsid w:val="0AEDCFD3"/>
    <w:rsid w:val="0AFFDFF6"/>
    <w:rsid w:val="0B1A5576"/>
    <w:rsid w:val="0B335133"/>
    <w:rsid w:val="0B3E7C0C"/>
    <w:rsid w:val="0B5266BC"/>
    <w:rsid w:val="0B526EF4"/>
    <w:rsid w:val="0B5B54A5"/>
    <w:rsid w:val="0B628DBC"/>
    <w:rsid w:val="0BAB0E3A"/>
    <w:rsid w:val="0BADB4DE"/>
    <w:rsid w:val="0BFB9E6E"/>
    <w:rsid w:val="0C334A00"/>
    <w:rsid w:val="0C7390AD"/>
    <w:rsid w:val="0C78C50F"/>
    <w:rsid w:val="0C98864E"/>
    <w:rsid w:val="0CB142E0"/>
    <w:rsid w:val="0CBD4B7D"/>
    <w:rsid w:val="0CD94882"/>
    <w:rsid w:val="0CDFECC2"/>
    <w:rsid w:val="0CE09569"/>
    <w:rsid w:val="0CFAF3D0"/>
    <w:rsid w:val="0D07B4AE"/>
    <w:rsid w:val="0D762CE3"/>
    <w:rsid w:val="0DAE07A0"/>
    <w:rsid w:val="0DCBAFEF"/>
    <w:rsid w:val="0E0243F9"/>
    <w:rsid w:val="0E19127B"/>
    <w:rsid w:val="0E2CF990"/>
    <w:rsid w:val="0E2D145D"/>
    <w:rsid w:val="0E4F85B4"/>
    <w:rsid w:val="0E51C464"/>
    <w:rsid w:val="0E573C73"/>
    <w:rsid w:val="0E7C11AF"/>
    <w:rsid w:val="0E7C84C7"/>
    <w:rsid w:val="0E879F2E"/>
    <w:rsid w:val="0EACAF3C"/>
    <w:rsid w:val="0EB66D14"/>
    <w:rsid w:val="0EE9D289"/>
    <w:rsid w:val="0F183DB1"/>
    <w:rsid w:val="0F1DE32A"/>
    <w:rsid w:val="0F58D6F5"/>
    <w:rsid w:val="0F612928"/>
    <w:rsid w:val="0F6751AA"/>
    <w:rsid w:val="0F6FD69D"/>
    <w:rsid w:val="0F7BC079"/>
    <w:rsid w:val="0F97FD61"/>
    <w:rsid w:val="0F9EBEA7"/>
    <w:rsid w:val="0FADD1DB"/>
    <w:rsid w:val="0FC2C6A0"/>
    <w:rsid w:val="0FDCF680"/>
    <w:rsid w:val="0FEB4463"/>
    <w:rsid w:val="0FEF9380"/>
    <w:rsid w:val="1016CF6C"/>
    <w:rsid w:val="102E41DB"/>
    <w:rsid w:val="103F638D"/>
    <w:rsid w:val="1051AD5F"/>
    <w:rsid w:val="105B1F98"/>
    <w:rsid w:val="106CB43B"/>
    <w:rsid w:val="10850A0E"/>
    <w:rsid w:val="1092910F"/>
    <w:rsid w:val="10A27F9F"/>
    <w:rsid w:val="10A9F023"/>
    <w:rsid w:val="10BB2130"/>
    <w:rsid w:val="10E80162"/>
    <w:rsid w:val="112D5BA9"/>
    <w:rsid w:val="11524877"/>
    <w:rsid w:val="115D8292"/>
    <w:rsid w:val="116E8856"/>
    <w:rsid w:val="1178135B"/>
    <w:rsid w:val="118916DB"/>
    <w:rsid w:val="11D656DD"/>
    <w:rsid w:val="11E45955"/>
    <w:rsid w:val="122B7C0B"/>
    <w:rsid w:val="12323DB5"/>
    <w:rsid w:val="12661765"/>
    <w:rsid w:val="12A0ED18"/>
    <w:rsid w:val="12CAD5D1"/>
    <w:rsid w:val="12D32E95"/>
    <w:rsid w:val="12DA1A31"/>
    <w:rsid w:val="12E098B0"/>
    <w:rsid w:val="12E3422D"/>
    <w:rsid w:val="12F4D014"/>
    <w:rsid w:val="1317B95D"/>
    <w:rsid w:val="138F451C"/>
    <w:rsid w:val="13B7D012"/>
    <w:rsid w:val="13BA090A"/>
    <w:rsid w:val="141C53A8"/>
    <w:rsid w:val="1423FD55"/>
    <w:rsid w:val="144E94EA"/>
    <w:rsid w:val="14596B52"/>
    <w:rsid w:val="14677EE2"/>
    <w:rsid w:val="147F15C3"/>
    <w:rsid w:val="14D7EE51"/>
    <w:rsid w:val="14FB3D73"/>
    <w:rsid w:val="153015E2"/>
    <w:rsid w:val="15400435"/>
    <w:rsid w:val="156941A7"/>
    <w:rsid w:val="158BEDD6"/>
    <w:rsid w:val="1593087B"/>
    <w:rsid w:val="15A2DED2"/>
    <w:rsid w:val="15DC514B"/>
    <w:rsid w:val="15EE1EA2"/>
    <w:rsid w:val="16044854"/>
    <w:rsid w:val="160CE889"/>
    <w:rsid w:val="16131404"/>
    <w:rsid w:val="1620A5EC"/>
    <w:rsid w:val="162D1A4B"/>
    <w:rsid w:val="1679A474"/>
    <w:rsid w:val="16854930"/>
    <w:rsid w:val="16952208"/>
    <w:rsid w:val="16BD8738"/>
    <w:rsid w:val="170205C3"/>
    <w:rsid w:val="171F97CF"/>
    <w:rsid w:val="17580C8C"/>
    <w:rsid w:val="1787AB2B"/>
    <w:rsid w:val="179A5852"/>
    <w:rsid w:val="17AFB7BC"/>
    <w:rsid w:val="17C8E5BC"/>
    <w:rsid w:val="17CFB0A8"/>
    <w:rsid w:val="17D1DF28"/>
    <w:rsid w:val="17F69B15"/>
    <w:rsid w:val="17FD3183"/>
    <w:rsid w:val="1801E982"/>
    <w:rsid w:val="1802B3C2"/>
    <w:rsid w:val="18113FD3"/>
    <w:rsid w:val="181B4D4E"/>
    <w:rsid w:val="1830067D"/>
    <w:rsid w:val="183A4F54"/>
    <w:rsid w:val="1859DD17"/>
    <w:rsid w:val="189DFE9F"/>
    <w:rsid w:val="18D900CB"/>
    <w:rsid w:val="18DE89E2"/>
    <w:rsid w:val="18E0EBEA"/>
    <w:rsid w:val="18E2209E"/>
    <w:rsid w:val="19109708"/>
    <w:rsid w:val="193417EE"/>
    <w:rsid w:val="197E94B2"/>
    <w:rsid w:val="19A043ED"/>
    <w:rsid w:val="19CF8098"/>
    <w:rsid w:val="19DDF2E3"/>
    <w:rsid w:val="19E099FC"/>
    <w:rsid w:val="1A329B64"/>
    <w:rsid w:val="1A72F3EC"/>
    <w:rsid w:val="1A9B4EE6"/>
    <w:rsid w:val="1AC2C56D"/>
    <w:rsid w:val="1ADF41AE"/>
    <w:rsid w:val="1AE381F1"/>
    <w:rsid w:val="1B188BC7"/>
    <w:rsid w:val="1B390B9F"/>
    <w:rsid w:val="1B68E6AC"/>
    <w:rsid w:val="1B7C46B1"/>
    <w:rsid w:val="1B88157C"/>
    <w:rsid w:val="1B9C643F"/>
    <w:rsid w:val="1BD4F3BB"/>
    <w:rsid w:val="1BD6AC2C"/>
    <w:rsid w:val="1C0D0633"/>
    <w:rsid w:val="1C16EBA6"/>
    <w:rsid w:val="1C34C506"/>
    <w:rsid w:val="1C591115"/>
    <w:rsid w:val="1C7465C1"/>
    <w:rsid w:val="1C85057D"/>
    <w:rsid w:val="1C8BF8F0"/>
    <w:rsid w:val="1CA8EEF1"/>
    <w:rsid w:val="1CAEAF78"/>
    <w:rsid w:val="1CBC76C0"/>
    <w:rsid w:val="1CBF4071"/>
    <w:rsid w:val="1CD98FB8"/>
    <w:rsid w:val="1CF4CA31"/>
    <w:rsid w:val="1CFD95C2"/>
    <w:rsid w:val="1D083B54"/>
    <w:rsid w:val="1D084393"/>
    <w:rsid w:val="1D14190E"/>
    <w:rsid w:val="1D8D9BA1"/>
    <w:rsid w:val="1D8FEB48"/>
    <w:rsid w:val="1D96BF1D"/>
    <w:rsid w:val="1DA5311E"/>
    <w:rsid w:val="1DAEFCE4"/>
    <w:rsid w:val="1DB9BFBB"/>
    <w:rsid w:val="1E0DC33C"/>
    <w:rsid w:val="1E0E41B6"/>
    <w:rsid w:val="1E0FE2C6"/>
    <w:rsid w:val="1E234D51"/>
    <w:rsid w:val="1E24884B"/>
    <w:rsid w:val="1E2868BA"/>
    <w:rsid w:val="1E2BFAE9"/>
    <w:rsid w:val="1E5BE0FD"/>
    <w:rsid w:val="1E7F302B"/>
    <w:rsid w:val="1EA89784"/>
    <w:rsid w:val="1EAB5DAA"/>
    <w:rsid w:val="1ED9F7AC"/>
    <w:rsid w:val="1EE30111"/>
    <w:rsid w:val="1EFE4A42"/>
    <w:rsid w:val="1F3A7C10"/>
    <w:rsid w:val="1F5B80F2"/>
    <w:rsid w:val="1F792255"/>
    <w:rsid w:val="1F7955E9"/>
    <w:rsid w:val="1F7974A5"/>
    <w:rsid w:val="1F8D1514"/>
    <w:rsid w:val="1F99F30A"/>
    <w:rsid w:val="1FB61A42"/>
    <w:rsid w:val="1FC0AFB2"/>
    <w:rsid w:val="1FD20EA5"/>
    <w:rsid w:val="1FD677F5"/>
    <w:rsid w:val="1FE11DCD"/>
    <w:rsid w:val="1FFA4D68"/>
    <w:rsid w:val="200C4604"/>
    <w:rsid w:val="201A875C"/>
    <w:rsid w:val="20257D3E"/>
    <w:rsid w:val="20286F56"/>
    <w:rsid w:val="202C69F7"/>
    <w:rsid w:val="2031D96B"/>
    <w:rsid w:val="20431294"/>
    <w:rsid w:val="2071B75E"/>
    <w:rsid w:val="20C27946"/>
    <w:rsid w:val="20D6A7E2"/>
    <w:rsid w:val="20D77C45"/>
    <w:rsid w:val="20FDD1B1"/>
    <w:rsid w:val="211712B9"/>
    <w:rsid w:val="211B866D"/>
    <w:rsid w:val="214C0171"/>
    <w:rsid w:val="216A3F48"/>
    <w:rsid w:val="216E3929"/>
    <w:rsid w:val="21C3E88D"/>
    <w:rsid w:val="21C7E381"/>
    <w:rsid w:val="21E93AF6"/>
    <w:rsid w:val="21F032E5"/>
    <w:rsid w:val="21FBFF0B"/>
    <w:rsid w:val="224B9545"/>
    <w:rsid w:val="22568DC7"/>
    <w:rsid w:val="2258B5AE"/>
    <w:rsid w:val="22600C68"/>
    <w:rsid w:val="228FACDE"/>
    <w:rsid w:val="22AA343D"/>
    <w:rsid w:val="22BDBEFC"/>
    <w:rsid w:val="22C84FD6"/>
    <w:rsid w:val="22F60EB5"/>
    <w:rsid w:val="22F70786"/>
    <w:rsid w:val="23065217"/>
    <w:rsid w:val="232D0A19"/>
    <w:rsid w:val="23402352"/>
    <w:rsid w:val="23439923"/>
    <w:rsid w:val="234F1AA5"/>
    <w:rsid w:val="235505D8"/>
    <w:rsid w:val="2360C4F6"/>
    <w:rsid w:val="2361662A"/>
    <w:rsid w:val="23A8DFAD"/>
    <w:rsid w:val="23D4955C"/>
    <w:rsid w:val="23F1D741"/>
    <w:rsid w:val="23FBFDAD"/>
    <w:rsid w:val="24092654"/>
    <w:rsid w:val="240DA84B"/>
    <w:rsid w:val="240F5720"/>
    <w:rsid w:val="24481BD9"/>
    <w:rsid w:val="244DAEA6"/>
    <w:rsid w:val="246D0AB1"/>
    <w:rsid w:val="248A8D69"/>
    <w:rsid w:val="24C616D2"/>
    <w:rsid w:val="2546545B"/>
    <w:rsid w:val="2555EEEF"/>
    <w:rsid w:val="2579BF2F"/>
    <w:rsid w:val="258294CD"/>
    <w:rsid w:val="2582E51F"/>
    <w:rsid w:val="2593F145"/>
    <w:rsid w:val="25D4689B"/>
    <w:rsid w:val="25E0BE13"/>
    <w:rsid w:val="25E53276"/>
    <w:rsid w:val="25ED84A1"/>
    <w:rsid w:val="25F81A9D"/>
    <w:rsid w:val="25FA062D"/>
    <w:rsid w:val="26332ADB"/>
    <w:rsid w:val="26529F80"/>
    <w:rsid w:val="26540BC6"/>
    <w:rsid w:val="2655420E"/>
    <w:rsid w:val="265977C1"/>
    <w:rsid w:val="267EEBF0"/>
    <w:rsid w:val="2688675D"/>
    <w:rsid w:val="26A3A742"/>
    <w:rsid w:val="26C914C9"/>
    <w:rsid w:val="26DE1A6F"/>
    <w:rsid w:val="26E3A714"/>
    <w:rsid w:val="26FC78D0"/>
    <w:rsid w:val="27129490"/>
    <w:rsid w:val="272DCDA3"/>
    <w:rsid w:val="2736BF54"/>
    <w:rsid w:val="27379087"/>
    <w:rsid w:val="273EBCD8"/>
    <w:rsid w:val="27710447"/>
    <w:rsid w:val="27738409"/>
    <w:rsid w:val="27792B7B"/>
    <w:rsid w:val="27844C75"/>
    <w:rsid w:val="27F6D393"/>
    <w:rsid w:val="281B6CEE"/>
    <w:rsid w:val="2833FD4A"/>
    <w:rsid w:val="283CB8AD"/>
    <w:rsid w:val="284428F8"/>
    <w:rsid w:val="2896FB5A"/>
    <w:rsid w:val="28A07E45"/>
    <w:rsid w:val="28D14782"/>
    <w:rsid w:val="28DD2F19"/>
    <w:rsid w:val="28E8BE81"/>
    <w:rsid w:val="28F15528"/>
    <w:rsid w:val="2903827C"/>
    <w:rsid w:val="295514A4"/>
    <w:rsid w:val="2955C60E"/>
    <w:rsid w:val="295D0402"/>
    <w:rsid w:val="29652877"/>
    <w:rsid w:val="2977E42A"/>
    <w:rsid w:val="29A1FA6A"/>
    <w:rsid w:val="29A53D68"/>
    <w:rsid w:val="29C44110"/>
    <w:rsid w:val="29EA3586"/>
    <w:rsid w:val="29EE94BF"/>
    <w:rsid w:val="29F882B4"/>
    <w:rsid w:val="2A01712F"/>
    <w:rsid w:val="2A02F406"/>
    <w:rsid w:val="2A07E279"/>
    <w:rsid w:val="2A18F9D8"/>
    <w:rsid w:val="2A252CBC"/>
    <w:rsid w:val="2A25F243"/>
    <w:rsid w:val="2A392A8F"/>
    <w:rsid w:val="2A539199"/>
    <w:rsid w:val="2A85B581"/>
    <w:rsid w:val="2A896EE3"/>
    <w:rsid w:val="2A8F183A"/>
    <w:rsid w:val="2A8F5DA1"/>
    <w:rsid w:val="2AAE9B53"/>
    <w:rsid w:val="2AB3A5C2"/>
    <w:rsid w:val="2AE0EF4B"/>
    <w:rsid w:val="2AF534EE"/>
    <w:rsid w:val="2AF5CEB9"/>
    <w:rsid w:val="2B11022E"/>
    <w:rsid w:val="2B268F3C"/>
    <w:rsid w:val="2B4CC630"/>
    <w:rsid w:val="2B9A4EFB"/>
    <w:rsid w:val="2BA04576"/>
    <w:rsid w:val="2BA3646E"/>
    <w:rsid w:val="2BB518CE"/>
    <w:rsid w:val="2BC7F98C"/>
    <w:rsid w:val="2BDA932A"/>
    <w:rsid w:val="2BE52F1C"/>
    <w:rsid w:val="2C0E6FB1"/>
    <w:rsid w:val="2C45FDFB"/>
    <w:rsid w:val="2C525043"/>
    <w:rsid w:val="2C63FD4E"/>
    <w:rsid w:val="2C684A7D"/>
    <w:rsid w:val="2C6F7DFC"/>
    <w:rsid w:val="2C86A769"/>
    <w:rsid w:val="2CBFAD1C"/>
    <w:rsid w:val="2CC431F1"/>
    <w:rsid w:val="2CE80CB1"/>
    <w:rsid w:val="2CEAC102"/>
    <w:rsid w:val="2CEEB7F5"/>
    <w:rsid w:val="2CEFD74E"/>
    <w:rsid w:val="2D23597F"/>
    <w:rsid w:val="2D49B9A2"/>
    <w:rsid w:val="2D601742"/>
    <w:rsid w:val="2D66B0BA"/>
    <w:rsid w:val="2D713324"/>
    <w:rsid w:val="2D88F4B7"/>
    <w:rsid w:val="2D89FE69"/>
    <w:rsid w:val="2DDBF8E6"/>
    <w:rsid w:val="2DE89BF3"/>
    <w:rsid w:val="2DF68966"/>
    <w:rsid w:val="2DF8BA95"/>
    <w:rsid w:val="2E0915C8"/>
    <w:rsid w:val="2E1F7710"/>
    <w:rsid w:val="2E2E4369"/>
    <w:rsid w:val="2E85E83B"/>
    <w:rsid w:val="2E8937E2"/>
    <w:rsid w:val="2E8AE9B6"/>
    <w:rsid w:val="2EA60534"/>
    <w:rsid w:val="2ECD26A8"/>
    <w:rsid w:val="2F07BDEE"/>
    <w:rsid w:val="2F21EDCF"/>
    <w:rsid w:val="2F4B6E98"/>
    <w:rsid w:val="2F4D137E"/>
    <w:rsid w:val="2F87BD5E"/>
    <w:rsid w:val="2FAE45E2"/>
    <w:rsid w:val="2FD2B29E"/>
    <w:rsid w:val="2FDBB4F5"/>
    <w:rsid w:val="300F58C7"/>
    <w:rsid w:val="3018AF9B"/>
    <w:rsid w:val="301CD64A"/>
    <w:rsid w:val="301FC010"/>
    <w:rsid w:val="3048452C"/>
    <w:rsid w:val="30A11E7B"/>
    <w:rsid w:val="30D3FBD8"/>
    <w:rsid w:val="30D5E3D0"/>
    <w:rsid w:val="30F8159A"/>
    <w:rsid w:val="3119C05F"/>
    <w:rsid w:val="311E2AC6"/>
    <w:rsid w:val="313891A2"/>
    <w:rsid w:val="313AAFCA"/>
    <w:rsid w:val="315C8CEE"/>
    <w:rsid w:val="31736DA8"/>
    <w:rsid w:val="31C246C7"/>
    <w:rsid w:val="31F94B58"/>
    <w:rsid w:val="3236027A"/>
    <w:rsid w:val="324228A3"/>
    <w:rsid w:val="3252FCAE"/>
    <w:rsid w:val="32853F1F"/>
    <w:rsid w:val="32C909E0"/>
    <w:rsid w:val="32CF5971"/>
    <w:rsid w:val="32E0AC6A"/>
    <w:rsid w:val="32E5DD5D"/>
    <w:rsid w:val="32FE7F7E"/>
    <w:rsid w:val="33273AB8"/>
    <w:rsid w:val="333F5130"/>
    <w:rsid w:val="33616B58"/>
    <w:rsid w:val="3381CC2C"/>
    <w:rsid w:val="33988275"/>
    <w:rsid w:val="33C2C553"/>
    <w:rsid w:val="3403584C"/>
    <w:rsid w:val="34096F28"/>
    <w:rsid w:val="340CE8D0"/>
    <w:rsid w:val="340DDD2B"/>
    <w:rsid w:val="3430C1DA"/>
    <w:rsid w:val="3446BE84"/>
    <w:rsid w:val="345D332D"/>
    <w:rsid w:val="3468BD2A"/>
    <w:rsid w:val="346EF983"/>
    <w:rsid w:val="347EF6EB"/>
    <w:rsid w:val="34827639"/>
    <w:rsid w:val="3497EB04"/>
    <w:rsid w:val="34E40ADE"/>
    <w:rsid w:val="35293BFF"/>
    <w:rsid w:val="352B1E6C"/>
    <w:rsid w:val="3554F43E"/>
    <w:rsid w:val="35E748C9"/>
    <w:rsid w:val="36143BBB"/>
    <w:rsid w:val="36148757"/>
    <w:rsid w:val="36222724"/>
    <w:rsid w:val="3639707D"/>
    <w:rsid w:val="365531F5"/>
    <w:rsid w:val="367A7924"/>
    <w:rsid w:val="3691601A"/>
    <w:rsid w:val="36998AFC"/>
    <w:rsid w:val="36A0FDBD"/>
    <w:rsid w:val="36C7D32D"/>
    <w:rsid w:val="36E1BF0A"/>
    <w:rsid w:val="3714C434"/>
    <w:rsid w:val="3716D56E"/>
    <w:rsid w:val="37186A76"/>
    <w:rsid w:val="371DB0BC"/>
    <w:rsid w:val="37253732"/>
    <w:rsid w:val="372EF363"/>
    <w:rsid w:val="3755458F"/>
    <w:rsid w:val="375CBC68"/>
    <w:rsid w:val="37630A11"/>
    <w:rsid w:val="3767D597"/>
    <w:rsid w:val="37704935"/>
    <w:rsid w:val="37998A45"/>
    <w:rsid w:val="3812F373"/>
    <w:rsid w:val="385BE30D"/>
    <w:rsid w:val="3896C13E"/>
    <w:rsid w:val="38C4C48A"/>
    <w:rsid w:val="38C90936"/>
    <w:rsid w:val="3901E695"/>
    <w:rsid w:val="391F1144"/>
    <w:rsid w:val="3938A697"/>
    <w:rsid w:val="395A4771"/>
    <w:rsid w:val="397C02BF"/>
    <w:rsid w:val="398E20AD"/>
    <w:rsid w:val="39BB816B"/>
    <w:rsid w:val="39D12B9A"/>
    <w:rsid w:val="39DBD496"/>
    <w:rsid w:val="3A10DF19"/>
    <w:rsid w:val="3A29C1B8"/>
    <w:rsid w:val="3A3CA311"/>
    <w:rsid w:val="3A67601E"/>
    <w:rsid w:val="3A7EB68F"/>
    <w:rsid w:val="3A84452D"/>
    <w:rsid w:val="3A970D37"/>
    <w:rsid w:val="3A98BE3E"/>
    <w:rsid w:val="3AC3DE20"/>
    <w:rsid w:val="3AEB0DAF"/>
    <w:rsid w:val="3B0CB614"/>
    <w:rsid w:val="3B1A5233"/>
    <w:rsid w:val="3B350408"/>
    <w:rsid w:val="3B3A3925"/>
    <w:rsid w:val="3B3AB808"/>
    <w:rsid w:val="3B3E3855"/>
    <w:rsid w:val="3B52478D"/>
    <w:rsid w:val="3B5B7718"/>
    <w:rsid w:val="3B9CBBB3"/>
    <w:rsid w:val="3BAA35E1"/>
    <w:rsid w:val="3BADBB80"/>
    <w:rsid w:val="3BF3FE13"/>
    <w:rsid w:val="3BF97D59"/>
    <w:rsid w:val="3C00988A"/>
    <w:rsid w:val="3C0C720C"/>
    <w:rsid w:val="3C1A115D"/>
    <w:rsid w:val="3C2CA8AE"/>
    <w:rsid w:val="3C3A9B0C"/>
    <w:rsid w:val="3C4A3BE3"/>
    <w:rsid w:val="3C5BD450"/>
    <w:rsid w:val="3CB36B1C"/>
    <w:rsid w:val="3CB911E5"/>
    <w:rsid w:val="3CC38B2C"/>
    <w:rsid w:val="3CC93795"/>
    <w:rsid w:val="3CD4C588"/>
    <w:rsid w:val="3CE017B0"/>
    <w:rsid w:val="3D4401FF"/>
    <w:rsid w:val="3D46C8F1"/>
    <w:rsid w:val="3D8A0226"/>
    <w:rsid w:val="3DB12DDE"/>
    <w:rsid w:val="3DB71F80"/>
    <w:rsid w:val="3DBFE7AD"/>
    <w:rsid w:val="3DC0AB97"/>
    <w:rsid w:val="3DC136A3"/>
    <w:rsid w:val="3DCA25ED"/>
    <w:rsid w:val="3E015AF5"/>
    <w:rsid w:val="3E1897A1"/>
    <w:rsid w:val="3E1D0A46"/>
    <w:rsid w:val="3E2A1A66"/>
    <w:rsid w:val="3E4AF33E"/>
    <w:rsid w:val="3E529C2B"/>
    <w:rsid w:val="3E5857EB"/>
    <w:rsid w:val="3E65D835"/>
    <w:rsid w:val="3E677563"/>
    <w:rsid w:val="3EA06DEE"/>
    <w:rsid w:val="3EA95970"/>
    <w:rsid w:val="3EAA1F17"/>
    <w:rsid w:val="3ED1E140"/>
    <w:rsid w:val="3ED53E7F"/>
    <w:rsid w:val="3EEE6C1B"/>
    <w:rsid w:val="3F1CC221"/>
    <w:rsid w:val="3F3674FB"/>
    <w:rsid w:val="3F36EB2F"/>
    <w:rsid w:val="3F3C2272"/>
    <w:rsid w:val="3F456292"/>
    <w:rsid w:val="3F6A131A"/>
    <w:rsid w:val="3F990138"/>
    <w:rsid w:val="3F9A632B"/>
    <w:rsid w:val="3F9AC807"/>
    <w:rsid w:val="3FBD02A3"/>
    <w:rsid w:val="3FDD6B4B"/>
    <w:rsid w:val="3FEBEA84"/>
    <w:rsid w:val="3FECA2E4"/>
    <w:rsid w:val="3FF8E9C0"/>
    <w:rsid w:val="3FFE1C2A"/>
    <w:rsid w:val="3FFE33ED"/>
    <w:rsid w:val="4010B69F"/>
    <w:rsid w:val="401C179F"/>
    <w:rsid w:val="403CEC44"/>
    <w:rsid w:val="4049EE73"/>
    <w:rsid w:val="407ED736"/>
    <w:rsid w:val="40A6C415"/>
    <w:rsid w:val="40C0844A"/>
    <w:rsid w:val="40CFE2F9"/>
    <w:rsid w:val="40E317F6"/>
    <w:rsid w:val="40E3B930"/>
    <w:rsid w:val="40F126CE"/>
    <w:rsid w:val="4107EDFC"/>
    <w:rsid w:val="410BFA90"/>
    <w:rsid w:val="413FCEA8"/>
    <w:rsid w:val="4145B522"/>
    <w:rsid w:val="4168F912"/>
    <w:rsid w:val="41744980"/>
    <w:rsid w:val="4196558C"/>
    <w:rsid w:val="4196A0F6"/>
    <w:rsid w:val="41AB8F16"/>
    <w:rsid w:val="41BA795C"/>
    <w:rsid w:val="41BD00B8"/>
    <w:rsid w:val="41E7093E"/>
    <w:rsid w:val="41F0B439"/>
    <w:rsid w:val="42020382"/>
    <w:rsid w:val="420C2669"/>
    <w:rsid w:val="420D18CF"/>
    <w:rsid w:val="420EA00C"/>
    <w:rsid w:val="421848A0"/>
    <w:rsid w:val="425ADB96"/>
    <w:rsid w:val="429FB870"/>
    <w:rsid w:val="42A26789"/>
    <w:rsid w:val="4303870B"/>
    <w:rsid w:val="4307A83C"/>
    <w:rsid w:val="432BEC9A"/>
    <w:rsid w:val="432DA917"/>
    <w:rsid w:val="432DB4FF"/>
    <w:rsid w:val="432EF19B"/>
    <w:rsid w:val="433D6D70"/>
    <w:rsid w:val="4346E9A5"/>
    <w:rsid w:val="4363DCB7"/>
    <w:rsid w:val="43700A87"/>
    <w:rsid w:val="43A39791"/>
    <w:rsid w:val="43AA7A35"/>
    <w:rsid w:val="43B306BB"/>
    <w:rsid w:val="43BAF1CC"/>
    <w:rsid w:val="43C052A2"/>
    <w:rsid w:val="43D50BA0"/>
    <w:rsid w:val="43D67B67"/>
    <w:rsid w:val="43EDA8DA"/>
    <w:rsid w:val="43F5B0EA"/>
    <w:rsid w:val="4416363F"/>
    <w:rsid w:val="442DF108"/>
    <w:rsid w:val="443DECF0"/>
    <w:rsid w:val="4447E8D4"/>
    <w:rsid w:val="4495BD8E"/>
    <w:rsid w:val="44ABF3FF"/>
    <w:rsid w:val="44B26F14"/>
    <w:rsid w:val="44C4790A"/>
    <w:rsid w:val="44D3ACC1"/>
    <w:rsid w:val="4501C564"/>
    <w:rsid w:val="451B0350"/>
    <w:rsid w:val="452D9884"/>
    <w:rsid w:val="453F3EAE"/>
    <w:rsid w:val="4548DA4D"/>
    <w:rsid w:val="4578A5C1"/>
    <w:rsid w:val="4578FC2E"/>
    <w:rsid w:val="45826A15"/>
    <w:rsid w:val="459C0C2C"/>
    <w:rsid w:val="45C2C542"/>
    <w:rsid w:val="45C4C19B"/>
    <w:rsid w:val="45EE66ED"/>
    <w:rsid w:val="45EF1B73"/>
    <w:rsid w:val="45F0A72C"/>
    <w:rsid w:val="45F68F45"/>
    <w:rsid w:val="46269422"/>
    <w:rsid w:val="46291299"/>
    <w:rsid w:val="4633EBC3"/>
    <w:rsid w:val="463C4C45"/>
    <w:rsid w:val="467C0DB6"/>
    <w:rsid w:val="4691D05E"/>
    <w:rsid w:val="469479B5"/>
    <w:rsid w:val="4697825F"/>
    <w:rsid w:val="46CDD1E4"/>
    <w:rsid w:val="46E9F44B"/>
    <w:rsid w:val="47131421"/>
    <w:rsid w:val="4717496B"/>
    <w:rsid w:val="472E0927"/>
    <w:rsid w:val="4749D87E"/>
    <w:rsid w:val="4773AB9D"/>
    <w:rsid w:val="4788CCDB"/>
    <w:rsid w:val="478CA496"/>
    <w:rsid w:val="478CE869"/>
    <w:rsid w:val="47A8AB2F"/>
    <w:rsid w:val="47AD6E57"/>
    <w:rsid w:val="47BAE8BC"/>
    <w:rsid w:val="47D510E5"/>
    <w:rsid w:val="47DB17E2"/>
    <w:rsid w:val="47FFF913"/>
    <w:rsid w:val="48125055"/>
    <w:rsid w:val="482DFC8E"/>
    <w:rsid w:val="48319B95"/>
    <w:rsid w:val="483F1C55"/>
    <w:rsid w:val="48422663"/>
    <w:rsid w:val="485955A0"/>
    <w:rsid w:val="485FA1E7"/>
    <w:rsid w:val="487B2DCD"/>
    <w:rsid w:val="487F8E0E"/>
    <w:rsid w:val="489E3FEF"/>
    <w:rsid w:val="48A57984"/>
    <w:rsid w:val="48A95615"/>
    <w:rsid w:val="48DB4289"/>
    <w:rsid w:val="48DDF9F1"/>
    <w:rsid w:val="48F1E0E4"/>
    <w:rsid w:val="49308BBC"/>
    <w:rsid w:val="49553F5B"/>
    <w:rsid w:val="49640694"/>
    <w:rsid w:val="496B1BBF"/>
    <w:rsid w:val="49818527"/>
    <w:rsid w:val="4982EE3E"/>
    <w:rsid w:val="498E02EE"/>
    <w:rsid w:val="49C9B446"/>
    <w:rsid w:val="49E56823"/>
    <w:rsid w:val="49EC3AE2"/>
    <w:rsid w:val="49F30D4D"/>
    <w:rsid w:val="4A12875C"/>
    <w:rsid w:val="4A1FEF63"/>
    <w:rsid w:val="4A24A967"/>
    <w:rsid w:val="4A43317E"/>
    <w:rsid w:val="4A4A784C"/>
    <w:rsid w:val="4A51C1EE"/>
    <w:rsid w:val="4A65F73E"/>
    <w:rsid w:val="4A79A4D9"/>
    <w:rsid w:val="4AA0CBDD"/>
    <w:rsid w:val="4AF47631"/>
    <w:rsid w:val="4AFAABC5"/>
    <w:rsid w:val="4B0C2F0E"/>
    <w:rsid w:val="4B19245C"/>
    <w:rsid w:val="4B1D6408"/>
    <w:rsid w:val="4B440245"/>
    <w:rsid w:val="4B46F18E"/>
    <w:rsid w:val="4B4D5A6D"/>
    <w:rsid w:val="4B7127D0"/>
    <w:rsid w:val="4B7471C9"/>
    <w:rsid w:val="4BA5C22F"/>
    <w:rsid w:val="4BE30833"/>
    <w:rsid w:val="4C0D644C"/>
    <w:rsid w:val="4C2287F5"/>
    <w:rsid w:val="4C45F7F4"/>
    <w:rsid w:val="4C51DA20"/>
    <w:rsid w:val="4C5A92AC"/>
    <w:rsid w:val="4C5C4601"/>
    <w:rsid w:val="4C5D658B"/>
    <w:rsid w:val="4C78B170"/>
    <w:rsid w:val="4C791766"/>
    <w:rsid w:val="4C839446"/>
    <w:rsid w:val="4C8401C1"/>
    <w:rsid w:val="4C8F549F"/>
    <w:rsid w:val="4CA2FB08"/>
    <w:rsid w:val="4CC245FF"/>
    <w:rsid w:val="4CCDC10C"/>
    <w:rsid w:val="4CEA7645"/>
    <w:rsid w:val="4D109407"/>
    <w:rsid w:val="4D12009D"/>
    <w:rsid w:val="4D3A1601"/>
    <w:rsid w:val="4D3D6465"/>
    <w:rsid w:val="4D451623"/>
    <w:rsid w:val="4D626479"/>
    <w:rsid w:val="4D883B34"/>
    <w:rsid w:val="4D8B8503"/>
    <w:rsid w:val="4D9F4D63"/>
    <w:rsid w:val="4DE32DC8"/>
    <w:rsid w:val="4DF417DE"/>
    <w:rsid w:val="4DF56C67"/>
    <w:rsid w:val="4E28F199"/>
    <w:rsid w:val="4E31E5C2"/>
    <w:rsid w:val="4E4D158F"/>
    <w:rsid w:val="4E51C12F"/>
    <w:rsid w:val="4E69B8F1"/>
    <w:rsid w:val="4E6E6405"/>
    <w:rsid w:val="4E70D3DE"/>
    <w:rsid w:val="4E9B2C01"/>
    <w:rsid w:val="4EFD0DB3"/>
    <w:rsid w:val="4F103759"/>
    <w:rsid w:val="4F46B3F3"/>
    <w:rsid w:val="4F64660F"/>
    <w:rsid w:val="4F7B8699"/>
    <w:rsid w:val="4F9381D3"/>
    <w:rsid w:val="4F9CAB15"/>
    <w:rsid w:val="4FB5ED71"/>
    <w:rsid w:val="5010C473"/>
    <w:rsid w:val="501E2A8C"/>
    <w:rsid w:val="50251817"/>
    <w:rsid w:val="5031D270"/>
    <w:rsid w:val="50473D9D"/>
    <w:rsid w:val="50592ADF"/>
    <w:rsid w:val="505A1077"/>
    <w:rsid w:val="508D4E91"/>
    <w:rsid w:val="50A5B9F7"/>
    <w:rsid w:val="50B60485"/>
    <w:rsid w:val="50F8716E"/>
    <w:rsid w:val="5120F2B9"/>
    <w:rsid w:val="513B49E2"/>
    <w:rsid w:val="5142DDA3"/>
    <w:rsid w:val="516A69EC"/>
    <w:rsid w:val="5185DD07"/>
    <w:rsid w:val="518A7526"/>
    <w:rsid w:val="519D8B1F"/>
    <w:rsid w:val="51A13B56"/>
    <w:rsid w:val="51B169F9"/>
    <w:rsid w:val="51C29FA5"/>
    <w:rsid w:val="51D587D8"/>
    <w:rsid w:val="51F6FB0E"/>
    <w:rsid w:val="5208848F"/>
    <w:rsid w:val="52139C32"/>
    <w:rsid w:val="523268B8"/>
    <w:rsid w:val="523B4B86"/>
    <w:rsid w:val="529F5E32"/>
    <w:rsid w:val="52A448D5"/>
    <w:rsid w:val="52A5CA7A"/>
    <w:rsid w:val="52B995C5"/>
    <w:rsid w:val="52C70D35"/>
    <w:rsid w:val="52DB131E"/>
    <w:rsid w:val="52DBBC31"/>
    <w:rsid w:val="52E583E6"/>
    <w:rsid w:val="52F60C78"/>
    <w:rsid w:val="52F99ED7"/>
    <w:rsid w:val="534D5866"/>
    <w:rsid w:val="5396C038"/>
    <w:rsid w:val="539ADF46"/>
    <w:rsid w:val="53A10B9E"/>
    <w:rsid w:val="53AC402B"/>
    <w:rsid w:val="53BB34BF"/>
    <w:rsid w:val="53E3A507"/>
    <w:rsid w:val="5443C60B"/>
    <w:rsid w:val="545D39FC"/>
    <w:rsid w:val="54635ED7"/>
    <w:rsid w:val="5465D26A"/>
    <w:rsid w:val="547C6107"/>
    <w:rsid w:val="54C0B0D0"/>
    <w:rsid w:val="54E97E4A"/>
    <w:rsid w:val="54F83BFC"/>
    <w:rsid w:val="54FFAFBD"/>
    <w:rsid w:val="5529DBEF"/>
    <w:rsid w:val="55317359"/>
    <w:rsid w:val="5542932D"/>
    <w:rsid w:val="5544902C"/>
    <w:rsid w:val="556430D1"/>
    <w:rsid w:val="5569E1D2"/>
    <w:rsid w:val="558AABEF"/>
    <w:rsid w:val="55AF9935"/>
    <w:rsid w:val="55B28A5C"/>
    <w:rsid w:val="55B536EC"/>
    <w:rsid w:val="55D17584"/>
    <w:rsid w:val="56081C9E"/>
    <w:rsid w:val="561E72BB"/>
    <w:rsid w:val="56289230"/>
    <w:rsid w:val="5644968D"/>
    <w:rsid w:val="56537A83"/>
    <w:rsid w:val="565B33CF"/>
    <w:rsid w:val="56758603"/>
    <w:rsid w:val="567F00A6"/>
    <w:rsid w:val="56BE0E3C"/>
    <w:rsid w:val="56BF5D3D"/>
    <w:rsid w:val="56C055CF"/>
    <w:rsid w:val="56C95F71"/>
    <w:rsid w:val="56F720E1"/>
    <w:rsid w:val="56FB03EF"/>
    <w:rsid w:val="570DCE30"/>
    <w:rsid w:val="57374B3C"/>
    <w:rsid w:val="5751BEB7"/>
    <w:rsid w:val="5757585F"/>
    <w:rsid w:val="57595CEF"/>
    <w:rsid w:val="575CB357"/>
    <w:rsid w:val="5764DAA8"/>
    <w:rsid w:val="576F613F"/>
    <w:rsid w:val="57A4A0C9"/>
    <w:rsid w:val="57AA465D"/>
    <w:rsid w:val="57B100E9"/>
    <w:rsid w:val="57C78109"/>
    <w:rsid w:val="57CA32EA"/>
    <w:rsid w:val="57E3D625"/>
    <w:rsid w:val="57E85FB0"/>
    <w:rsid w:val="58650ED6"/>
    <w:rsid w:val="58888B51"/>
    <w:rsid w:val="588DEAB8"/>
    <w:rsid w:val="58A8A731"/>
    <w:rsid w:val="58B3A884"/>
    <w:rsid w:val="58B68ACB"/>
    <w:rsid w:val="58BDB8A8"/>
    <w:rsid w:val="58C4E7A5"/>
    <w:rsid w:val="5903C65D"/>
    <w:rsid w:val="5904D6CC"/>
    <w:rsid w:val="591ADA27"/>
    <w:rsid w:val="592F3229"/>
    <w:rsid w:val="594C960F"/>
    <w:rsid w:val="595C46CC"/>
    <w:rsid w:val="597F8F48"/>
    <w:rsid w:val="598FAEAE"/>
    <w:rsid w:val="5990303B"/>
    <w:rsid w:val="59962C15"/>
    <w:rsid w:val="59982D15"/>
    <w:rsid w:val="59A43070"/>
    <w:rsid w:val="59B9FEC9"/>
    <w:rsid w:val="59F5C7B6"/>
    <w:rsid w:val="59F9A2E6"/>
    <w:rsid w:val="5A450EA6"/>
    <w:rsid w:val="5A45F9FA"/>
    <w:rsid w:val="5A58E6CD"/>
    <w:rsid w:val="5A7EE93A"/>
    <w:rsid w:val="5AB660D6"/>
    <w:rsid w:val="5B260ADC"/>
    <w:rsid w:val="5B289547"/>
    <w:rsid w:val="5B46CA12"/>
    <w:rsid w:val="5B4FFD57"/>
    <w:rsid w:val="5B6AB132"/>
    <w:rsid w:val="5B6E13A0"/>
    <w:rsid w:val="5B8CA1A3"/>
    <w:rsid w:val="5B90E079"/>
    <w:rsid w:val="5BA15CFE"/>
    <w:rsid w:val="5BAC0C3E"/>
    <w:rsid w:val="5BAEEE20"/>
    <w:rsid w:val="5BC675D7"/>
    <w:rsid w:val="5BCB6B25"/>
    <w:rsid w:val="5BE82356"/>
    <w:rsid w:val="5BFA7817"/>
    <w:rsid w:val="5C0EA2E7"/>
    <w:rsid w:val="5C1378FF"/>
    <w:rsid w:val="5C2F8FB7"/>
    <w:rsid w:val="5C4FFF0B"/>
    <w:rsid w:val="5C60CF66"/>
    <w:rsid w:val="5C6FA59A"/>
    <w:rsid w:val="5C7B089B"/>
    <w:rsid w:val="5C931B7B"/>
    <w:rsid w:val="5CA90C0D"/>
    <w:rsid w:val="5CC9CE73"/>
    <w:rsid w:val="5CD7BB86"/>
    <w:rsid w:val="5D11F7E1"/>
    <w:rsid w:val="5D172E16"/>
    <w:rsid w:val="5D2A1F04"/>
    <w:rsid w:val="5D9AA3B1"/>
    <w:rsid w:val="5DA1CFF2"/>
    <w:rsid w:val="5DAE53A6"/>
    <w:rsid w:val="5DE3EF35"/>
    <w:rsid w:val="5DE4F684"/>
    <w:rsid w:val="5DE6979B"/>
    <w:rsid w:val="5E00DE2B"/>
    <w:rsid w:val="5E075B00"/>
    <w:rsid w:val="5E0D1764"/>
    <w:rsid w:val="5E1DDFF5"/>
    <w:rsid w:val="5E2A57D7"/>
    <w:rsid w:val="5E597DAD"/>
    <w:rsid w:val="5E7A0B78"/>
    <w:rsid w:val="5E7A2972"/>
    <w:rsid w:val="5E854580"/>
    <w:rsid w:val="5E8F3A1E"/>
    <w:rsid w:val="5E98A426"/>
    <w:rsid w:val="5EAB06EC"/>
    <w:rsid w:val="5EBF1151"/>
    <w:rsid w:val="5ECCC44E"/>
    <w:rsid w:val="5F063DA7"/>
    <w:rsid w:val="5F68822A"/>
    <w:rsid w:val="5FAA5955"/>
    <w:rsid w:val="5FAC2DDF"/>
    <w:rsid w:val="5FB37CB3"/>
    <w:rsid w:val="5FBDFB1B"/>
    <w:rsid w:val="5FD92CE3"/>
    <w:rsid w:val="5FDB4DEA"/>
    <w:rsid w:val="5FF57B20"/>
    <w:rsid w:val="600CE5C7"/>
    <w:rsid w:val="60154356"/>
    <w:rsid w:val="601EF590"/>
    <w:rsid w:val="6029174C"/>
    <w:rsid w:val="602EDD80"/>
    <w:rsid w:val="6048130F"/>
    <w:rsid w:val="606A059E"/>
    <w:rsid w:val="60792E0D"/>
    <w:rsid w:val="607C4984"/>
    <w:rsid w:val="607EA64D"/>
    <w:rsid w:val="60CE7B04"/>
    <w:rsid w:val="60E33B2E"/>
    <w:rsid w:val="60F4BE95"/>
    <w:rsid w:val="6110A024"/>
    <w:rsid w:val="6116342D"/>
    <w:rsid w:val="6138AE23"/>
    <w:rsid w:val="6155128F"/>
    <w:rsid w:val="616B28FA"/>
    <w:rsid w:val="617B9A75"/>
    <w:rsid w:val="6182664C"/>
    <w:rsid w:val="61BCB40F"/>
    <w:rsid w:val="61DBD4EF"/>
    <w:rsid w:val="61DC5C43"/>
    <w:rsid w:val="61E8B3DE"/>
    <w:rsid w:val="6212D0E6"/>
    <w:rsid w:val="6217DF06"/>
    <w:rsid w:val="626C6FE4"/>
    <w:rsid w:val="6273B60F"/>
    <w:rsid w:val="628EC31E"/>
    <w:rsid w:val="62921F11"/>
    <w:rsid w:val="62E07E19"/>
    <w:rsid w:val="6322BE7F"/>
    <w:rsid w:val="6325265F"/>
    <w:rsid w:val="6378014E"/>
    <w:rsid w:val="63F044D5"/>
    <w:rsid w:val="641A5A49"/>
    <w:rsid w:val="643F596D"/>
    <w:rsid w:val="6455F802"/>
    <w:rsid w:val="645D2C92"/>
    <w:rsid w:val="64695E0C"/>
    <w:rsid w:val="64905217"/>
    <w:rsid w:val="64ABA774"/>
    <w:rsid w:val="64AD76A0"/>
    <w:rsid w:val="64CF5F8F"/>
    <w:rsid w:val="64DB89C2"/>
    <w:rsid w:val="64DFB0CD"/>
    <w:rsid w:val="64F62894"/>
    <w:rsid w:val="64F9D202"/>
    <w:rsid w:val="65363CA3"/>
    <w:rsid w:val="653E5731"/>
    <w:rsid w:val="653F6309"/>
    <w:rsid w:val="6556C298"/>
    <w:rsid w:val="6574E479"/>
    <w:rsid w:val="657E41FA"/>
    <w:rsid w:val="657FCB42"/>
    <w:rsid w:val="65E2FD20"/>
    <w:rsid w:val="6604BB5A"/>
    <w:rsid w:val="6616C8DF"/>
    <w:rsid w:val="6617E5C7"/>
    <w:rsid w:val="6623880B"/>
    <w:rsid w:val="66307C72"/>
    <w:rsid w:val="663C2FCB"/>
    <w:rsid w:val="6640BAF5"/>
    <w:rsid w:val="665197E5"/>
    <w:rsid w:val="6676332C"/>
    <w:rsid w:val="667789E1"/>
    <w:rsid w:val="667ACCA0"/>
    <w:rsid w:val="667D9B5D"/>
    <w:rsid w:val="667DE316"/>
    <w:rsid w:val="669311E6"/>
    <w:rsid w:val="66ACA4E6"/>
    <w:rsid w:val="66B1A571"/>
    <w:rsid w:val="66D451DF"/>
    <w:rsid w:val="66ED02FA"/>
    <w:rsid w:val="66F8031B"/>
    <w:rsid w:val="670155EF"/>
    <w:rsid w:val="6713A223"/>
    <w:rsid w:val="67472FDF"/>
    <w:rsid w:val="6772E4AC"/>
    <w:rsid w:val="67749BB2"/>
    <w:rsid w:val="677B1984"/>
    <w:rsid w:val="678E6210"/>
    <w:rsid w:val="67A55B7D"/>
    <w:rsid w:val="67C2073F"/>
    <w:rsid w:val="67D027E1"/>
    <w:rsid w:val="67E7EFBA"/>
    <w:rsid w:val="67FB6BF5"/>
    <w:rsid w:val="68065F60"/>
    <w:rsid w:val="680A8D36"/>
    <w:rsid w:val="680CEF72"/>
    <w:rsid w:val="6817AA97"/>
    <w:rsid w:val="685B613A"/>
    <w:rsid w:val="686F2731"/>
    <w:rsid w:val="6870891A"/>
    <w:rsid w:val="6872EAC2"/>
    <w:rsid w:val="687A75DD"/>
    <w:rsid w:val="68A2FFA5"/>
    <w:rsid w:val="68A72A7B"/>
    <w:rsid w:val="68A98DAA"/>
    <w:rsid w:val="68DF1F91"/>
    <w:rsid w:val="68F25A69"/>
    <w:rsid w:val="6901EF5F"/>
    <w:rsid w:val="690AE6F0"/>
    <w:rsid w:val="691927E9"/>
    <w:rsid w:val="69290712"/>
    <w:rsid w:val="692929E1"/>
    <w:rsid w:val="69434C2D"/>
    <w:rsid w:val="69442058"/>
    <w:rsid w:val="6963079C"/>
    <w:rsid w:val="69917DC7"/>
    <w:rsid w:val="69A6F0CE"/>
    <w:rsid w:val="69AC9CB8"/>
    <w:rsid w:val="69BD1C9C"/>
    <w:rsid w:val="69D4DC28"/>
    <w:rsid w:val="69E75A04"/>
    <w:rsid w:val="69F47FE0"/>
    <w:rsid w:val="6A17DF76"/>
    <w:rsid w:val="6A25CBA4"/>
    <w:rsid w:val="6A2A9C95"/>
    <w:rsid w:val="6A3AB742"/>
    <w:rsid w:val="6A3D18CB"/>
    <w:rsid w:val="6A5121B9"/>
    <w:rsid w:val="6A6C9656"/>
    <w:rsid w:val="6AB1F788"/>
    <w:rsid w:val="6ACA7E16"/>
    <w:rsid w:val="6AE06433"/>
    <w:rsid w:val="6AECDEC1"/>
    <w:rsid w:val="6AF843EC"/>
    <w:rsid w:val="6B0AA161"/>
    <w:rsid w:val="6B26672B"/>
    <w:rsid w:val="6B30AC0C"/>
    <w:rsid w:val="6B3942A3"/>
    <w:rsid w:val="6B4D4BBE"/>
    <w:rsid w:val="6B721782"/>
    <w:rsid w:val="6B811EB4"/>
    <w:rsid w:val="6BCF5369"/>
    <w:rsid w:val="6BF86682"/>
    <w:rsid w:val="6C4313DC"/>
    <w:rsid w:val="6C4817F9"/>
    <w:rsid w:val="6C4AD9CA"/>
    <w:rsid w:val="6C88F6A1"/>
    <w:rsid w:val="6CB237CC"/>
    <w:rsid w:val="6CE87235"/>
    <w:rsid w:val="6CFDF74A"/>
    <w:rsid w:val="6D1D2594"/>
    <w:rsid w:val="6D1DABE0"/>
    <w:rsid w:val="6D3B695B"/>
    <w:rsid w:val="6D3D21F7"/>
    <w:rsid w:val="6D562883"/>
    <w:rsid w:val="6D5B908C"/>
    <w:rsid w:val="6D5BE0AC"/>
    <w:rsid w:val="6D6D2379"/>
    <w:rsid w:val="6D73A4DC"/>
    <w:rsid w:val="6D89E369"/>
    <w:rsid w:val="6D8D21C5"/>
    <w:rsid w:val="6DEABBC2"/>
    <w:rsid w:val="6DED87F1"/>
    <w:rsid w:val="6E2EC197"/>
    <w:rsid w:val="6E47DA4A"/>
    <w:rsid w:val="6E48F460"/>
    <w:rsid w:val="6E6A5520"/>
    <w:rsid w:val="6EAB4AA4"/>
    <w:rsid w:val="6EBD2078"/>
    <w:rsid w:val="6EE946C0"/>
    <w:rsid w:val="6EF6F789"/>
    <w:rsid w:val="6F0024DD"/>
    <w:rsid w:val="6F651FC7"/>
    <w:rsid w:val="6F654DAC"/>
    <w:rsid w:val="6F8812F1"/>
    <w:rsid w:val="6FB51107"/>
    <w:rsid w:val="6FDA5C5B"/>
    <w:rsid w:val="6FDFE83E"/>
    <w:rsid w:val="6FE00325"/>
    <w:rsid w:val="6FE433D9"/>
    <w:rsid w:val="700531F0"/>
    <w:rsid w:val="70316C1C"/>
    <w:rsid w:val="705120F7"/>
    <w:rsid w:val="70708898"/>
    <w:rsid w:val="709117D8"/>
    <w:rsid w:val="70944825"/>
    <w:rsid w:val="709719D6"/>
    <w:rsid w:val="70A9FBB6"/>
    <w:rsid w:val="70ABEBF6"/>
    <w:rsid w:val="70B3444F"/>
    <w:rsid w:val="70DC5428"/>
    <w:rsid w:val="70E3533A"/>
    <w:rsid w:val="71170FFB"/>
    <w:rsid w:val="7123A2A1"/>
    <w:rsid w:val="7139F204"/>
    <w:rsid w:val="7150897F"/>
    <w:rsid w:val="7165F3BC"/>
    <w:rsid w:val="717128C7"/>
    <w:rsid w:val="7180EA73"/>
    <w:rsid w:val="7190564D"/>
    <w:rsid w:val="71B7BB7E"/>
    <w:rsid w:val="71D3B3F0"/>
    <w:rsid w:val="71DC2BF2"/>
    <w:rsid w:val="71F594C5"/>
    <w:rsid w:val="72050E7F"/>
    <w:rsid w:val="722FBAF3"/>
    <w:rsid w:val="7257CB0E"/>
    <w:rsid w:val="7283AC7A"/>
    <w:rsid w:val="730459F4"/>
    <w:rsid w:val="7306EC04"/>
    <w:rsid w:val="734F685F"/>
    <w:rsid w:val="735BF5B8"/>
    <w:rsid w:val="735DB99D"/>
    <w:rsid w:val="736A5709"/>
    <w:rsid w:val="73746E39"/>
    <w:rsid w:val="7388BAA4"/>
    <w:rsid w:val="738EB4E1"/>
    <w:rsid w:val="739667EF"/>
    <w:rsid w:val="73ADD9EE"/>
    <w:rsid w:val="73BE7A4F"/>
    <w:rsid w:val="73C01DFF"/>
    <w:rsid w:val="73C03A07"/>
    <w:rsid w:val="73FE5F43"/>
    <w:rsid w:val="743328E4"/>
    <w:rsid w:val="7479D361"/>
    <w:rsid w:val="748AAAFE"/>
    <w:rsid w:val="74932440"/>
    <w:rsid w:val="74A8997C"/>
    <w:rsid w:val="74B87135"/>
    <w:rsid w:val="74B94A8D"/>
    <w:rsid w:val="74C280CB"/>
    <w:rsid w:val="74C76764"/>
    <w:rsid w:val="74E39D01"/>
    <w:rsid w:val="750258AC"/>
    <w:rsid w:val="7542BFFB"/>
    <w:rsid w:val="7551CF64"/>
    <w:rsid w:val="7562C1E9"/>
    <w:rsid w:val="7563244A"/>
    <w:rsid w:val="75723217"/>
    <w:rsid w:val="757AEFB9"/>
    <w:rsid w:val="7599EBCC"/>
    <w:rsid w:val="75D685AD"/>
    <w:rsid w:val="760C4964"/>
    <w:rsid w:val="76335C4F"/>
    <w:rsid w:val="76371922"/>
    <w:rsid w:val="763F4075"/>
    <w:rsid w:val="7660351C"/>
    <w:rsid w:val="768A5320"/>
    <w:rsid w:val="769917F4"/>
    <w:rsid w:val="76B063D2"/>
    <w:rsid w:val="76B20159"/>
    <w:rsid w:val="76BAE754"/>
    <w:rsid w:val="76D9C8C6"/>
    <w:rsid w:val="76EE73EA"/>
    <w:rsid w:val="76F59F5A"/>
    <w:rsid w:val="771BBBE7"/>
    <w:rsid w:val="772FCE44"/>
    <w:rsid w:val="7752E4E7"/>
    <w:rsid w:val="7753E985"/>
    <w:rsid w:val="7769C6EA"/>
    <w:rsid w:val="779E5AA6"/>
    <w:rsid w:val="77AC115E"/>
    <w:rsid w:val="77CD94E7"/>
    <w:rsid w:val="77E6A959"/>
    <w:rsid w:val="77F3FDE0"/>
    <w:rsid w:val="783BEB06"/>
    <w:rsid w:val="783F5C55"/>
    <w:rsid w:val="78585727"/>
    <w:rsid w:val="786FABB1"/>
    <w:rsid w:val="789892F9"/>
    <w:rsid w:val="78B72E90"/>
    <w:rsid w:val="78D0A73B"/>
    <w:rsid w:val="78DEF4B2"/>
    <w:rsid w:val="790EDDF3"/>
    <w:rsid w:val="79158708"/>
    <w:rsid w:val="79443A9F"/>
    <w:rsid w:val="7952E676"/>
    <w:rsid w:val="79556151"/>
    <w:rsid w:val="798417F6"/>
    <w:rsid w:val="7988F73C"/>
    <w:rsid w:val="79949D4C"/>
    <w:rsid w:val="79C06B40"/>
    <w:rsid w:val="79CAB3B9"/>
    <w:rsid w:val="79D2DFCE"/>
    <w:rsid w:val="7A0FA341"/>
    <w:rsid w:val="7A14585B"/>
    <w:rsid w:val="7A16393E"/>
    <w:rsid w:val="7A1A44EA"/>
    <w:rsid w:val="7A1F395C"/>
    <w:rsid w:val="7A9D0F5D"/>
    <w:rsid w:val="7AA5662E"/>
    <w:rsid w:val="7AB5151F"/>
    <w:rsid w:val="7ABAD7E2"/>
    <w:rsid w:val="7B092363"/>
    <w:rsid w:val="7B164066"/>
    <w:rsid w:val="7B517D93"/>
    <w:rsid w:val="7B7BB6E1"/>
    <w:rsid w:val="7BA6046D"/>
    <w:rsid w:val="7C017506"/>
    <w:rsid w:val="7C4353E9"/>
    <w:rsid w:val="7C537125"/>
    <w:rsid w:val="7C5DC446"/>
    <w:rsid w:val="7C60DC84"/>
    <w:rsid w:val="7C87B3AE"/>
    <w:rsid w:val="7C8F7777"/>
    <w:rsid w:val="7CAC57AF"/>
    <w:rsid w:val="7CDDC7F8"/>
    <w:rsid w:val="7CEFB3CD"/>
    <w:rsid w:val="7CFBDA65"/>
    <w:rsid w:val="7D1967F3"/>
    <w:rsid w:val="7D1C5B5F"/>
    <w:rsid w:val="7D288C2A"/>
    <w:rsid w:val="7D58662C"/>
    <w:rsid w:val="7D749626"/>
    <w:rsid w:val="7E193DB8"/>
    <w:rsid w:val="7E456EF4"/>
    <w:rsid w:val="7EABE824"/>
    <w:rsid w:val="7EAF6E2C"/>
    <w:rsid w:val="7EC9CB66"/>
    <w:rsid w:val="7EEE17BC"/>
    <w:rsid w:val="7EFF0CFF"/>
    <w:rsid w:val="7F0A2035"/>
    <w:rsid w:val="7F2157D0"/>
    <w:rsid w:val="7F3068FF"/>
    <w:rsid w:val="7F41FC64"/>
    <w:rsid w:val="7F5D10B0"/>
    <w:rsid w:val="7F71DF8E"/>
    <w:rsid w:val="7F7A7343"/>
    <w:rsid w:val="7F95E72C"/>
    <w:rsid w:val="7FC235EA"/>
    <w:rsid w:val="7FCDA102"/>
    <w:rsid w:val="7FD89F6B"/>
    <w:rsid w:val="7FDAE90D"/>
    <w:rsid w:val="7FF681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E7EA"/>
  <w15:docId w15:val="{53743BC7-87C7-4691-A486-9A2233D7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C9"/>
  </w:style>
  <w:style w:type="paragraph" w:styleId="Heading1">
    <w:name w:val="heading 1"/>
    <w:basedOn w:val="Normal"/>
    <w:next w:val="Normal"/>
    <w:link w:val="Heading1Char"/>
    <w:uiPriority w:val="9"/>
    <w:qFormat/>
    <w:rsid w:val="008F58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B1185A"/>
    <w:pPr>
      <w:keepNext/>
      <w:keepLines/>
      <w:numPr>
        <w:ilvl w:val="1"/>
        <w:numId w:val="1"/>
      </w:numPr>
      <w:spacing w:before="360" w:after="0"/>
      <w:jc w:val="center"/>
      <w:outlineLvl w:val="1"/>
    </w:pPr>
    <w:rPr>
      <w:rFonts w:ascii="Times New Roman" w:eastAsiaTheme="majorEastAsia" w:hAnsi="Times New Roman" w:cstheme="majorBidi"/>
      <w:b/>
      <w:bCs/>
      <w:smallCaps/>
      <w:color w:val="000000" w:themeColor="text1"/>
      <w:sz w:val="24"/>
      <w:szCs w:val="28"/>
    </w:rPr>
  </w:style>
  <w:style w:type="paragraph" w:styleId="Heading3">
    <w:name w:val="heading 3"/>
    <w:basedOn w:val="Normal"/>
    <w:next w:val="Normal"/>
    <w:link w:val="Heading3Char"/>
    <w:uiPriority w:val="9"/>
    <w:unhideWhenUsed/>
    <w:qFormat/>
    <w:rsid w:val="008F58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8F58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F58C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8F58C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8F58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8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8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B1185A"/>
    <w:rPr>
      <w:rFonts w:ascii="Times New Roman" w:eastAsiaTheme="majorEastAsia" w:hAnsi="Times New Roman" w:cstheme="majorBidi"/>
      <w:b/>
      <w:bCs/>
      <w:smallCaps/>
      <w:color w:val="000000" w:themeColor="text1"/>
      <w:sz w:val="24"/>
      <w:szCs w:val="28"/>
    </w:rPr>
  </w:style>
  <w:style w:type="character" w:customStyle="1" w:styleId="Heading3Char">
    <w:name w:val="Heading 3 Char"/>
    <w:basedOn w:val="DefaultParagraphFont"/>
    <w:link w:val="Heading3"/>
    <w:uiPriority w:val="9"/>
    <w:rsid w:val="008F58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8F58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F58C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8F58C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8F58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8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8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F58C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F58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8F58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8F58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8F58C9"/>
    <w:rPr>
      <w:color w:val="5A5A5A" w:themeColor="text1" w:themeTint="A5"/>
      <w:spacing w:val="10"/>
    </w:rPr>
  </w:style>
  <w:style w:type="character" w:styleId="Strong">
    <w:name w:val="Strong"/>
    <w:basedOn w:val="DefaultParagraphFont"/>
    <w:uiPriority w:val="22"/>
    <w:qFormat/>
    <w:rsid w:val="008F58C9"/>
    <w:rPr>
      <w:b/>
      <w:bCs/>
      <w:color w:val="000000" w:themeColor="text1"/>
    </w:rPr>
  </w:style>
  <w:style w:type="character" w:styleId="Emphasis">
    <w:name w:val="Emphasis"/>
    <w:basedOn w:val="DefaultParagraphFont"/>
    <w:uiPriority w:val="20"/>
    <w:qFormat/>
    <w:rsid w:val="008F58C9"/>
    <w:rPr>
      <w:i/>
      <w:iCs/>
      <w:color w:val="auto"/>
    </w:rPr>
  </w:style>
  <w:style w:type="paragraph" w:styleId="NoSpacing">
    <w:name w:val="No Spacing"/>
    <w:link w:val="NoSpacingChar"/>
    <w:uiPriority w:val="1"/>
    <w:qFormat/>
    <w:rsid w:val="008F58C9"/>
    <w:pPr>
      <w:spacing w:after="0" w:line="240" w:lineRule="auto"/>
    </w:pPr>
  </w:style>
  <w:style w:type="paragraph" w:styleId="Quote">
    <w:name w:val="Quote"/>
    <w:basedOn w:val="Normal"/>
    <w:next w:val="Normal"/>
    <w:link w:val="QuoteChar"/>
    <w:uiPriority w:val="29"/>
    <w:qFormat/>
    <w:rsid w:val="008F58C9"/>
    <w:pPr>
      <w:spacing w:before="160"/>
      <w:ind w:left="720" w:right="720"/>
    </w:pPr>
    <w:rPr>
      <w:i/>
      <w:iCs/>
      <w:color w:val="000000" w:themeColor="text1"/>
    </w:rPr>
  </w:style>
  <w:style w:type="character" w:customStyle="1" w:styleId="QuoteChar">
    <w:name w:val="Quote Char"/>
    <w:basedOn w:val="DefaultParagraphFont"/>
    <w:link w:val="Quote"/>
    <w:uiPriority w:val="29"/>
    <w:rsid w:val="008F58C9"/>
    <w:rPr>
      <w:i/>
      <w:iCs/>
      <w:color w:val="000000" w:themeColor="text1"/>
    </w:rPr>
  </w:style>
  <w:style w:type="paragraph" w:styleId="IntenseQuote">
    <w:name w:val="Intense Quote"/>
    <w:basedOn w:val="Normal"/>
    <w:next w:val="Normal"/>
    <w:link w:val="IntenseQuoteChar"/>
    <w:uiPriority w:val="30"/>
    <w:qFormat/>
    <w:rsid w:val="008F58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8F58C9"/>
    <w:rPr>
      <w:color w:val="000000" w:themeColor="text1"/>
      <w:shd w:val="clear" w:color="auto" w:fill="F2F2F2" w:themeFill="background1" w:themeFillShade="F2"/>
    </w:rPr>
  </w:style>
  <w:style w:type="character" w:styleId="SubtleEmphasis">
    <w:name w:val="Subtle Emphasis"/>
    <w:basedOn w:val="DefaultParagraphFont"/>
    <w:uiPriority w:val="19"/>
    <w:qFormat/>
    <w:rsid w:val="008F58C9"/>
    <w:rPr>
      <w:i/>
      <w:iCs/>
      <w:color w:val="404040" w:themeColor="text1" w:themeTint="BF"/>
    </w:rPr>
  </w:style>
  <w:style w:type="character" w:styleId="IntenseEmphasis">
    <w:name w:val="Intense Emphasis"/>
    <w:basedOn w:val="DefaultParagraphFont"/>
    <w:uiPriority w:val="21"/>
    <w:qFormat/>
    <w:rsid w:val="008F58C9"/>
    <w:rPr>
      <w:b/>
      <w:bCs/>
      <w:i/>
      <w:iCs/>
      <w:caps/>
    </w:rPr>
  </w:style>
  <w:style w:type="character" w:styleId="SubtleReference">
    <w:name w:val="Subtle Reference"/>
    <w:basedOn w:val="DefaultParagraphFont"/>
    <w:uiPriority w:val="31"/>
    <w:qFormat/>
    <w:rsid w:val="008F58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F58C9"/>
    <w:rPr>
      <w:b/>
      <w:bCs/>
      <w:smallCaps/>
      <w:u w:val="single"/>
    </w:rPr>
  </w:style>
  <w:style w:type="character" w:styleId="BookTitle">
    <w:name w:val="Book Title"/>
    <w:basedOn w:val="DefaultParagraphFont"/>
    <w:uiPriority w:val="33"/>
    <w:qFormat/>
    <w:rsid w:val="008F58C9"/>
    <w:rPr>
      <w:b w:val="0"/>
      <w:bCs w:val="0"/>
      <w:smallCaps/>
      <w:spacing w:val="5"/>
    </w:rPr>
  </w:style>
  <w:style w:type="paragraph" w:styleId="TOCHeading">
    <w:name w:val="TOC Heading"/>
    <w:basedOn w:val="Heading1"/>
    <w:next w:val="Normal"/>
    <w:uiPriority w:val="39"/>
    <w:unhideWhenUsed/>
    <w:qFormat/>
    <w:rsid w:val="008F58C9"/>
    <w:pPr>
      <w:outlineLvl w:val="9"/>
    </w:pPr>
  </w:style>
  <w:style w:type="paragraph" w:styleId="TOC1">
    <w:name w:val="toc 1"/>
    <w:basedOn w:val="Normal"/>
    <w:next w:val="Normal"/>
    <w:autoRedefine/>
    <w:uiPriority w:val="39"/>
    <w:unhideWhenUsed/>
    <w:rsid w:val="005C53DF"/>
    <w:pPr>
      <w:tabs>
        <w:tab w:val="left" w:pos="440"/>
        <w:tab w:val="right" w:leader="dot" w:pos="9628"/>
      </w:tabs>
      <w:spacing w:after="100"/>
      <w:ind w:left="-180"/>
    </w:pPr>
    <w:rPr>
      <w:rFonts w:ascii="Times New Roman" w:hAnsi="Times New Roman" w:cs="Times New Roman"/>
      <w:noProof/>
      <w:sz w:val="24"/>
      <w:szCs w:val="24"/>
    </w:rPr>
  </w:style>
  <w:style w:type="character" w:styleId="Hyperlink">
    <w:name w:val="Hyperlink"/>
    <w:basedOn w:val="DefaultParagraphFont"/>
    <w:uiPriority w:val="99"/>
    <w:unhideWhenUsed/>
    <w:rsid w:val="002A186B"/>
    <w:rPr>
      <w:color w:val="0563C1" w:themeColor="hyperlink"/>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A4529B"/>
    <w:pPr>
      <w:spacing w:after="0" w:line="240" w:lineRule="auto"/>
      <w:ind w:left="720"/>
      <w:contextualSpacing/>
      <w:jc w:val="both"/>
    </w:pPr>
    <w:rPr>
      <w:rFonts w:ascii="Calibri" w:eastAsia="Calibri" w:hAnsi="Calibri" w:cs="Times New Roman"/>
    </w:rPr>
  </w:style>
  <w:style w:type="paragraph" w:styleId="FootnoteText">
    <w:name w:val="footnote text"/>
    <w:aliases w:val=" Char,Footnote,Fußnote,Footnote Text Char1,Footnote Text Char2 Char,Footnote Text Char1 Char Char,Footnote Text Char2 Char Char Char,Footnote Text Char1 Char Char Char Char,Footnote Text Char2 Char Char Char Char Char,ft,f,Char,stile 1,fn"/>
    <w:basedOn w:val="Normal"/>
    <w:link w:val="FootnoteTextChar"/>
    <w:uiPriority w:val="99"/>
    <w:unhideWhenUsed/>
    <w:qFormat/>
    <w:rsid w:val="00B95E92"/>
    <w:pPr>
      <w:spacing w:after="0" w:line="240" w:lineRule="auto"/>
    </w:pPr>
    <w:rPr>
      <w:rFonts w:ascii="Times New Roman" w:eastAsiaTheme="minorHAnsi" w:hAnsi="Times New Roman"/>
      <w:sz w:val="20"/>
      <w:szCs w:val="20"/>
    </w:rPr>
  </w:style>
  <w:style w:type="character" w:customStyle="1" w:styleId="FootnoteTextChar">
    <w:name w:val="Footnote Text Char"/>
    <w:aliases w:val=" Char Char,Footnote Char,Fußnote Char,Footnote Text Char1 Char,Footnote Text Char2 Char Char,Footnote Text Char1 Char Char Char,Footnote Text Char2 Char Char Char Char,Footnote Text Char1 Char Char Char Char Char,ft Char,f Char"/>
    <w:basedOn w:val="DefaultParagraphFont"/>
    <w:link w:val="FootnoteText"/>
    <w:uiPriority w:val="99"/>
    <w:qFormat/>
    <w:rsid w:val="00B95E92"/>
    <w:rPr>
      <w:rFonts w:ascii="Times New Roman" w:eastAsiaTheme="minorHAnsi" w:hAnsi="Times New Roman"/>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B95E92"/>
    <w:rPr>
      <w:vertAlign w:val="superscript"/>
    </w:rPr>
  </w:style>
  <w:style w:type="paragraph" w:styleId="BodyTextIndent2">
    <w:name w:val="Body Text Indent 2"/>
    <w:basedOn w:val="Normal"/>
    <w:link w:val="BodyTextIndent2Char"/>
    <w:semiHidden/>
    <w:rsid w:val="00B95E92"/>
    <w:pPr>
      <w:spacing w:before="120" w:after="120" w:line="240" w:lineRule="auto"/>
      <w:ind w:firstLine="706"/>
      <w:jc w:val="both"/>
    </w:pPr>
    <w:rPr>
      <w:rFonts w:ascii="Times New Roman" w:eastAsia="Times New Roman" w:hAnsi="Times New Roman" w:cs="Times New Roman"/>
      <w:sz w:val="24"/>
      <w:szCs w:val="20"/>
      <w:lang w:val="x-none" w:eastAsia="x-none"/>
    </w:rPr>
  </w:style>
  <w:style w:type="character" w:customStyle="1" w:styleId="BodyTextIndent2Char">
    <w:name w:val="Body Text Indent 2 Char"/>
    <w:basedOn w:val="DefaultParagraphFont"/>
    <w:link w:val="BodyTextIndent2"/>
    <w:semiHidden/>
    <w:rsid w:val="00B95E92"/>
    <w:rPr>
      <w:rFonts w:ascii="Times New Roman" w:eastAsia="Times New Roman" w:hAnsi="Times New Roman" w:cs="Times New Roman"/>
      <w:sz w:val="24"/>
      <w:szCs w:val="20"/>
      <w:lang w:val="x-none" w:eastAsia="x-none"/>
    </w:rPr>
  </w:style>
  <w:style w:type="table" w:styleId="TableGrid">
    <w:name w:val="Table Grid"/>
    <w:basedOn w:val="TableNormal"/>
    <w:rsid w:val="00B95E92"/>
    <w:pPr>
      <w:spacing w:after="0" w:line="240" w:lineRule="auto"/>
    </w:pPr>
    <w:rPr>
      <w:rFonts w:ascii="Times New Roman" w:eastAsiaTheme="minorHAns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8D63D7"/>
    <w:pPr>
      <w:tabs>
        <w:tab w:val="left" w:pos="880"/>
        <w:tab w:val="right" w:leader="dot" w:pos="9628"/>
      </w:tabs>
      <w:spacing w:after="100"/>
      <w:ind w:left="220"/>
    </w:pPr>
  </w:style>
  <w:style w:type="paragraph" w:styleId="BalloonText">
    <w:name w:val="Balloon Text"/>
    <w:basedOn w:val="Normal"/>
    <w:link w:val="BalloonTextChar"/>
    <w:uiPriority w:val="99"/>
    <w:semiHidden/>
    <w:unhideWhenUsed/>
    <w:rsid w:val="00167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534"/>
    <w:rPr>
      <w:rFonts w:ascii="Segoe UI" w:hAnsi="Segoe UI" w:cs="Segoe UI"/>
      <w:sz w:val="18"/>
      <w:szCs w:val="18"/>
    </w:rPr>
  </w:style>
  <w:style w:type="table" w:customStyle="1" w:styleId="GridTable6Colorful-Accent11">
    <w:name w:val="Grid Table 6 Colorful - Accent 11"/>
    <w:basedOn w:val="TableNormal"/>
    <w:uiPriority w:val="51"/>
    <w:rsid w:val="0089209F"/>
    <w:pPr>
      <w:spacing w:after="0" w:line="240" w:lineRule="auto"/>
    </w:pPr>
    <w:rPr>
      <w:rFonts w:ascii="Times New Roman" w:eastAsiaTheme="minorHAnsi" w:hAnsi="Times New Roman"/>
      <w:color w:val="2E74B5" w:themeColor="accent1" w:themeShade="BF"/>
      <w:sz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0F7CA1"/>
    <w:pPr>
      <w:spacing w:after="0" w:line="240" w:lineRule="auto"/>
    </w:pPr>
  </w:style>
  <w:style w:type="character" w:styleId="CommentReference">
    <w:name w:val="annotation reference"/>
    <w:basedOn w:val="DefaultParagraphFont"/>
    <w:uiPriority w:val="99"/>
    <w:unhideWhenUsed/>
    <w:rsid w:val="00822D84"/>
    <w:rPr>
      <w:sz w:val="16"/>
      <w:szCs w:val="16"/>
    </w:rPr>
  </w:style>
  <w:style w:type="paragraph" w:styleId="CommentText">
    <w:name w:val="annotation text"/>
    <w:basedOn w:val="Normal"/>
    <w:link w:val="CommentTextChar"/>
    <w:unhideWhenUsed/>
    <w:rsid w:val="00822D84"/>
    <w:pPr>
      <w:spacing w:line="240" w:lineRule="auto"/>
    </w:pPr>
    <w:rPr>
      <w:sz w:val="20"/>
      <w:szCs w:val="20"/>
    </w:rPr>
  </w:style>
  <w:style w:type="character" w:customStyle="1" w:styleId="CommentTextChar">
    <w:name w:val="Comment Text Char"/>
    <w:basedOn w:val="DefaultParagraphFont"/>
    <w:link w:val="CommentText"/>
    <w:rsid w:val="00822D84"/>
    <w:rPr>
      <w:sz w:val="20"/>
      <w:szCs w:val="20"/>
    </w:rPr>
  </w:style>
  <w:style w:type="paragraph" w:styleId="CommentSubject">
    <w:name w:val="annotation subject"/>
    <w:basedOn w:val="CommentText"/>
    <w:next w:val="CommentText"/>
    <w:link w:val="CommentSubjectChar"/>
    <w:uiPriority w:val="99"/>
    <w:semiHidden/>
    <w:unhideWhenUsed/>
    <w:rsid w:val="00822D84"/>
    <w:rPr>
      <w:b/>
      <w:bCs/>
    </w:rPr>
  </w:style>
  <w:style w:type="character" w:customStyle="1" w:styleId="CommentSubjectChar">
    <w:name w:val="Comment Subject Char"/>
    <w:basedOn w:val="CommentTextChar"/>
    <w:link w:val="CommentSubject"/>
    <w:uiPriority w:val="99"/>
    <w:semiHidden/>
    <w:rsid w:val="00822D84"/>
    <w:rPr>
      <w:b/>
      <w:bCs/>
      <w:sz w:val="20"/>
      <w:szCs w:val="20"/>
    </w:rPr>
  </w:style>
  <w:style w:type="paragraph" w:styleId="TOC3">
    <w:name w:val="toc 3"/>
    <w:basedOn w:val="Normal"/>
    <w:next w:val="Normal"/>
    <w:autoRedefine/>
    <w:uiPriority w:val="39"/>
    <w:unhideWhenUsed/>
    <w:rsid w:val="002C020C"/>
    <w:pPr>
      <w:tabs>
        <w:tab w:val="right" w:leader="dot" w:pos="9639"/>
      </w:tabs>
      <w:spacing w:after="100"/>
      <w:ind w:left="440"/>
    </w:pPr>
  </w:style>
  <w:style w:type="paragraph" w:customStyle="1" w:styleId="Default">
    <w:name w:val="Default"/>
    <w:rsid w:val="009C5F1D"/>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basedOn w:val="DefaultParagraphFont"/>
    <w:link w:val="NoSpacing"/>
    <w:uiPriority w:val="1"/>
    <w:rsid w:val="00444AD7"/>
  </w:style>
  <w:style w:type="paragraph" w:styleId="Header">
    <w:name w:val="header"/>
    <w:basedOn w:val="Normal"/>
    <w:link w:val="HeaderChar"/>
    <w:uiPriority w:val="99"/>
    <w:unhideWhenUsed/>
    <w:rsid w:val="00444A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4AD7"/>
  </w:style>
  <w:style w:type="paragraph" w:styleId="Footer">
    <w:name w:val="footer"/>
    <w:basedOn w:val="Normal"/>
    <w:link w:val="FooterChar"/>
    <w:uiPriority w:val="99"/>
    <w:unhideWhenUsed/>
    <w:rsid w:val="00444A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4AD7"/>
  </w:style>
  <w:style w:type="character" w:styleId="FollowedHyperlink">
    <w:name w:val="FollowedHyperlink"/>
    <w:basedOn w:val="DefaultParagraphFont"/>
    <w:uiPriority w:val="99"/>
    <w:semiHidden/>
    <w:unhideWhenUsed/>
    <w:rsid w:val="00D21477"/>
    <w:rPr>
      <w:color w:val="954F72" w:themeColor="followedHyperlink"/>
      <w:u w:val="single"/>
    </w:rPr>
  </w:style>
  <w:style w:type="table" w:styleId="GridTable6Colorful-Accent1">
    <w:name w:val="Grid Table 6 Colorful Accent 1"/>
    <w:basedOn w:val="TableNormal"/>
    <w:uiPriority w:val="51"/>
    <w:rsid w:val="00527C9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5D45EA"/>
  </w:style>
  <w:style w:type="paragraph" w:customStyle="1" w:styleId="liknoteik">
    <w:name w:val="lik_noteik"/>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AE19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haretitle">
    <w:name w:val="share_title"/>
    <w:basedOn w:val="DefaultParagraphFont"/>
    <w:rsid w:val="00044F5F"/>
  </w:style>
  <w:style w:type="paragraph" w:styleId="BodyText">
    <w:name w:val="Body Text"/>
    <w:basedOn w:val="Normal"/>
    <w:link w:val="BodyTextChar"/>
    <w:uiPriority w:val="99"/>
    <w:unhideWhenUsed/>
    <w:rsid w:val="00C559FC"/>
    <w:pPr>
      <w:spacing w:after="120"/>
    </w:pPr>
  </w:style>
  <w:style w:type="character" w:customStyle="1" w:styleId="BodyTextChar">
    <w:name w:val="Body Text Char"/>
    <w:basedOn w:val="DefaultParagraphFont"/>
    <w:link w:val="BodyText"/>
    <w:uiPriority w:val="99"/>
    <w:rsid w:val="00C559FC"/>
  </w:style>
  <w:style w:type="table" w:styleId="GridTable1Light-Accent1">
    <w:name w:val="Grid Table 1 Light Accent 1"/>
    <w:basedOn w:val="TableNormal"/>
    <w:uiPriority w:val="46"/>
    <w:rsid w:val="001B0DB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1B0D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1B0DB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820CDD"/>
    <w:rPr>
      <w:rFonts w:ascii="Calibri" w:eastAsia="Calibri" w:hAnsi="Calibri" w:cs="Times New Roman"/>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20CDD"/>
    <w:pPr>
      <w:spacing w:line="240" w:lineRule="exact"/>
    </w:pPr>
    <w:rPr>
      <w:vertAlign w:val="superscript"/>
    </w:rPr>
  </w:style>
  <w:style w:type="paragraph" w:customStyle="1" w:styleId="xmsonormal">
    <w:name w:val="x_msonormal"/>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listparagraph">
    <w:name w:val="x_msolistparagraph"/>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2">
    <w:name w:val="Text 2"/>
    <w:basedOn w:val="Normal"/>
    <w:uiPriority w:val="90"/>
    <w:qFormat/>
    <w:rsid w:val="00AD3789"/>
    <w:pPr>
      <w:spacing w:after="240" w:line="240" w:lineRule="auto"/>
      <w:ind w:left="1202"/>
      <w:jc w:val="both"/>
    </w:pPr>
    <w:rPr>
      <w:rFonts w:ascii="Times New Roman" w:eastAsia="Times New Roman" w:hAnsi="Times New Roman" w:cs="Times New Roman"/>
      <w:sz w:val="24"/>
      <w:szCs w:val="20"/>
      <w:lang w:eastAsia="en-GB"/>
    </w:rPr>
  </w:style>
  <w:style w:type="paragraph" w:customStyle="1" w:styleId="teksts">
    <w:name w:val="teksts"/>
    <w:rsid w:val="00C1766B"/>
    <w:pPr>
      <w:spacing w:after="120" w:line="240" w:lineRule="auto"/>
      <w:jc w:val="both"/>
    </w:pPr>
    <w:rPr>
      <w:rFonts w:ascii="Garamond" w:eastAsia="Times New Roman" w:hAnsi="Garamond" w:cs="Times New Roman"/>
      <w:sz w:val="24"/>
      <w:szCs w:val="20"/>
    </w:rPr>
  </w:style>
  <w:style w:type="table" w:styleId="TableGridLight">
    <w:name w:val="Grid Table Light"/>
    <w:basedOn w:val="TableNormal"/>
    <w:uiPriority w:val="40"/>
    <w:rsid w:val="000958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958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
    <w:uiPriority w:val="99"/>
    <w:semiHidden/>
    <w:unhideWhenUsed/>
    <w:rsid w:val="00A07DFA"/>
    <w:pPr>
      <w:spacing w:after="120" w:line="480" w:lineRule="auto"/>
    </w:pPr>
  </w:style>
  <w:style w:type="character" w:customStyle="1" w:styleId="BodyText2Char">
    <w:name w:val="Body Text 2 Char"/>
    <w:basedOn w:val="DefaultParagraphFont"/>
    <w:link w:val="BodyText2"/>
    <w:uiPriority w:val="99"/>
    <w:semiHidden/>
    <w:rsid w:val="00A07DFA"/>
  </w:style>
  <w:style w:type="paragraph" w:customStyle="1" w:styleId="text-font">
    <w:name w:val="text-font"/>
    <w:basedOn w:val="Normal"/>
    <w:rsid w:val="00162F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rynqvb">
    <w:name w:val="rynqvb"/>
    <w:basedOn w:val="DefaultParagraphFont"/>
    <w:rsid w:val="00FF4095"/>
  </w:style>
  <w:style w:type="character" w:styleId="UnresolvedMention">
    <w:name w:val="Unresolved Mention"/>
    <w:basedOn w:val="DefaultParagraphFont"/>
    <w:uiPriority w:val="99"/>
    <w:semiHidden/>
    <w:unhideWhenUsed/>
    <w:rsid w:val="002A2A98"/>
    <w:rPr>
      <w:color w:val="605E5C"/>
      <w:shd w:val="clear" w:color="auto" w:fill="E1DFDD"/>
    </w:rPr>
  </w:style>
  <w:style w:type="paragraph" w:styleId="EndnoteText">
    <w:name w:val="endnote text"/>
    <w:basedOn w:val="Normal"/>
    <w:link w:val="EndnoteTextChar"/>
    <w:uiPriority w:val="99"/>
    <w:semiHidden/>
    <w:unhideWhenUsed/>
    <w:rsid w:val="007F68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680F"/>
    <w:rPr>
      <w:sz w:val="20"/>
      <w:szCs w:val="20"/>
    </w:rPr>
  </w:style>
  <w:style w:type="character" w:styleId="EndnoteReference">
    <w:name w:val="endnote reference"/>
    <w:basedOn w:val="DefaultParagraphFont"/>
    <w:uiPriority w:val="99"/>
    <w:semiHidden/>
    <w:unhideWhenUsed/>
    <w:rsid w:val="007F680F"/>
    <w:rPr>
      <w:vertAlign w:val="superscript"/>
    </w:rPr>
  </w:style>
  <w:style w:type="table" w:customStyle="1" w:styleId="GridTable6Colorful-Accent12">
    <w:name w:val="Grid Table 6 Colorful - Accent 12"/>
    <w:basedOn w:val="TableNormal"/>
    <w:next w:val="GridTable6Colorful-Accent1"/>
    <w:uiPriority w:val="51"/>
    <w:rsid w:val="006D6A17"/>
    <w:pPr>
      <w:spacing w:after="0" w:line="240" w:lineRule="auto"/>
    </w:pPr>
    <w:rPr>
      <w:rFonts w:ascii="Times New Roman" w:eastAsia="Calibri" w:hAnsi="Times New Roman" w:cs="Times New Roman"/>
      <w:color w:val="2F5496"/>
      <w:kern w:val="2"/>
      <w:sz w:val="24"/>
      <w:szCs w:val="24"/>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3">
    <w:name w:val="Grid Table 6 Colorful - Accent 13"/>
    <w:basedOn w:val="TableNormal"/>
    <w:next w:val="GridTable6Colorful-Accent1"/>
    <w:uiPriority w:val="51"/>
    <w:rsid w:val="006D6A17"/>
    <w:pPr>
      <w:spacing w:after="0" w:line="240" w:lineRule="auto"/>
    </w:pPr>
    <w:rPr>
      <w:rFonts w:ascii="Times New Roman" w:eastAsia="Calibri" w:hAnsi="Times New Roman" w:cs="Times New Roman"/>
      <w:color w:val="2F5496"/>
      <w:kern w:val="2"/>
      <w:sz w:val="24"/>
      <w:szCs w:val="24"/>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f01">
    <w:name w:val="cf01"/>
    <w:basedOn w:val="DefaultParagraphFont"/>
    <w:rsid w:val="0043659D"/>
    <w:rPr>
      <w:rFonts w:ascii="Segoe UI" w:hAnsi="Segoe UI" w:cs="Segoe UI" w:hint="default"/>
      <w:sz w:val="18"/>
      <w:szCs w:val="18"/>
    </w:rPr>
  </w:style>
  <w:style w:type="character" w:customStyle="1" w:styleId="numbered-fieldnumber-numeral">
    <w:name w:val="numbered-field__number-numeral"/>
    <w:basedOn w:val="DefaultParagraphFont"/>
    <w:rsid w:val="0010004E"/>
  </w:style>
  <w:style w:type="paragraph" w:customStyle="1" w:styleId="Char1">
    <w:name w:val="Char1"/>
    <w:basedOn w:val="Normal"/>
    <w:next w:val="FootnoteText"/>
    <w:uiPriority w:val="99"/>
    <w:unhideWhenUsed/>
    <w:qFormat/>
    <w:rsid w:val="00C6081C"/>
    <w:pPr>
      <w:spacing w:after="0" w:line="240" w:lineRule="auto"/>
    </w:pPr>
    <w:rPr>
      <w:rFonts w:ascii="Times New Roman" w:eastAsia="Calibri" w:hAnsi="Times New Roman"/>
      <w:kern w:val="2"/>
      <w:sz w:val="20"/>
      <w:szCs w:val="20"/>
      <w14:ligatures w14:val="standardContextual"/>
    </w:rPr>
  </w:style>
  <w:style w:type="paragraph" w:customStyle="1" w:styleId="tv213">
    <w:name w:val="tv213"/>
    <w:basedOn w:val="Normal"/>
    <w:rsid w:val="00F151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notesymbolCarZchn">
    <w:name w:val="Footnote symbol Car Zchn"/>
    <w:basedOn w:val="Normal"/>
    <w:qFormat/>
    <w:rsid w:val="00DC2B67"/>
    <w:pPr>
      <w:spacing w:after="0" w:line="240" w:lineRule="auto"/>
      <w:ind w:left="284" w:hanging="284"/>
      <w:jc w:val="both"/>
    </w:pPr>
    <w:rPr>
      <w:rFonts w:eastAsiaTheme="minorHAns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0499">
      <w:bodyDiv w:val="1"/>
      <w:marLeft w:val="0"/>
      <w:marRight w:val="0"/>
      <w:marTop w:val="0"/>
      <w:marBottom w:val="0"/>
      <w:divBdr>
        <w:top w:val="none" w:sz="0" w:space="0" w:color="auto"/>
        <w:left w:val="none" w:sz="0" w:space="0" w:color="auto"/>
        <w:bottom w:val="none" w:sz="0" w:space="0" w:color="auto"/>
        <w:right w:val="none" w:sz="0" w:space="0" w:color="auto"/>
      </w:divBdr>
    </w:div>
    <w:div w:id="29499036">
      <w:bodyDiv w:val="1"/>
      <w:marLeft w:val="0"/>
      <w:marRight w:val="0"/>
      <w:marTop w:val="0"/>
      <w:marBottom w:val="0"/>
      <w:divBdr>
        <w:top w:val="none" w:sz="0" w:space="0" w:color="auto"/>
        <w:left w:val="none" w:sz="0" w:space="0" w:color="auto"/>
        <w:bottom w:val="none" w:sz="0" w:space="0" w:color="auto"/>
        <w:right w:val="none" w:sz="0" w:space="0" w:color="auto"/>
      </w:divBdr>
    </w:div>
    <w:div w:id="39518762">
      <w:bodyDiv w:val="1"/>
      <w:marLeft w:val="0"/>
      <w:marRight w:val="0"/>
      <w:marTop w:val="0"/>
      <w:marBottom w:val="0"/>
      <w:divBdr>
        <w:top w:val="none" w:sz="0" w:space="0" w:color="auto"/>
        <w:left w:val="none" w:sz="0" w:space="0" w:color="auto"/>
        <w:bottom w:val="none" w:sz="0" w:space="0" w:color="auto"/>
        <w:right w:val="none" w:sz="0" w:space="0" w:color="auto"/>
      </w:divBdr>
    </w:div>
    <w:div w:id="46732387">
      <w:bodyDiv w:val="1"/>
      <w:marLeft w:val="0"/>
      <w:marRight w:val="0"/>
      <w:marTop w:val="0"/>
      <w:marBottom w:val="0"/>
      <w:divBdr>
        <w:top w:val="none" w:sz="0" w:space="0" w:color="auto"/>
        <w:left w:val="none" w:sz="0" w:space="0" w:color="auto"/>
        <w:bottom w:val="none" w:sz="0" w:space="0" w:color="auto"/>
        <w:right w:val="none" w:sz="0" w:space="0" w:color="auto"/>
      </w:divBdr>
    </w:div>
    <w:div w:id="56099463">
      <w:bodyDiv w:val="1"/>
      <w:marLeft w:val="0"/>
      <w:marRight w:val="0"/>
      <w:marTop w:val="0"/>
      <w:marBottom w:val="0"/>
      <w:divBdr>
        <w:top w:val="none" w:sz="0" w:space="0" w:color="auto"/>
        <w:left w:val="none" w:sz="0" w:space="0" w:color="auto"/>
        <w:bottom w:val="none" w:sz="0" w:space="0" w:color="auto"/>
        <w:right w:val="none" w:sz="0" w:space="0" w:color="auto"/>
      </w:divBdr>
    </w:div>
    <w:div w:id="57897035">
      <w:bodyDiv w:val="1"/>
      <w:marLeft w:val="0"/>
      <w:marRight w:val="0"/>
      <w:marTop w:val="0"/>
      <w:marBottom w:val="0"/>
      <w:divBdr>
        <w:top w:val="none" w:sz="0" w:space="0" w:color="auto"/>
        <w:left w:val="none" w:sz="0" w:space="0" w:color="auto"/>
        <w:bottom w:val="none" w:sz="0" w:space="0" w:color="auto"/>
        <w:right w:val="none" w:sz="0" w:space="0" w:color="auto"/>
      </w:divBdr>
    </w:div>
    <w:div w:id="64692565">
      <w:bodyDiv w:val="1"/>
      <w:marLeft w:val="0"/>
      <w:marRight w:val="0"/>
      <w:marTop w:val="0"/>
      <w:marBottom w:val="0"/>
      <w:divBdr>
        <w:top w:val="none" w:sz="0" w:space="0" w:color="auto"/>
        <w:left w:val="none" w:sz="0" w:space="0" w:color="auto"/>
        <w:bottom w:val="none" w:sz="0" w:space="0" w:color="auto"/>
        <w:right w:val="none" w:sz="0" w:space="0" w:color="auto"/>
      </w:divBdr>
    </w:div>
    <w:div w:id="64888110">
      <w:bodyDiv w:val="1"/>
      <w:marLeft w:val="0"/>
      <w:marRight w:val="0"/>
      <w:marTop w:val="0"/>
      <w:marBottom w:val="0"/>
      <w:divBdr>
        <w:top w:val="none" w:sz="0" w:space="0" w:color="auto"/>
        <w:left w:val="none" w:sz="0" w:space="0" w:color="auto"/>
        <w:bottom w:val="none" w:sz="0" w:space="0" w:color="auto"/>
        <w:right w:val="none" w:sz="0" w:space="0" w:color="auto"/>
      </w:divBdr>
    </w:div>
    <w:div w:id="68624366">
      <w:bodyDiv w:val="1"/>
      <w:marLeft w:val="0"/>
      <w:marRight w:val="0"/>
      <w:marTop w:val="0"/>
      <w:marBottom w:val="0"/>
      <w:divBdr>
        <w:top w:val="none" w:sz="0" w:space="0" w:color="auto"/>
        <w:left w:val="none" w:sz="0" w:space="0" w:color="auto"/>
        <w:bottom w:val="none" w:sz="0" w:space="0" w:color="auto"/>
        <w:right w:val="none" w:sz="0" w:space="0" w:color="auto"/>
      </w:divBdr>
    </w:div>
    <w:div w:id="72357465">
      <w:bodyDiv w:val="1"/>
      <w:marLeft w:val="0"/>
      <w:marRight w:val="0"/>
      <w:marTop w:val="0"/>
      <w:marBottom w:val="0"/>
      <w:divBdr>
        <w:top w:val="none" w:sz="0" w:space="0" w:color="auto"/>
        <w:left w:val="none" w:sz="0" w:space="0" w:color="auto"/>
        <w:bottom w:val="none" w:sz="0" w:space="0" w:color="auto"/>
        <w:right w:val="none" w:sz="0" w:space="0" w:color="auto"/>
      </w:divBdr>
    </w:div>
    <w:div w:id="75789148">
      <w:bodyDiv w:val="1"/>
      <w:marLeft w:val="0"/>
      <w:marRight w:val="0"/>
      <w:marTop w:val="0"/>
      <w:marBottom w:val="0"/>
      <w:divBdr>
        <w:top w:val="none" w:sz="0" w:space="0" w:color="auto"/>
        <w:left w:val="none" w:sz="0" w:space="0" w:color="auto"/>
        <w:bottom w:val="none" w:sz="0" w:space="0" w:color="auto"/>
        <w:right w:val="none" w:sz="0" w:space="0" w:color="auto"/>
      </w:divBdr>
    </w:div>
    <w:div w:id="82924319">
      <w:bodyDiv w:val="1"/>
      <w:marLeft w:val="0"/>
      <w:marRight w:val="0"/>
      <w:marTop w:val="0"/>
      <w:marBottom w:val="0"/>
      <w:divBdr>
        <w:top w:val="none" w:sz="0" w:space="0" w:color="auto"/>
        <w:left w:val="none" w:sz="0" w:space="0" w:color="auto"/>
        <w:bottom w:val="none" w:sz="0" w:space="0" w:color="auto"/>
        <w:right w:val="none" w:sz="0" w:space="0" w:color="auto"/>
      </w:divBdr>
    </w:div>
    <w:div w:id="85924990">
      <w:bodyDiv w:val="1"/>
      <w:marLeft w:val="0"/>
      <w:marRight w:val="0"/>
      <w:marTop w:val="0"/>
      <w:marBottom w:val="0"/>
      <w:divBdr>
        <w:top w:val="none" w:sz="0" w:space="0" w:color="auto"/>
        <w:left w:val="none" w:sz="0" w:space="0" w:color="auto"/>
        <w:bottom w:val="none" w:sz="0" w:space="0" w:color="auto"/>
        <w:right w:val="none" w:sz="0" w:space="0" w:color="auto"/>
      </w:divBdr>
    </w:div>
    <w:div w:id="98722229">
      <w:bodyDiv w:val="1"/>
      <w:marLeft w:val="0"/>
      <w:marRight w:val="0"/>
      <w:marTop w:val="0"/>
      <w:marBottom w:val="0"/>
      <w:divBdr>
        <w:top w:val="none" w:sz="0" w:space="0" w:color="auto"/>
        <w:left w:val="none" w:sz="0" w:space="0" w:color="auto"/>
        <w:bottom w:val="none" w:sz="0" w:space="0" w:color="auto"/>
        <w:right w:val="none" w:sz="0" w:space="0" w:color="auto"/>
      </w:divBdr>
    </w:div>
    <w:div w:id="108277711">
      <w:bodyDiv w:val="1"/>
      <w:marLeft w:val="0"/>
      <w:marRight w:val="0"/>
      <w:marTop w:val="0"/>
      <w:marBottom w:val="0"/>
      <w:divBdr>
        <w:top w:val="none" w:sz="0" w:space="0" w:color="auto"/>
        <w:left w:val="none" w:sz="0" w:space="0" w:color="auto"/>
        <w:bottom w:val="none" w:sz="0" w:space="0" w:color="auto"/>
        <w:right w:val="none" w:sz="0" w:space="0" w:color="auto"/>
      </w:divBdr>
    </w:div>
    <w:div w:id="113132979">
      <w:bodyDiv w:val="1"/>
      <w:marLeft w:val="0"/>
      <w:marRight w:val="0"/>
      <w:marTop w:val="0"/>
      <w:marBottom w:val="0"/>
      <w:divBdr>
        <w:top w:val="none" w:sz="0" w:space="0" w:color="auto"/>
        <w:left w:val="none" w:sz="0" w:space="0" w:color="auto"/>
        <w:bottom w:val="none" w:sz="0" w:space="0" w:color="auto"/>
        <w:right w:val="none" w:sz="0" w:space="0" w:color="auto"/>
      </w:divBdr>
    </w:div>
    <w:div w:id="116218290">
      <w:bodyDiv w:val="1"/>
      <w:marLeft w:val="0"/>
      <w:marRight w:val="0"/>
      <w:marTop w:val="0"/>
      <w:marBottom w:val="0"/>
      <w:divBdr>
        <w:top w:val="none" w:sz="0" w:space="0" w:color="auto"/>
        <w:left w:val="none" w:sz="0" w:space="0" w:color="auto"/>
        <w:bottom w:val="none" w:sz="0" w:space="0" w:color="auto"/>
        <w:right w:val="none" w:sz="0" w:space="0" w:color="auto"/>
      </w:divBdr>
    </w:div>
    <w:div w:id="123930589">
      <w:bodyDiv w:val="1"/>
      <w:marLeft w:val="0"/>
      <w:marRight w:val="0"/>
      <w:marTop w:val="0"/>
      <w:marBottom w:val="0"/>
      <w:divBdr>
        <w:top w:val="none" w:sz="0" w:space="0" w:color="auto"/>
        <w:left w:val="none" w:sz="0" w:space="0" w:color="auto"/>
        <w:bottom w:val="none" w:sz="0" w:space="0" w:color="auto"/>
        <w:right w:val="none" w:sz="0" w:space="0" w:color="auto"/>
      </w:divBdr>
    </w:div>
    <w:div w:id="124928764">
      <w:bodyDiv w:val="1"/>
      <w:marLeft w:val="0"/>
      <w:marRight w:val="0"/>
      <w:marTop w:val="0"/>
      <w:marBottom w:val="0"/>
      <w:divBdr>
        <w:top w:val="none" w:sz="0" w:space="0" w:color="auto"/>
        <w:left w:val="none" w:sz="0" w:space="0" w:color="auto"/>
        <w:bottom w:val="none" w:sz="0" w:space="0" w:color="auto"/>
        <w:right w:val="none" w:sz="0" w:space="0" w:color="auto"/>
      </w:divBdr>
    </w:div>
    <w:div w:id="133447176">
      <w:bodyDiv w:val="1"/>
      <w:marLeft w:val="0"/>
      <w:marRight w:val="0"/>
      <w:marTop w:val="0"/>
      <w:marBottom w:val="0"/>
      <w:divBdr>
        <w:top w:val="none" w:sz="0" w:space="0" w:color="auto"/>
        <w:left w:val="none" w:sz="0" w:space="0" w:color="auto"/>
        <w:bottom w:val="none" w:sz="0" w:space="0" w:color="auto"/>
        <w:right w:val="none" w:sz="0" w:space="0" w:color="auto"/>
      </w:divBdr>
    </w:div>
    <w:div w:id="138811425">
      <w:bodyDiv w:val="1"/>
      <w:marLeft w:val="0"/>
      <w:marRight w:val="0"/>
      <w:marTop w:val="0"/>
      <w:marBottom w:val="0"/>
      <w:divBdr>
        <w:top w:val="none" w:sz="0" w:space="0" w:color="auto"/>
        <w:left w:val="none" w:sz="0" w:space="0" w:color="auto"/>
        <w:bottom w:val="none" w:sz="0" w:space="0" w:color="auto"/>
        <w:right w:val="none" w:sz="0" w:space="0" w:color="auto"/>
      </w:divBdr>
    </w:div>
    <w:div w:id="139855241">
      <w:bodyDiv w:val="1"/>
      <w:marLeft w:val="0"/>
      <w:marRight w:val="0"/>
      <w:marTop w:val="0"/>
      <w:marBottom w:val="0"/>
      <w:divBdr>
        <w:top w:val="none" w:sz="0" w:space="0" w:color="auto"/>
        <w:left w:val="none" w:sz="0" w:space="0" w:color="auto"/>
        <w:bottom w:val="none" w:sz="0" w:space="0" w:color="auto"/>
        <w:right w:val="none" w:sz="0" w:space="0" w:color="auto"/>
      </w:divBdr>
    </w:div>
    <w:div w:id="155849978">
      <w:bodyDiv w:val="1"/>
      <w:marLeft w:val="0"/>
      <w:marRight w:val="0"/>
      <w:marTop w:val="0"/>
      <w:marBottom w:val="0"/>
      <w:divBdr>
        <w:top w:val="none" w:sz="0" w:space="0" w:color="auto"/>
        <w:left w:val="none" w:sz="0" w:space="0" w:color="auto"/>
        <w:bottom w:val="none" w:sz="0" w:space="0" w:color="auto"/>
        <w:right w:val="none" w:sz="0" w:space="0" w:color="auto"/>
      </w:divBdr>
    </w:div>
    <w:div w:id="157502706">
      <w:bodyDiv w:val="1"/>
      <w:marLeft w:val="0"/>
      <w:marRight w:val="0"/>
      <w:marTop w:val="0"/>
      <w:marBottom w:val="0"/>
      <w:divBdr>
        <w:top w:val="none" w:sz="0" w:space="0" w:color="auto"/>
        <w:left w:val="none" w:sz="0" w:space="0" w:color="auto"/>
        <w:bottom w:val="none" w:sz="0" w:space="0" w:color="auto"/>
        <w:right w:val="none" w:sz="0" w:space="0" w:color="auto"/>
      </w:divBdr>
    </w:div>
    <w:div w:id="168445283">
      <w:bodyDiv w:val="1"/>
      <w:marLeft w:val="0"/>
      <w:marRight w:val="0"/>
      <w:marTop w:val="0"/>
      <w:marBottom w:val="0"/>
      <w:divBdr>
        <w:top w:val="none" w:sz="0" w:space="0" w:color="auto"/>
        <w:left w:val="none" w:sz="0" w:space="0" w:color="auto"/>
        <w:bottom w:val="none" w:sz="0" w:space="0" w:color="auto"/>
        <w:right w:val="none" w:sz="0" w:space="0" w:color="auto"/>
      </w:divBdr>
    </w:div>
    <w:div w:id="169174958">
      <w:bodyDiv w:val="1"/>
      <w:marLeft w:val="0"/>
      <w:marRight w:val="0"/>
      <w:marTop w:val="0"/>
      <w:marBottom w:val="0"/>
      <w:divBdr>
        <w:top w:val="none" w:sz="0" w:space="0" w:color="auto"/>
        <w:left w:val="none" w:sz="0" w:space="0" w:color="auto"/>
        <w:bottom w:val="none" w:sz="0" w:space="0" w:color="auto"/>
        <w:right w:val="none" w:sz="0" w:space="0" w:color="auto"/>
      </w:divBdr>
    </w:div>
    <w:div w:id="174195614">
      <w:bodyDiv w:val="1"/>
      <w:marLeft w:val="0"/>
      <w:marRight w:val="0"/>
      <w:marTop w:val="0"/>
      <w:marBottom w:val="0"/>
      <w:divBdr>
        <w:top w:val="none" w:sz="0" w:space="0" w:color="auto"/>
        <w:left w:val="none" w:sz="0" w:space="0" w:color="auto"/>
        <w:bottom w:val="none" w:sz="0" w:space="0" w:color="auto"/>
        <w:right w:val="none" w:sz="0" w:space="0" w:color="auto"/>
      </w:divBdr>
    </w:div>
    <w:div w:id="226494880">
      <w:bodyDiv w:val="1"/>
      <w:marLeft w:val="0"/>
      <w:marRight w:val="0"/>
      <w:marTop w:val="0"/>
      <w:marBottom w:val="0"/>
      <w:divBdr>
        <w:top w:val="none" w:sz="0" w:space="0" w:color="auto"/>
        <w:left w:val="none" w:sz="0" w:space="0" w:color="auto"/>
        <w:bottom w:val="none" w:sz="0" w:space="0" w:color="auto"/>
        <w:right w:val="none" w:sz="0" w:space="0" w:color="auto"/>
      </w:divBdr>
    </w:div>
    <w:div w:id="265963867">
      <w:bodyDiv w:val="1"/>
      <w:marLeft w:val="0"/>
      <w:marRight w:val="0"/>
      <w:marTop w:val="0"/>
      <w:marBottom w:val="0"/>
      <w:divBdr>
        <w:top w:val="none" w:sz="0" w:space="0" w:color="auto"/>
        <w:left w:val="none" w:sz="0" w:space="0" w:color="auto"/>
        <w:bottom w:val="none" w:sz="0" w:space="0" w:color="auto"/>
        <w:right w:val="none" w:sz="0" w:space="0" w:color="auto"/>
      </w:divBdr>
    </w:div>
    <w:div w:id="287392918">
      <w:bodyDiv w:val="1"/>
      <w:marLeft w:val="0"/>
      <w:marRight w:val="0"/>
      <w:marTop w:val="0"/>
      <w:marBottom w:val="0"/>
      <w:divBdr>
        <w:top w:val="none" w:sz="0" w:space="0" w:color="auto"/>
        <w:left w:val="none" w:sz="0" w:space="0" w:color="auto"/>
        <w:bottom w:val="none" w:sz="0" w:space="0" w:color="auto"/>
        <w:right w:val="none" w:sz="0" w:space="0" w:color="auto"/>
      </w:divBdr>
    </w:div>
    <w:div w:id="319508195">
      <w:bodyDiv w:val="1"/>
      <w:marLeft w:val="0"/>
      <w:marRight w:val="0"/>
      <w:marTop w:val="0"/>
      <w:marBottom w:val="0"/>
      <w:divBdr>
        <w:top w:val="none" w:sz="0" w:space="0" w:color="auto"/>
        <w:left w:val="none" w:sz="0" w:space="0" w:color="auto"/>
        <w:bottom w:val="none" w:sz="0" w:space="0" w:color="auto"/>
        <w:right w:val="none" w:sz="0" w:space="0" w:color="auto"/>
      </w:divBdr>
    </w:div>
    <w:div w:id="324553092">
      <w:bodyDiv w:val="1"/>
      <w:marLeft w:val="0"/>
      <w:marRight w:val="0"/>
      <w:marTop w:val="0"/>
      <w:marBottom w:val="0"/>
      <w:divBdr>
        <w:top w:val="none" w:sz="0" w:space="0" w:color="auto"/>
        <w:left w:val="none" w:sz="0" w:space="0" w:color="auto"/>
        <w:bottom w:val="none" w:sz="0" w:space="0" w:color="auto"/>
        <w:right w:val="none" w:sz="0" w:space="0" w:color="auto"/>
      </w:divBdr>
    </w:div>
    <w:div w:id="351804874">
      <w:bodyDiv w:val="1"/>
      <w:marLeft w:val="0"/>
      <w:marRight w:val="0"/>
      <w:marTop w:val="0"/>
      <w:marBottom w:val="0"/>
      <w:divBdr>
        <w:top w:val="none" w:sz="0" w:space="0" w:color="auto"/>
        <w:left w:val="none" w:sz="0" w:space="0" w:color="auto"/>
        <w:bottom w:val="none" w:sz="0" w:space="0" w:color="auto"/>
        <w:right w:val="none" w:sz="0" w:space="0" w:color="auto"/>
      </w:divBdr>
    </w:div>
    <w:div w:id="362176480">
      <w:bodyDiv w:val="1"/>
      <w:marLeft w:val="0"/>
      <w:marRight w:val="0"/>
      <w:marTop w:val="0"/>
      <w:marBottom w:val="0"/>
      <w:divBdr>
        <w:top w:val="none" w:sz="0" w:space="0" w:color="auto"/>
        <w:left w:val="none" w:sz="0" w:space="0" w:color="auto"/>
        <w:bottom w:val="none" w:sz="0" w:space="0" w:color="auto"/>
        <w:right w:val="none" w:sz="0" w:space="0" w:color="auto"/>
      </w:divBdr>
    </w:div>
    <w:div w:id="382750985">
      <w:bodyDiv w:val="1"/>
      <w:marLeft w:val="0"/>
      <w:marRight w:val="0"/>
      <w:marTop w:val="0"/>
      <w:marBottom w:val="0"/>
      <w:divBdr>
        <w:top w:val="none" w:sz="0" w:space="0" w:color="auto"/>
        <w:left w:val="none" w:sz="0" w:space="0" w:color="auto"/>
        <w:bottom w:val="none" w:sz="0" w:space="0" w:color="auto"/>
        <w:right w:val="none" w:sz="0" w:space="0" w:color="auto"/>
      </w:divBdr>
    </w:div>
    <w:div w:id="383217162">
      <w:bodyDiv w:val="1"/>
      <w:marLeft w:val="0"/>
      <w:marRight w:val="0"/>
      <w:marTop w:val="0"/>
      <w:marBottom w:val="0"/>
      <w:divBdr>
        <w:top w:val="none" w:sz="0" w:space="0" w:color="auto"/>
        <w:left w:val="none" w:sz="0" w:space="0" w:color="auto"/>
        <w:bottom w:val="none" w:sz="0" w:space="0" w:color="auto"/>
        <w:right w:val="none" w:sz="0" w:space="0" w:color="auto"/>
      </w:divBdr>
    </w:div>
    <w:div w:id="384840891">
      <w:bodyDiv w:val="1"/>
      <w:marLeft w:val="0"/>
      <w:marRight w:val="0"/>
      <w:marTop w:val="0"/>
      <w:marBottom w:val="0"/>
      <w:divBdr>
        <w:top w:val="none" w:sz="0" w:space="0" w:color="auto"/>
        <w:left w:val="none" w:sz="0" w:space="0" w:color="auto"/>
        <w:bottom w:val="none" w:sz="0" w:space="0" w:color="auto"/>
        <w:right w:val="none" w:sz="0" w:space="0" w:color="auto"/>
      </w:divBdr>
    </w:div>
    <w:div w:id="411466361">
      <w:bodyDiv w:val="1"/>
      <w:marLeft w:val="0"/>
      <w:marRight w:val="0"/>
      <w:marTop w:val="0"/>
      <w:marBottom w:val="0"/>
      <w:divBdr>
        <w:top w:val="none" w:sz="0" w:space="0" w:color="auto"/>
        <w:left w:val="none" w:sz="0" w:space="0" w:color="auto"/>
        <w:bottom w:val="none" w:sz="0" w:space="0" w:color="auto"/>
        <w:right w:val="none" w:sz="0" w:space="0" w:color="auto"/>
      </w:divBdr>
    </w:div>
    <w:div w:id="424114931">
      <w:bodyDiv w:val="1"/>
      <w:marLeft w:val="0"/>
      <w:marRight w:val="0"/>
      <w:marTop w:val="0"/>
      <w:marBottom w:val="0"/>
      <w:divBdr>
        <w:top w:val="none" w:sz="0" w:space="0" w:color="auto"/>
        <w:left w:val="none" w:sz="0" w:space="0" w:color="auto"/>
        <w:bottom w:val="none" w:sz="0" w:space="0" w:color="auto"/>
        <w:right w:val="none" w:sz="0" w:space="0" w:color="auto"/>
      </w:divBdr>
    </w:div>
    <w:div w:id="434063296">
      <w:bodyDiv w:val="1"/>
      <w:marLeft w:val="0"/>
      <w:marRight w:val="0"/>
      <w:marTop w:val="0"/>
      <w:marBottom w:val="0"/>
      <w:divBdr>
        <w:top w:val="none" w:sz="0" w:space="0" w:color="auto"/>
        <w:left w:val="none" w:sz="0" w:space="0" w:color="auto"/>
        <w:bottom w:val="none" w:sz="0" w:space="0" w:color="auto"/>
        <w:right w:val="none" w:sz="0" w:space="0" w:color="auto"/>
      </w:divBdr>
    </w:div>
    <w:div w:id="443547988">
      <w:bodyDiv w:val="1"/>
      <w:marLeft w:val="0"/>
      <w:marRight w:val="0"/>
      <w:marTop w:val="0"/>
      <w:marBottom w:val="0"/>
      <w:divBdr>
        <w:top w:val="none" w:sz="0" w:space="0" w:color="auto"/>
        <w:left w:val="none" w:sz="0" w:space="0" w:color="auto"/>
        <w:bottom w:val="none" w:sz="0" w:space="0" w:color="auto"/>
        <w:right w:val="none" w:sz="0" w:space="0" w:color="auto"/>
      </w:divBdr>
    </w:div>
    <w:div w:id="454838871">
      <w:bodyDiv w:val="1"/>
      <w:marLeft w:val="0"/>
      <w:marRight w:val="0"/>
      <w:marTop w:val="0"/>
      <w:marBottom w:val="0"/>
      <w:divBdr>
        <w:top w:val="none" w:sz="0" w:space="0" w:color="auto"/>
        <w:left w:val="none" w:sz="0" w:space="0" w:color="auto"/>
        <w:bottom w:val="none" w:sz="0" w:space="0" w:color="auto"/>
        <w:right w:val="none" w:sz="0" w:space="0" w:color="auto"/>
      </w:divBdr>
    </w:div>
    <w:div w:id="461462811">
      <w:bodyDiv w:val="1"/>
      <w:marLeft w:val="0"/>
      <w:marRight w:val="0"/>
      <w:marTop w:val="0"/>
      <w:marBottom w:val="0"/>
      <w:divBdr>
        <w:top w:val="none" w:sz="0" w:space="0" w:color="auto"/>
        <w:left w:val="none" w:sz="0" w:space="0" w:color="auto"/>
        <w:bottom w:val="none" w:sz="0" w:space="0" w:color="auto"/>
        <w:right w:val="none" w:sz="0" w:space="0" w:color="auto"/>
      </w:divBdr>
    </w:div>
    <w:div w:id="467213586">
      <w:bodyDiv w:val="1"/>
      <w:marLeft w:val="0"/>
      <w:marRight w:val="0"/>
      <w:marTop w:val="0"/>
      <w:marBottom w:val="0"/>
      <w:divBdr>
        <w:top w:val="none" w:sz="0" w:space="0" w:color="auto"/>
        <w:left w:val="none" w:sz="0" w:space="0" w:color="auto"/>
        <w:bottom w:val="none" w:sz="0" w:space="0" w:color="auto"/>
        <w:right w:val="none" w:sz="0" w:space="0" w:color="auto"/>
      </w:divBdr>
    </w:div>
    <w:div w:id="468403931">
      <w:bodyDiv w:val="1"/>
      <w:marLeft w:val="0"/>
      <w:marRight w:val="0"/>
      <w:marTop w:val="0"/>
      <w:marBottom w:val="0"/>
      <w:divBdr>
        <w:top w:val="none" w:sz="0" w:space="0" w:color="auto"/>
        <w:left w:val="none" w:sz="0" w:space="0" w:color="auto"/>
        <w:bottom w:val="none" w:sz="0" w:space="0" w:color="auto"/>
        <w:right w:val="none" w:sz="0" w:space="0" w:color="auto"/>
      </w:divBdr>
    </w:div>
    <w:div w:id="479427876">
      <w:bodyDiv w:val="1"/>
      <w:marLeft w:val="0"/>
      <w:marRight w:val="0"/>
      <w:marTop w:val="0"/>
      <w:marBottom w:val="0"/>
      <w:divBdr>
        <w:top w:val="none" w:sz="0" w:space="0" w:color="auto"/>
        <w:left w:val="none" w:sz="0" w:space="0" w:color="auto"/>
        <w:bottom w:val="none" w:sz="0" w:space="0" w:color="auto"/>
        <w:right w:val="none" w:sz="0" w:space="0" w:color="auto"/>
      </w:divBdr>
    </w:div>
    <w:div w:id="480269472">
      <w:bodyDiv w:val="1"/>
      <w:marLeft w:val="0"/>
      <w:marRight w:val="0"/>
      <w:marTop w:val="0"/>
      <w:marBottom w:val="0"/>
      <w:divBdr>
        <w:top w:val="none" w:sz="0" w:space="0" w:color="auto"/>
        <w:left w:val="none" w:sz="0" w:space="0" w:color="auto"/>
        <w:bottom w:val="none" w:sz="0" w:space="0" w:color="auto"/>
        <w:right w:val="none" w:sz="0" w:space="0" w:color="auto"/>
      </w:divBdr>
    </w:div>
    <w:div w:id="505708505">
      <w:bodyDiv w:val="1"/>
      <w:marLeft w:val="0"/>
      <w:marRight w:val="0"/>
      <w:marTop w:val="0"/>
      <w:marBottom w:val="0"/>
      <w:divBdr>
        <w:top w:val="none" w:sz="0" w:space="0" w:color="auto"/>
        <w:left w:val="none" w:sz="0" w:space="0" w:color="auto"/>
        <w:bottom w:val="none" w:sz="0" w:space="0" w:color="auto"/>
        <w:right w:val="none" w:sz="0" w:space="0" w:color="auto"/>
      </w:divBdr>
    </w:div>
    <w:div w:id="511796535">
      <w:bodyDiv w:val="1"/>
      <w:marLeft w:val="0"/>
      <w:marRight w:val="0"/>
      <w:marTop w:val="0"/>
      <w:marBottom w:val="0"/>
      <w:divBdr>
        <w:top w:val="none" w:sz="0" w:space="0" w:color="auto"/>
        <w:left w:val="none" w:sz="0" w:space="0" w:color="auto"/>
        <w:bottom w:val="none" w:sz="0" w:space="0" w:color="auto"/>
        <w:right w:val="none" w:sz="0" w:space="0" w:color="auto"/>
      </w:divBdr>
    </w:div>
    <w:div w:id="516192978">
      <w:bodyDiv w:val="1"/>
      <w:marLeft w:val="0"/>
      <w:marRight w:val="0"/>
      <w:marTop w:val="0"/>
      <w:marBottom w:val="0"/>
      <w:divBdr>
        <w:top w:val="none" w:sz="0" w:space="0" w:color="auto"/>
        <w:left w:val="none" w:sz="0" w:space="0" w:color="auto"/>
        <w:bottom w:val="none" w:sz="0" w:space="0" w:color="auto"/>
        <w:right w:val="none" w:sz="0" w:space="0" w:color="auto"/>
      </w:divBdr>
    </w:div>
    <w:div w:id="578177178">
      <w:bodyDiv w:val="1"/>
      <w:marLeft w:val="0"/>
      <w:marRight w:val="0"/>
      <w:marTop w:val="0"/>
      <w:marBottom w:val="0"/>
      <w:divBdr>
        <w:top w:val="none" w:sz="0" w:space="0" w:color="auto"/>
        <w:left w:val="none" w:sz="0" w:space="0" w:color="auto"/>
        <w:bottom w:val="none" w:sz="0" w:space="0" w:color="auto"/>
        <w:right w:val="none" w:sz="0" w:space="0" w:color="auto"/>
      </w:divBdr>
    </w:div>
    <w:div w:id="582448450">
      <w:bodyDiv w:val="1"/>
      <w:marLeft w:val="0"/>
      <w:marRight w:val="0"/>
      <w:marTop w:val="0"/>
      <w:marBottom w:val="0"/>
      <w:divBdr>
        <w:top w:val="none" w:sz="0" w:space="0" w:color="auto"/>
        <w:left w:val="none" w:sz="0" w:space="0" w:color="auto"/>
        <w:bottom w:val="none" w:sz="0" w:space="0" w:color="auto"/>
        <w:right w:val="none" w:sz="0" w:space="0" w:color="auto"/>
      </w:divBdr>
    </w:div>
    <w:div w:id="589313611">
      <w:bodyDiv w:val="1"/>
      <w:marLeft w:val="0"/>
      <w:marRight w:val="0"/>
      <w:marTop w:val="0"/>
      <w:marBottom w:val="0"/>
      <w:divBdr>
        <w:top w:val="none" w:sz="0" w:space="0" w:color="auto"/>
        <w:left w:val="none" w:sz="0" w:space="0" w:color="auto"/>
        <w:bottom w:val="none" w:sz="0" w:space="0" w:color="auto"/>
        <w:right w:val="none" w:sz="0" w:space="0" w:color="auto"/>
      </w:divBdr>
    </w:div>
    <w:div w:id="593780828">
      <w:bodyDiv w:val="1"/>
      <w:marLeft w:val="0"/>
      <w:marRight w:val="0"/>
      <w:marTop w:val="0"/>
      <w:marBottom w:val="0"/>
      <w:divBdr>
        <w:top w:val="none" w:sz="0" w:space="0" w:color="auto"/>
        <w:left w:val="none" w:sz="0" w:space="0" w:color="auto"/>
        <w:bottom w:val="none" w:sz="0" w:space="0" w:color="auto"/>
        <w:right w:val="none" w:sz="0" w:space="0" w:color="auto"/>
      </w:divBdr>
    </w:div>
    <w:div w:id="594442953">
      <w:bodyDiv w:val="1"/>
      <w:marLeft w:val="0"/>
      <w:marRight w:val="0"/>
      <w:marTop w:val="0"/>
      <w:marBottom w:val="0"/>
      <w:divBdr>
        <w:top w:val="none" w:sz="0" w:space="0" w:color="auto"/>
        <w:left w:val="none" w:sz="0" w:space="0" w:color="auto"/>
        <w:bottom w:val="none" w:sz="0" w:space="0" w:color="auto"/>
        <w:right w:val="none" w:sz="0" w:space="0" w:color="auto"/>
      </w:divBdr>
    </w:div>
    <w:div w:id="595329652">
      <w:bodyDiv w:val="1"/>
      <w:marLeft w:val="0"/>
      <w:marRight w:val="0"/>
      <w:marTop w:val="0"/>
      <w:marBottom w:val="0"/>
      <w:divBdr>
        <w:top w:val="none" w:sz="0" w:space="0" w:color="auto"/>
        <w:left w:val="none" w:sz="0" w:space="0" w:color="auto"/>
        <w:bottom w:val="none" w:sz="0" w:space="0" w:color="auto"/>
        <w:right w:val="none" w:sz="0" w:space="0" w:color="auto"/>
      </w:divBdr>
    </w:div>
    <w:div w:id="620260222">
      <w:bodyDiv w:val="1"/>
      <w:marLeft w:val="0"/>
      <w:marRight w:val="0"/>
      <w:marTop w:val="0"/>
      <w:marBottom w:val="0"/>
      <w:divBdr>
        <w:top w:val="none" w:sz="0" w:space="0" w:color="auto"/>
        <w:left w:val="none" w:sz="0" w:space="0" w:color="auto"/>
        <w:bottom w:val="none" w:sz="0" w:space="0" w:color="auto"/>
        <w:right w:val="none" w:sz="0" w:space="0" w:color="auto"/>
      </w:divBdr>
    </w:div>
    <w:div w:id="620650833">
      <w:bodyDiv w:val="1"/>
      <w:marLeft w:val="0"/>
      <w:marRight w:val="0"/>
      <w:marTop w:val="0"/>
      <w:marBottom w:val="0"/>
      <w:divBdr>
        <w:top w:val="none" w:sz="0" w:space="0" w:color="auto"/>
        <w:left w:val="none" w:sz="0" w:space="0" w:color="auto"/>
        <w:bottom w:val="none" w:sz="0" w:space="0" w:color="auto"/>
        <w:right w:val="none" w:sz="0" w:space="0" w:color="auto"/>
      </w:divBdr>
    </w:div>
    <w:div w:id="622924270">
      <w:bodyDiv w:val="1"/>
      <w:marLeft w:val="0"/>
      <w:marRight w:val="0"/>
      <w:marTop w:val="0"/>
      <w:marBottom w:val="0"/>
      <w:divBdr>
        <w:top w:val="none" w:sz="0" w:space="0" w:color="auto"/>
        <w:left w:val="none" w:sz="0" w:space="0" w:color="auto"/>
        <w:bottom w:val="none" w:sz="0" w:space="0" w:color="auto"/>
        <w:right w:val="none" w:sz="0" w:space="0" w:color="auto"/>
      </w:divBdr>
    </w:div>
    <w:div w:id="644512342">
      <w:bodyDiv w:val="1"/>
      <w:marLeft w:val="0"/>
      <w:marRight w:val="0"/>
      <w:marTop w:val="0"/>
      <w:marBottom w:val="0"/>
      <w:divBdr>
        <w:top w:val="none" w:sz="0" w:space="0" w:color="auto"/>
        <w:left w:val="none" w:sz="0" w:space="0" w:color="auto"/>
        <w:bottom w:val="none" w:sz="0" w:space="0" w:color="auto"/>
        <w:right w:val="none" w:sz="0" w:space="0" w:color="auto"/>
      </w:divBdr>
      <w:divsChild>
        <w:div w:id="2100372016">
          <w:marLeft w:val="0"/>
          <w:marRight w:val="0"/>
          <w:marTop w:val="0"/>
          <w:marBottom w:val="0"/>
          <w:divBdr>
            <w:top w:val="none" w:sz="0" w:space="0" w:color="auto"/>
            <w:left w:val="none" w:sz="0" w:space="0" w:color="auto"/>
            <w:bottom w:val="none" w:sz="0" w:space="0" w:color="auto"/>
            <w:right w:val="none" w:sz="0" w:space="0" w:color="auto"/>
          </w:divBdr>
          <w:divsChild>
            <w:div w:id="180435178">
              <w:marLeft w:val="0"/>
              <w:marRight w:val="0"/>
              <w:marTop w:val="0"/>
              <w:marBottom w:val="0"/>
              <w:divBdr>
                <w:top w:val="none" w:sz="0" w:space="0" w:color="auto"/>
                <w:left w:val="none" w:sz="0" w:space="0" w:color="auto"/>
                <w:bottom w:val="none" w:sz="0" w:space="0" w:color="auto"/>
                <w:right w:val="none" w:sz="0" w:space="0" w:color="auto"/>
              </w:divBdr>
              <w:divsChild>
                <w:div w:id="560679101">
                  <w:marLeft w:val="0"/>
                  <w:marRight w:val="0"/>
                  <w:marTop w:val="0"/>
                  <w:marBottom w:val="0"/>
                  <w:divBdr>
                    <w:top w:val="none" w:sz="0" w:space="0" w:color="auto"/>
                    <w:left w:val="none" w:sz="0" w:space="0" w:color="auto"/>
                    <w:bottom w:val="none" w:sz="0" w:space="0" w:color="auto"/>
                    <w:right w:val="none" w:sz="0" w:space="0" w:color="auto"/>
                  </w:divBdr>
                  <w:divsChild>
                    <w:div w:id="1582565554">
                      <w:marLeft w:val="0"/>
                      <w:marRight w:val="0"/>
                      <w:marTop w:val="0"/>
                      <w:marBottom w:val="0"/>
                      <w:divBdr>
                        <w:top w:val="none" w:sz="0" w:space="0" w:color="auto"/>
                        <w:left w:val="none" w:sz="0" w:space="0" w:color="auto"/>
                        <w:bottom w:val="none" w:sz="0" w:space="0" w:color="auto"/>
                        <w:right w:val="none" w:sz="0" w:space="0" w:color="auto"/>
                      </w:divBdr>
                      <w:divsChild>
                        <w:div w:id="52581364">
                          <w:marLeft w:val="0"/>
                          <w:marRight w:val="0"/>
                          <w:marTop w:val="0"/>
                          <w:marBottom w:val="0"/>
                          <w:divBdr>
                            <w:top w:val="none" w:sz="0" w:space="0" w:color="auto"/>
                            <w:left w:val="none" w:sz="0" w:space="0" w:color="auto"/>
                            <w:bottom w:val="none" w:sz="0" w:space="0" w:color="auto"/>
                            <w:right w:val="none" w:sz="0" w:space="0" w:color="auto"/>
                          </w:divBdr>
                          <w:divsChild>
                            <w:div w:id="1461268847">
                              <w:marLeft w:val="0"/>
                              <w:marRight w:val="0"/>
                              <w:marTop w:val="0"/>
                              <w:marBottom w:val="0"/>
                              <w:divBdr>
                                <w:top w:val="none" w:sz="0" w:space="0" w:color="auto"/>
                                <w:left w:val="none" w:sz="0" w:space="0" w:color="auto"/>
                                <w:bottom w:val="none" w:sz="0" w:space="0" w:color="auto"/>
                                <w:right w:val="none" w:sz="0" w:space="0" w:color="auto"/>
                              </w:divBdr>
                              <w:divsChild>
                                <w:div w:id="5588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591065">
      <w:bodyDiv w:val="1"/>
      <w:marLeft w:val="0"/>
      <w:marRight w:val="0"/>
      <w:marTop w:val="0"/>
      <w:marBottom w:val="0"/>
      <w:divBdr>
        <w:top w:val="none" w:sz="0" w:space="0" w:color="auto"/>
        <w:left w:val="none" w:sz="0" w:space="0" w:color="auto"/>
        <w:bottom w:val="none" w:sz="0" w:space="0" w:color="auto"/>
        <w:right w:val="none" w:sz="0" w:space="0" w:color="auto"/>
      </w:divBdr>
    </w:div>
    <w:div w:id="663778288">
      <w:bodyDiv w:val="1"/>
      <w:marLeft w:val="0"/>
      <w:marRight w:val="0"/>
      <w:marTop w:val="0"/>
      <w:marBottom w:val="0"/>
      <w:divBdr>
        <w:top w:val="none" w:sz="0" w:space="0" w:color="auto"/>
        <w:left w:val="none" w:sz="0" w:space="0" w:color="auto"/>
        <w:bottom w:val="none" w:sz="0" w:space="0" w:color="auto"/>
        <w:right w:val="none" w:sz="0" w:space="0" w:color="auto"/>
      </w:divBdr>
    </w:div>
    <w:div w:id="672412071">
      <w:bodyDiv w:val="1"/>
      <w:marLeft w:val="0"/>
      <w:marRight w:val="0"/>
      <w:marTop w:val="0"/>
      <w:marBottom w:val="0"/>
      <w:divBdr>
        <w:top w:val="none" w:sz="0" w:space="0" w:color="auto"/>
        <w:left w:val="none" w:sz="0" w:space="0" w:color="auto"/>
        <w:bottom w:val="none" w:sz="0" w:space="0" w:color="auto"/>
        <w:right w:val="none" w:sz="0" w:space="0" w:color="auto"/>
      </w:divBdr>
    </w:div>
    <w:div w:id="681667961">
      <w:bodyDiv w:val="1"/>
      <w:marLeft w:val="0"/>
      <w:marRight w:val="0"/>
      <w:marTop w:val="0"/>
      <w:marBottom w:val="0"/>
      <w:divBdr>
        <w:top w:val="none" w:sz="0" w:space="0" w:color="auto"/>
        <w:left w:val="none" w:sz="0" w:space="0" w:color="auto"/>
        <w:bottom w:val="none" w:sz="0" w:space="0" w:color="auto"/>
        <w:right w:val="none" w:sz="0" w:space="0" w:color="auto"/>
      </w:divBdr>
    </w:div>
    <w:div w:id="683824598">
      <w:bodyDiv w:val="1"/>
      <w:marLeft w:val="0"/>
      <w:marRight w:val="0"/>
      <w:marTop w:val="0"/>
      <w:marBottom w:val="0"/>
      <w:divBdr>
        <w:top w:val="none" w:sz="0" w:space="0" w:color="auto"/>
        <w:left w:val="none" w:sz="0" w:space="0" w:color="auto"/>
        <w:bottom w:val="none" w:sz="0" w:space="0" w:color="auto"/>
        <w:right w:val="none" w:sz="0" w:space="0" w:color="auto"/>
      </w:divBdr>
    </w:div>
    <w:div w:id="709649383">
      <w:bodyDiv w:val="1"/>
      <w:marLeft w:val="0"/>
      <w:marRight w:val="0"/>
      <w:marTop w:val="0"/>
      <w:marBottom w:val="0"/>
      <w:divBdr>
        <w:top w:val="none" w:sz="0" w:space="0" w:color="auto"/>
        <w:left w:val="none" w:sz="0" w:space="0" w:color="auto"/>
        <w:bottom w:val="none" w:sz="0" w:space="0" w:color="auto"/>
        <w:right w:val="none" w:sz="0" w:space="0" w:color="auto"/>
      </w:divBdr>
    </w:div>
    <w:div w:id="723676261">
      <w:bodyDiv w:val="1"/>
      <w:marLeft w:val="0"/>
      <w:marRight w:val="0"/>
      <w:marTop w:val="0"/>
      <w:marBottom w:val="0"/>
      <w:divBdr>
        <w:top w:val="none" w:sz="0" w:space="0" w:color="auto"/>
        <w:left w:val="none" w:sz="0" w:space="0" w:color="auto"/>
        <w:bottom w:val="none" w:sz="0" w:space="0" w:color="auto"/>
        <w:right w:val="none" w:sz="0" w:space="0" w:color="auto"/>
      </w:divBdr>
    </w:div>
    <w:div w:id="725180061">
      <w:bodyDiv w:val="1"/>
      <w:marLeft w:val="0"/>
      <w:marRight w:val="0"/>
      <w:marTop w:val="0"/>
      <w:marBottom w:val="0"/>
      <w:divBdr>
        <w:top w:val="none" w:sz="0" w:space="0" w:color="auto"/>
        <w:left w:val="none" w:sz="0" w:space="0" w:color="auto"/>
        <w:bottom w:val="none" w:sz="0" w:space="0" w:color="auto"/>
        <w:right w:val="none" w:sz="0" w:space="0" w:color="auto"/>
      </w:divBdr>
    </w:div>
    <w:div w:id="728500785">
      <w:bodyDiv w:val="1"/>
      <w:marLeft w:val="0"/>
      <w:marRight w:val="0"/>
      <w:marTop w:val="0"/>
      <w:marBottom w:val="0"/>
      <w:divBdr>
        <w:top w:val="none" w:sz="0" w:space="0" w:color="auto"/>
        <w:left w:val="none" w:sz="0" w:space="0" w:color="auto"/>
        <w:bottom w:val="none" w:sz="0" w:space="0" w:color="auto"/>
        <w:right w:val="none" w:sz="0" w:space="0" w:color="auto"/>
      </w:divBdr>
    </w:div>
    <w:div w:id="728919776">
      <w:bodyDiv w:val="1"/>
      <w:marLeft w:val="0"/>
      <w:marRight w:val="0"/>
      <w:marTop w:val="0"/>
      <w:marBottom w:val="0"/>
      <w:divBdr>
        <w:top w:val="none" w:sz="0" w:space="0" w:color="auto"/>
        <w:left w:val="none" w:sz="0" w:space="0" w:color="auto"/>
        <w:bottom w:val="none" w:sz="0" w:space="0" w:color="auto"/>
        <w:right w:val="none" w:sz="0" w:space="0" w:color="auto"/>
      </w:divBdr>
    </w:div>
    <w:div w:id="743919988">
      <w:bodyDiv w:val="1"/>
      <w:marLeft w:val="0"/>
      <w:marRight w:val="0"/>
      <w:marTop w:val="0"/>
      <w:marBottom w:val="0"/>
      <w:divBdr>
        <w:top w:val="none" w:sz="0" w:space="0" w:color="auto"/>
        <w:left w:val="none" w:sz="0" w:space="0" w:color="auto"/>
        <w:bottom w:val="none" w:sz="0" w:space="0" w:color="auto"/>
        <w:right w:val="none" w:sz="0" w:space="0" w:color="auto"/>
      </w:divBdr>
    </w:div>
    <w:div w:id="750278471">
      <w:bodyDiv w:val="1"/>
      <w:marLeft w:val="0"/>
      <w:marRight w:val="0"/>
      <w:marTop w:val="0"/>
      <w:marBottom w:val="0"/>
      <w:divBdr>
        <w:top w:val="none" w:sz="0" w:space="0" w:color="auto"/>
        <w:left w:val="none" w:sz="0" w:space="0" w:color="auto"/>
        <w:bottom w:val="none" w:sz="0" w:space="0" w:color="auto"/>
        <w:right w:val="none" w:sz="0" w:space="0" w:color="auto"/>
      </w:divBdr>
    </w:div>
    <w:div w:id="772819055">
      <w:bodyDiv w:val="1"/>
      <w:marLeft w:val="0"/>
      <w:marRight w:val="0"/>
      <w:marTop w:val="0"/>
      <w:marBottom w:val="0"/>
      <w:divBdr>
        <w:top w:val="none" w:sz="0" w:space="0" w:color="auto"/>
        <w:left w:val="none" w:sz="0" w:space="0" w:color="auto"/>
        <w:bottom w:val="none" w:sz="0" w:space="0" w:color="auto"/>
        <w:right w:val="none" w:sz="0" w:space="0" w:color="auto"/>
      </w:divBdr>
    </w:div>
    <w:div w:id="774982034">
      <w:bodyDiv w:val="1"/>
      <w:marLeft w:val="0"/>
      <w:marRight w:val="0"/>
      <w:marTop w:val="0"/>
      <w:marBottom w:val="0"/>
      <w:divBdr>
        <w:top w:val="none" w:sz="0" w:space="0" w:color="auto"/>
        <w:left w:val="none" w:sz="0" w:space="0" w:color="auto"/>
        <w:bottom w:val="none" w:sz="0" w:space="0" w:color="auto"/>
        <w:right w:val="none" w:sz="0" w:space="0" w:color="auto"/>
      </w:divBdr>
    </w:div>
    <w:div w:id="775439929">
      <w:bodyDiv w:val="1"/>
      <w:marLeft w:val="0"/>
      <w:marRight w:val="0"/>
      <w:marTop w:val="0"/>
      <w:marBottom w:val="0"/>
      <w:divBdr>
        <w:top w:val="none" w:sz="0" w:space="0" w:color="auto"/>
        <w:left w:val="none" w:sz="0" w:space="0" w:color="auto"/>
        <w:bottom w:val="none" w:sz="0" w:space="0" w:color="auto"/>
        <w:right w:val="none" w:sz="0" w:space="0" w:color="auto"/>
      </w:divBdr>
    </w:div>
    <w:div w:id="785153767">
      <w:bodyDiv w:val="1"/>
      <w:marLeft w:val="0"/>
      <w:marRight w:val="0"/>
      <w:marTop w:val="0"/>
      <w:marBottom w:val="0"/>
      <w:divBdr>
        <w:top w:val="none" w:sz="0" w:space="0" w:color="auto"/>
        <w:left w:val="none" w:sz="0" w:space="0" w:color="auto"/>
        <w:bottom w:val="none" w:sz="0" w:space="0" w:color="auto"/>
        <w:right w:val="none" w:sz="0" w:space="0" w:color="auto"/>
      </w:divBdr>
    </w:div>
    <w:div w:id="788091541">
      <w:bodyDiv w:val="1"/>
      <w:marLeft w:val="0"/>
      <w:marRight w:val="0"/>
      <w:marTop w:val="0"/>
      <w:marBottom w:val="0"/>
      <w:divBdr>
        <w:top w:val="none" w:sz="0" w:space="0" w:color="auto"/>
        <w:left w:val="none" w:sz="0" w:space="0" w:color="auto"/>
        <w:bottom w:val="none" w:sz="0" w:space="0" w:color="auto"/>
        <w:right w:val="none" w:sz="0" w:space="0" w:color="auto"/>
      </w:divBdr>
    </w:div>
    <w:div w:id="790435011">
      <w:bodyDiv w:val="1"/>
      <w:marLeft w:val="0"/>
      <w:marRight w:val="0"/>
      <w:marTop w:val="0"/>
      <w:marBottom w:val="0"/>
      <w:divBdr>
        <w:top w:val="none" w:sz="0" w:space="0" w:color="auto"/>
        <w:left w:val="none" w:sz="0" w:space="0" w:color="auto"/>
        <w:bottom w:val="none" w:sz="0" w:space="0" w:color="auto"/>
        <w:right w:val="none" w:sz="0" w:space="0" w:color="auto"/>
      </w:divBdr>
    </w:div>
    <w:div w:id="808791118">
      <w:bodyDiv w:val="1"/>
      <w:marLeft w:val="0"/>
      <w:marRight w:val="0"/>
      <w:marTop w:val="0"/>
      <w:marBottom w:val="0"/>
      <w:divBdr>
        <w:top w:val="none" w:sz="0" w:space="0" w:color="auto"/>
        <w:left w:val="none" w:sz="0" w:space="0" w:color="auto"/>
        <w:bottom w:val="none" w:sz="0" w:space="0" w:color="auto"/>
        <w:right w:val="none" w:sz="0" w:space="0" w:color="auto"/>
      </w:divBdr>
    </w:div>
    <w:div w:id="812334337">
      <w:bodyDiv w:val="1"/>
      <w:marLeft w:val="0"/>
      <w:marRight w:val="0"/>
      <w:marTop w:val="0"/>
      <w:marBottom w:val="0"/>
      <w:divBdr>
        <w:top w:val="none" w:sz="0" w:space="0" w:color="auto"/>
        <w:left w:val="none" w:sz="0" w:space="0" w:color="auto"/>
        <w:bottom w:val="none" w:sz="0" w:space="0" w:color="auto"/>
        <w:right w:val="none" w:sz="0" w:space="0" w:color="auto"/>
      </w:divBdr>
    </w:div>
    <w:div w:id="822813086">
      <w:bodyDiv w:val="1"/>
      <w:marLeft w:val="0"/>
      <w:marRight w:val="0"/>
      <w:marTop w:val="0"/>
      <w:marBottom w:val="0"/>
      <w:divBdr>
        <w:top w:val="none" w:sz="0" w:space="0" w:color="auto"/>
        <w:left w:val="none" w:sz="0" w:space="0" w:color="auto"/>
        <w:bottom w:val="none" w:sz="0" w:space="0" w:color="auto"/>
        <w:right w:val="none" w:sz="0" w:space="0" w:color="auto"/>
      </w:divBdr>
    </w:div>
    <w:div w:id="831485735">
      <w:bodyDiv w:val="1"/>
      <w:marLeft w:val="0"/>
      <w:marRight w:val="0"/>
      <w:marTop w:val="0"/>
      <w:marBottom w:val="0"/>
      <w:divBdr>
        <w:top w:val="none" w:sz="0" w:space="0" w:color="auto"/>
        <w:left w:val="none" w:sz="0" w:space="0" w:color="auto"/>
        <w:bottom w:val="none" w:sz="0" w:space="0" w:color="auto"/>
        <w:right w:val="none" w:sz="0" w:space="0" w:color="auto"/>
      </w:divBdr>
    </w:div>
    <w:div w:id="835606881">
      <w:bodyDiv w:val="1"/>
      <w:marLeft w:val="0"/>
      <w:marRight w:val="0"/>
      <w:marTop w:val="0"/>
      <w:marBottom w:val="0"/>
      <w:divBdr>
        <w:top w:val="none" w:sz="0" w:space="0" w:color="auto"/>
        <w:left w:val="none" w:sz="0" w:space="0" w:color="auto"/>
        <w:bottom w:val="none" w:sz="0" w:space="0" w:color="auto"/>
        <w:right w:val="none" w:sz="0" w:space="0" w:color="auto"/>
      </w:divBdr>
    </w:div>
    <w:div w:id="837691701">
      <w:bodyDiv w:val="1"/>
      <w:marLeft w:val="0"/>
      <w:marRight w:val="0"/>
      <w:marTop w:val="0"/>
      <w:marBottom w:val="0"/>
      <w:divBdr>
        <w:top w:val="none" w:sz="0" w:space="0" w:color="auto"/>
        <w:left w:val="none" w:sz="0" w:space="0" w:color="auto"/>
        <w:bottom w:val="none" w:sz="0" w:space="0" w:color="auto"/>
        <w:right w:val="none" w:sz="0" w:space="0" w:color="auto"/>
      </w:divBdr>
    </w:div>
    <w:div w:id="853571844">
      <w:bodyDiv w:val="1"/>
      <w:marLeft w:val="0"/>
      <w:marRight w:val="0"/>
      <w:marTop w:val="0"/>
      <w:marBottom w:val="0"/>
      <w:divBdr>
        <w:top w:val="none" w:sz="0" w:space="0" w:color="auto"/>
        <w:left w:val="none" w:sz="0" w:space="0" w:color="auto"/>
        <w:bottom w:val="none" w:sz="0" w:space="0" w:color="auto"/>
        <w:right w:val="none" w:sz="0" w:space="0" w:color="auto"/>
      </w:divBdr>
    </w:div>
    <w:div w:id="860358359">
      <w:bodyDiv w:val="1"/>
      <w:marLeft w:val="0"/>
      <w:marRight w:val="0"/>
      <w:marTop w:val="0"/>
      <w:marBottom w:val="0"/>
      <w:divBdr>
        <w:top w:val="none" w:sz="0" w:space="0" w:color="auto"/>
        <w:left w:val="none" w:sz="0" w:space="0" w:color="auto"/>
        <w:bottom w:val="none" w:sz="0" w:space="0" w:color="auto"/>
        <w:right w:val="none" w:sz="0" w:space="0" w:color="auto"/>
      </w:divBdr>
    </w:div>
    <w:div w:id="862326062">
      <w:bodyDiv w:val="1"/>
      <w:marLeft w:val="0"/>
      <w:marRight w:val="0"/>
      <w:marTop w:val="0"/>
      <w:marBottom w:val="0"/>
      <w:divBdr>
        <w:top w:val="none" w:sz="0" w:space="0" w:color="auto"/>
        <w:left w:val="none" w:sz="0" w:space="0" w:color="auto"/>
        <w:bottom w:val="none" w:sz="0" w:space="0" w:color="auto"/>
        <w:right w:val="none" w:sz="0" w:space="0" w:color="auto"/>
      </w:divBdr>
    </w:div>
    <w:div w:id="872422399">
      <w:bodyDiv w:val="1"/>
      <w:marLeft w:val="0"/>
      <w:marRight w:val="0"/>
      <w:marTop w:val="0"/>
      <w:marBottom w:val="0"/>
      <w:divBdr>
        <w:top w:val="none" w:sz="0" w:space="0" w:color="auto"/>
        <w:left w:val="none" w:sz="0" w:space="0" w:color="auto"/>
        <w:bottom w:val="none" w:sz="0" w:space="0" w:color="auto"/>
        <w:right w:val="none" w:sz="0" w:space="0" w:color="auto"/>
      </w:divBdr>
    </w:div>
    <w:div w:id="884676889">
      <w:bodyDiv w:val="1"/>
      <w:marLeft w:val="0"/>
      <w:marRight w:val="0"/>
      <w:marTop w:val="0"/>
      <w:marBottom w:val="0"/>
      <w:divBdr>
        <w:top w:val="none" w:sz="0" w:space="0" w:color="auto"/>
        <w:left w:val="none" w:sz="0" w:space="0" w:color="auto"/>
        <w:bottom w:val="none" w:sz="0" w:space="0" w:color="auto"/>
        <w:right w:val="none" w:sz="0" w:space="0" w:color="auto"/>
      </w:divBdr>
    </w:div>
    <w:div w:id="887037710">
      <w:bodyDiv w:val="1"/>
      <w:marLeft w:val="0"/>
      <w:marRight w:val="0"/>
      <w:marTop w:val="0"/>
      <w:marBottom w:val="0"/>
      <w:divBdr>
        <w:top w:val="none" w:sz="0" w:space="0" w:color="auto"/>
        <w:left w:val="none" w:sz="0" w:space="0" w:color="auto"/>
        <w:bottom w:val="none" w:sz="0" w:space="0" w:color="auto"/>
        <w:right w:val="none" w:sz="0" w:space="0" w:color="auto"/>
      </w:divBdr>
    </w:div>
    <w:div w:id="891617410">
      <w:bodyDiv w:val="1"/>
      <w:marLeft w:val="0"/>
      <w:marRight w:val="0"/>
      <w:marTop w:val="0"/>
      <w:marBottom w:val="0"/>
      <w:divBdr>
        <w:top w:val="none" w:sz="0" w:space="0" w:color="auto"/>
        <w:left w:val="none" w:sz="0" w:space="0" w:color="auto"/>
        <w:bottom w:val="none" w:sz="0" w:space="0" w:color="auto"/>
        <w:right w:val="none" w:sz="0" w:space="0" w:color="auto"/>
      </w:divBdr>
    </w:div>
    <w:div w:id="892736513">
      <w:bodyDiv w:val="1"/>
      <w:marLeft w:val="0"/>
      <w:marRight w:val="0"/>
      <w:marTop w:val="0"/>
      <w:marBottom w:val="0"/>
      <w:divBdr>
        <w:top w:val="none" w:sz="0" w:space="0" w:color="auto"/>
        <w:left w:val="none" w:sz="0" w:space="0" w:color="auto"/>
        <w:bottom w:val="none" w:sz="0" w:space="0" w:color="auto"/>
        <w:right w:val="none" w:sz="0" w:space="0" w:color="auto"/>
      </w:divBdr>
    </w:div>
    <w:div w:id="894391967">
      <w:bodyDiv w:val="1"/>
      <w:marLeft w:val="0"/>
      <w:marRight w:val="0"/>
      <w:marTop w:val="0"/>
      <w:marBottom w:val="0"/>
      <w:divBdr>
        <w:top w:val="none" w:sz="0" w:space="0" w:color="auto"/>
        <w:left w:val="none" w:sz="0" w:space="0" w:color="auto"/>
        <w:bottom w:val="none" w:sz="0" w:space="0" w:color="auto"/>
        <w:right w:val="none" w:sz="0" w:space="0" w:color="auto"/>
      </w:divBdr>
    </w:div>
    <w:div w:id="902910090">
      <w:bodyDiv w:val="1"/>
      <w:marLeft w:val="0"/>
      <w:marRight w:val="0"/>
      <w:marTop w:val="0"/>
      <w:marBottom w:val="0"/>
      <w:divBdr>
        <w:top w:val="none" w:sz="0" w:space="0" w:color="auto"/>
        <w:left w:val="none" w:sz="0" w:space="0" w:color="auto"/>
        <w:bottom w:val="none" w:sz="0" w:space="0" w:color="auto"/>
        <w:right w:val="none" w:sz="0" w:space="0" w:color="auto"/>
      </w:divBdr>
    </w:div>
    <w:div w:id="905719821">
      <w:bodyDiv w:val="1"/>
      <w:marLeft w:val="0"/>
      <w:marRight w:val="0"/>
      <w:marTop w:val="0"/>
      <w:marBottom w:val="0"/>
      <w:divBdr>
        <w:top w:val="none" w:sz="0" w:space="0" w:color="auto"/>
        <w:left w:val="none" w:sz="0" w:space="0" w:color="auto"/>
        <w:bottom w:val="none" w:sz="0" w:space="0" w:color="auto"/>
        <w:right w:val="none" w:sz="0" w:space="0" w:color="auto"/>
      </w:divBdr>
    </w:div>
    <w:div w:id="910695198">
      <w:bodyDiv w:val="1"/>
      <w:marLeft w:val="0"/>
      <w:marRight w:val="0"/>
      <w:marTop w:val="0"/>
      <w:marBottom w:val="0"/>
      <w:divBdr>
        <w:top w:val="none" w:sz="0" w:space="0" w:color="auto"/>
        <w:left w:val="none" w:sz="0" w:space="0" w:color="auto"/>
        <w:bottom w:val="none" w:sz="0" w:space="0" w:color="auto"/>
        <w:right w:val="none" w:sz="0" w:space="0" w:color="auto"/>
      </w:divBdr>
    </w:div>
    <w:div w:id="921992200">
      <w:bodyDiv w:val="1"/>
      <w:marLeft w:val="0"/>
      <w:marRight w:val="0"/>
      <w:marTop w:val="0"/>
      <w:marBottom w:val="0"/>
      <w:divBdr>
        <w:top w:val="none" w:sz="0" w:space="0" w:color="auto"/>
        <w:left w:val="none" w:sz="0" w:space="0" w:color="auto"/>
        <w:bottom w:val="none" w:sz="0" w:space="0" w:color="auto"/>
        <w:right w:val="none" w:sz="0" w:space="0" w:color="auto"/>
      </w:divBdr>
    </w:div>
    <w:div w:id="924800944">
      <w:bodyDiv w:val="1"/>
      <w:marLeft w:val="0"/>
      <w:marRight w:val="0"/>
      <w:marTop w:val="0"/>
      <w:marBottom w:val="0"/>
      <w:divBdr>
        <w:top w:val="none" w:sz="0" w:space="0" w:color="auto"/>
        <w:left w:val="none" w:sz="0" w:space="0" w:color="auto"/>
        <w:bottom w:val="none" w:sz="0" w:space="0" w:color="auto"/>
        <w:right w:val="none" w:sz="0" w:space="0" w:color="auto"/>
      </w:divBdr>
    </w:div>
    <w:div w:id="932398016">
      <w:bodyDiv w:val="1"/>
      <w:marLeft w:val="0"/>
      <w:marRight w:val="0"/>
      <w:marTop w:val="0"/>
      <w:marBottom w:val="0"/>
      <w:divBdr>
        <w:top w:val="none" w:sz="0" w:space="0" w:color="auto"/>
        <w:left w:val="none" w:sz="0" w:space="0" w:color="auto"/>
        <w:bottom w:val="none" w:sz="0" w:space="0" w:color="auto"/>
        <w:right w:val="none" w:sz="0" w:space="0" w:color="auto"/>
      </w:divBdr>
    </w:div>
    <w:div w:id="945691540">
      <w:bodyDiv w:val="1"/>
      <w:marLeft w:val="0"/>
      <w:marRight w:val="0"/>
      <w:marTop w:val="0"/>
      <w:marBottom w:val="0"/>
      <w:divBdr>
        <w:top w:val="none" w:sz="0" w:space="0" w:color="auto"/>
        <w:left w:val="none" w:sz="0" w:space="0" w:color="auto"/>
        <w:bottom w:val="none" w:sz="0" w:space="0" w:color="auto"/>
        <w:right w:val="none" w:sz="0" w:space="0" w:color="auto"/>
      </w:divBdr>
    </w:div>
    <w:div w:id="951278718">
      <w:bodyDiv w:val="1"/>
      <w:marLeft w:val="0"/>
      <w:marRight w:val="0"/>
      <w:marTop w:val="0"/>
      <w:marBottom w:val="0"/>
      <w:divBdr>
        <w:top w:val="none" w:sz="0" w:space="0" w:color="auto"/>
        <w:left w:val="none" w:sz="0" w:space="0" w:color="auto"/>
        <w:bottom w:val="none" w:sz="0" w:space="0" w:color="auto"/>
        <w:right w:val="none" w:sz="0" w:space="0" w:color="auto"/>
      </w:divBdr>
      <w:divsChild>
        <w:div w:id="568534765">
          <w:marLeft w:val="0"/>
          <w:marRight w:val="0"/>
          <w:marTop w:val="0"/>
          <w:marBottom w:val="0"/>
          <w:divBdr>
            <w:top w:val="none" w:sz="0" w:space="0" w:color="auto"/>
            <w:left w:val="none" w:sz="0" w:space="0" w:color="auto"/>
            <w:bottom w:val="none" w:sz="0" w:space="0" w:color="auto"/>
            <w:right w:val="none" w:sz="0" w:space="0" w:color="auto"/>
          </w:divBdr>
        </w:div>
        <w:div w:id="1590121926">
          <w:marLeft w:val="0"/>
          <w:marRight w:val="0"/>
          <w:marTop w:val="0"/>
          <w:marBottom w:val="0"/>
          <w:divBdr>
            <w:top w:val="none" w:sz="0" w:space="0" w:color="auto"/>
            <w:left w:val="none" w:sz="0" w:space="0" w:color="auto"/>
            <w:bottom w:val="none" w:sz="0" w:space="0" w:color="auto"/>
            <w:right w:val="none" w:sz="0" w:space="0" w:color="auto"/>
          </w:divBdr>
        </w:div>
      </w:divsChild>
    </w:div>
    <w:div w:id="957490238">
      <w:bodyDiv w:val="1"/>
      <w:marLeft w:val="0"/>
      <w:marRight w:val="0"/>
      <w:marTop w:val="0"/>
      <w:marBottom w:val="0"/>
      <w:divBdr>
        <w:top w:val="none" w:sz="0" w:space="0" w:color="auto"/>
        <w:left w:val="none" w:sz="0" w:space="0" w:color="auto"/>
        <w:bottom w:val="none" w:sz="0" w:space="0" w:color="auto"/>
        <w:right w:val="none" w:sz="0" w:space="0" w:color="auto"/>
      </w:divBdr>
    </w:div>
    <w:div w:id="969551542">
      <w:bodyDiv w:val="1"/>
      <w:marLeft w:val="0"/>
      <w:marRight w:val="0"/>
      <w:marTop w:val="0"/>
      <w:marBottom w:val="0"/>
      <w:divBdr>
        <w:top w:val="none" w:sz="0" w:space="0" w:color="auto"/>
        <w:left w:val="none" w:sz="0" w:space="0" w:color="auto"/>
        <w:bottom w:val="none" w:sz="0" w:space="0" w:color="auto"/>
        <w:right w:val="none" w:sz="0" w:space="0" w:color="auto"/>
      </w:divBdr>
    </w:div>
    <w:div w:id="976689806">
      <w:bodyDiv w:val="1"/>
      <w:marLeft w:val="0"/>
      <w:marRight w:val="0"/>
      <w:marTop w:val="0"/>
      <w:marBottom w:val="0"/>
      <w:divBdr>
        <w:top w:val="none" w:sz="0" w:space="0" w:color="auto"/>
        <w:left w:val="none" w:sz="0" w:space="0" w:color="auto"/>
        <w:bottom w:val="none" w:sz="0" w:space="0" w:color="auto"/>
        <w:right w:val="none" w:sz="0" w:space="0" w:color="auto"/>
      </w:divBdr>
    </w:div>
    <w:div w:id="999969876">
      <w:bodyDiv w:val="1"/>
      <w:marLeft w:val="0"/>
      <w:marRight w:val="0"/>
      <w:marTop w:val="0"/>
      <w:marBottom w:val="0"/>
      <w:divBdr>
        <w:top w:val="none" w:sz="0" w:space="0" w:color="auto"/>
        <w:left w:val="none" w:sz="0" w:space="0" w:color="auto"/>
        <w:bottom w:val="none" w:sz="0" w:space="0" w:color="auto"/>
        <w:right w:val="none" w:sz="0" w:space="0" w:color="auto"/>
      </w:divBdr>
    </w:div>
    <w:div w:id="1000354615">
      <w:bodyDiv w:val="1"/>
      <w:marLeft w:val="0"/>
      <w:marRight w:val="0"/>
      <w:marTop w:val="0"/>
      <w:marBottom w:val="0"/>
      <w:divBdr>
        <w:top w:val="none" w:sz="0" w:space="0" w:color="auto"/>
        <w:left w:val="none" w:sz="0" w:space="0" w:color="auto"/>
        <w:bottom w:val="none" w:sz="0" w:space="0" w:color="auto"/>
        <w:right w:val="none" w:sz="0" w:space="0" w:color="auto"/>
      </w:divBdr>
    </w:div>
    <w:div w:id="1011105249">
      <w:bodyDiv w:val="1"/>
      <w:marLeft w:val="0"/>
      <w:marRight w:val="0"/>
      <w:marTop w:val="0"/>
      <w:marBottom w:val="0"/>
      <w:divBdr>
        <w:top w:val="none" w:sz="0" w:space="0" w:color="auto"/>
        <w:left w:val="none" w:sz="0" w:space="0" w:color="auto"/>
        <w:bottom w:val="none" w:sz="0" w:space="0" w:color="auto"/>
        <w:right w:val="none" w:sz="0" w:space="0" w:color="auto"/>
      </w:divBdr>
    </w:div>
    <w:div w:id="1012411422">
      <w:bodyDiv w:val="1"/>
      <w:marLeft w:val="0"/>
      <w:marRight w:val="0"/>
      <w:marTop w:val="0"/>
      <w:marBottom w:val="0"/>
      <w:divBdr>
        <w:top w:val="none" w:sz="0" w:space="0" w:color="auto"/>
        <w:left w:val="none" w:sz="0" w:space="0" w:color="auto"/>
        <w:bottom w:val="none" w:sz="0" w:space="0" w:color="auto"/>
        <w:right w:val="none" w:sz="0" w:space="0" w:color="auto"/>
      </w:divBdr>
    </w:div>
    <w:div w:id="1015500076">
      <w:bodyDiv w:val="1"/>
      <w:marLeft w:val="0"/>
      <w:marRight w:val="0"/>
      <w:marTop w:val="0"/>
      <w:marBottom w:val="0"/>
      <w:divBdr>
        <w:top w:val="none" w:sz="0" w:space="0" w:color="auto"/>
        <w:left w:val="none" w:sz="0" w:space="0" w:color="auto"/>
        <w:bottom w:val="none" w:sz="0" w:space="0" w:color="auto"/>
        <w:right w:val="none" w:sz="0" w:space="0" w:color="auto"/>
      </w:divBdr>
    </w:div>
    <w:div w:id="1016811440">
      <w:bodyDiv w:val="1"/>
      <w:marLeft w:val="0"/>
      <w:marRight w:val="0"/>
      <w:marTop w:val="0"/>
      <w:marBottom w:val="0"/>
      <w:divBdr>
        <w:top w:val="none" w:sz="0" w:space="0" w:color="auto"/>
        <w:left w:val="none" w:sz="0" w:space="0" w:color="auto"/>
        <w:bottom w:val="none" w:sz="0" w:space="0" w:color="auto"/>
        <w:right w:val="none" w:sz="0" w:space="0" w:color="auto"/>
      </w:divBdr>
    </w:div>
    <w:div w:id="1059867131">
      <w:bodyDiv w:val="1"/>
      <w:marLeft w:val="0"/>
      <w:marRight w:val="0"/>
      <w:marTop w:val="0"/>
      <w:marBottom w:val="0"/>
      <w:divBdr>
        <w:top w:val="none" w:sz="0" w:space="0" w:color="auto"/>
        <w:left w:val="none" w:sz="0" w:space="0" w:color="auto"/>
        <w:bottom w:val="none" w:sz="0" w:space="0" w:color="auto"/>
        <w:right w:val="none" w:sz="0" w:space="0" w:color="auto"/>
      </w:divBdr>
    </w:div>
    <w:div w:id="1077367379">
      <w:bodyDiv w:val="1"/>
      <w:marLeft w:val="0"/>
      <w:marRight w:val="0"/>
      <w:marTop w:val="0"/>
      <w:marBottom w:val="0"/>
      <w:divBdr>
        <w:top w:val="none" w:sz="0" w:space="0" w:color="auto"/>
        <w:left w:val="none" w:sz="0" w:space="0" w:color="auto"/>
        <w:bottom w:val="none" w:sz="0" w:space="0" w:color="auto"/>
        <w:right w:val="none" w:sz="0" w:space="0" w:color="auto"/>
      </w:divBdr>
    </w:div>
    <w:div w:id="1083994033">
      <w:bodyDiv w:val="1"/>
      <w:marLeft w:val="0"/>
      <w:marRight w:val="0"/>
      <w:marTop w:val="0"/>
      <w:marBottom w:val="0"/>
      <w:divBdr>
        <w:top w:val="none" w:sz="0" w:space="0" w:color="auto"/>
        <w:left w:val="none" w:sz="0" w:space="0" w:color="auto"/>
        <w:bottom w:val="none" w:sz="0" w:space="0" w:color="auto"/>
        <w:right w:val="none" w:sz="0" w:space="0" w:color="auto"/>
      </w:divBdr>
    </w:div>
    <w:div w:id="1093672253">
      <w:bodyDiv w:val="1"/>
      <w:marLeft w:val="0"/>
      <w:marRight w:val="0"/>
      <w:marTop w:val="0"/>
      <w:marBottom w:val="0"/>
      <w:divBdr>
        <w:top w:val="none" w:sz="0" w:space="0" w:color="auto"/>
        <w:left w:val="none" w:sz="0" w:space="0" w:color="auto"/>
        <w:bottom w:val="none" w:sz="0" w:space="0" w:color="auto"/>
        <w:right w:val="none" w:sz="0" w:space="0" w:color="auto"/>
      </w:divBdr>
    </w:div>
    <w:div w:id="1105275228">
      <w:bodyDiv w:val="1"/>
      <w:marLeft w:val="0"/>
      <w:marRight w:val="0"/>
      <w:marTop w:val="0"/>
      <w:marBottom w:val="0"/>
      <w:divBdr>
        <w:top w:val="none" w:sz="0" w:space="0" w:color="auto"/>
        <w:left w:val="none" w:sz="0" w:space="0" w:color="auto"/>
        <w:bottom w:val="none" w:sz="0" w:space="0" w:color="auto"/>
        <w:right w:val="none" w:sz="0" w:space="0" w:color="auto"/>
      </w:divBdr>
    </w:div>
    <w:div w:id="1105492375">
      <w:bodyDiv w:val="1"/>
      <w:marLeft w:val="0"/>
      <w:marRight w:val="0"/>
      <w:marTop w:val="0"/>
      <w:marBottom w:val="0"/>
      <w:divBdr>
        <w:top w:val="none" w:sz="0" w:space="0" w:color="auto"/>
        <w:left w:val="none" w:sz="0" w:space="0" w:color="auto"/>
        <w:bottom w:val="none" w:sz="0" w:space="0" w:color="auto"/>
        <w:right w:val="none" w:sz="0" w:space="0" w:color="auto"/>
      </w:divBdr>
    </w:div>
    <w:div w:id="1109279139">
      <w:bodyDiv w:val="1"/>
      <w:marLeft w:val="0"/>
      <w:marRight w:val="0"/>
      <w:marTop w:val="0"/>
      <w:marBottom w:val="0"/>
      <w:divBdr>
        <w:top w:val="none" w:sz="0" w:space="0" w:color="auto"/>
        <w:left w:val="none" w:sz="0" w:space="0" w:color="auto"/>
        <w:bottom w:val="none" w:sz="0" w:space="0" w:color="auto"/>
        <w:right w:val="none" w:sz="0" w:space="0" w:color="auto"/>
      </w:divBdr>
    </w:div>
    <w:div w:id="1115443391">
      <w:bodyDiv w:val="1"/>
      <w:marLeft w:val="0"/>
      <w:marRight w:val="0"/>
      <w:marTop w:val="0"/>
      <w:marBottom w:val="0"/>
      <w:divBdr>
        <w:top w:val="none" w:sz="0" w:space="0" w:color="auto"/>
        <w:left w:val="none" w:sz="0" w:space="0" w:color="auto"/>
        <w:bottom w:val="none" w:sz="0" w:space="0" w:color="auto"/>
        <w:right w:val="none" w:sz="0" w:space="0" w:color="auto"/>
      </w:divBdr>
    </w:div>
    <w:div w:id="1125659559">
      <w:bodyDiv w:val="1"/>
      <w:marLeft w:val="0"/>
      <w:marRight w:val="0"/>
      <w:marTop w:val="0"/>
      <w:marBottom w:val="0"/>
      <w:divBdr>
        <w:top w:val="none" w:sz="0" w:space="0" w:color="auto"/>
        <w:left w:val="none" w:sz="0" w:space="0" w:color="auto"/>
        <w:bottom w:val="none" w:sz="0" w:space="0" w:color="auto"/>
        <w:right w:val="none" w:sz="0" w:space="0" w:color="auto"/>
      </w:divBdr>
    </w:div>
    <w:div w:id="1126199416">
      <w:bodyDiv w:val="1"/>
      <w:marLeft w:val="0"/>
      <w:marRight w:val="0"/>
      <w:marTop w:val="0"/>
      <w:marBottom w:val="0"/>
      <w:divBdr>
        <w:top w:val="none" w:sz="0" w:space="0" w:color="auto"/>
        <w:left w:val="none" w:sz="0" w:space="0" w:color="auto"/>
        <w:bottom w:val="none" w:sz="0" w:space="0" w:color="auto"/>
        <w:right w:val="none" w:sz="0" w:space="0" w:color="auto"/>
      </w:divBdr>
    </w:div>
    <w:div w:id="1159886239">
      <w:bodyDiv w:val="1"/>
      <w:marLeft w:val="0"/>
      <w:marRight w:val="0"/>
      <w:marTop w:val="0"/>
      <w:marBottom w:val="0"/>
      <w:divBdr>
        <w:top w:val="none" w:sz="0" w:space="0" w:color="auto"/>
        <w:left w:val="none" w:sz="0" w:space="0" w:color="auto"/>
        <w:bottom w:val="none" w:sz="0" w:space="0" w:color="auto"/>
        <w:right w:val="none" w:sz="0" w:space="0" w:color="auto"/>
      </w:divBdr>
    </w:div>
    <w:div w:id="1175534128">
      <w:bodyDiv w:val="1"/>
      <w:marLeft w:val="0"/>
      <w:marRight w:val="0"/>
      <w:marTop w:val="0"/>
      <w:marBottom w:val="0"/>
      <w:divBdr>
        <w:top w:val="none" w:sz="0" w:space="0" w:color="auto"/>
        <w:left w:val="none" w:sz="0" w:space="0" w:color="auto"/>
        <w:bottom w:val="none" w:sz="0" w:space="0" w:color="auto"/>
        <w:right w:val="none" w:sz="0" w:space="0" w:color="auto"/>
      </w:divBdr>
    </w:div>
    <w:div w:id="1181509432">
      <w:bodyDiv w:val="1"/>
      <w:marLeft w:val="0"/>
      <w:marRight w:val="0"/>
      <w:marTop w:val="0"/>
      <w:marBottom w:val="0"/>
      <w:divBdr>
        <w:top w:val="none" w:sz="0" w:space="0" w:color="auto"/>
        <w:left w:val="none" w:sz="0" w:space="0" w:color="auto"/>
        <w:bottom w:val="none" w:sz="0" w:space="0" w:color="auto"/>
        <w:right w:val="none" w:sz="0" w:space="0" w:color="auto"/>
      </w:divBdr>
    </w:div>
    <w:div w:id="1187795742">
      <w:bodyDiv w:val="1"/>
      <w:marLeft w:val="0"/>
      <w:marRight w:val="0"/>
      <w:marTop w:val="0"/>
      <w:marBottom w:val="0"/>
      <w:divBdr>
        <w:top w:val="none" w:sz="0" w:space="0" w:color="auto"/>
        <w:left w:val="none" w:sz="0" w:space="0" w:color="auto"/>
        <w:bottom w:val="none" w:sz="0" w:space="0" w:color="auto"/>
        <w:right w:val="none" w:sz="0" w:space="0" w:color="auto"/>
      </w:divBdr>
    </w:div>
    <w:div w:id="1200781851">
      <w:bodyDiv w:val="1"/>
      <w:marLeft w:val="0"/>
      <w:marRight w:val="0"/>
      <w:marTop w:val="0"/>
      <w:marBottom w:val="0"/>
      <w:divBdr>
        <w:top w:val="none" w:sz="0" w:space="0" w:color="auto"/>
        <w:left w:val="none" w:sz="0" w:space="0" w:color="auto"/>
        <w:bottom w:val="none" w:sz="0" w:space="0" w:color="auto"/>
        <w:right w:val="none" w:sz="0" w:space="0" w:color="auto"/>
      </w:divBdr>
    </w:div>
    <w:div w:id="1220902264">
      <w:bodyDiv w:val="1"/>
      <w:marLeft w:val="0"/>
      <w:marRight w:val="0"/>
      <w:marTop w:val="0"/>
      <w:marBottom w:val="0"/>
      <w:divBdr>
        <w:top w:val="none" w:sz="0" w:space="0" w:color="auto"/>
        <w:left w:val="none" w:sz="0" w:space="0" w:color="auto"/>
        <w:bottom w:val="none" w:sz="0" w:space="0" w:color="auto"/>
        <w:right w:val="none" w:sz="0" w:space="0" w:color="auto"/>
      </w:divBdr>
    </w:div>
    <w:div w:id="1234463937">
      <w:bodyDiv w:val="1"/>
      <w:marLeft w:val="0"/>
      <w:marRight w:val="0"/>
      <w:marTop w:val="0"/>
      <w:marBottom w:val="0"/>
      <w:divBdr>
        <w:top w:val="none" w:sz="0" w:space="0" w:color="auto"/>
        <w:left w:val="none" w:sz="0" w:space="0" w:color="auto"/>
        <w:bottom w:val="none" w:sz="0" w:space="0" w:color="auto"/>
        <w:right w:val="none" w:sz="0" w:space="0" w:color="auto"/>
      </w:divBdr>
    </w:div>
    <w:div w:id="1236670502">
      <w:bodyDiv w:val="1"/>
      <w:marLeft w:val="0"/>
      <w:marRight w:val="0"/>
      <w:marTop w:val="0"/>
      <w:marBottom w:val="0"/>
      <w:divBdr>
        <w:top w:val="none" w:sz="0" w:space="0" w:color="auto"/>
        <w:left w:val="none" w:sz="0" w:space="0" w:color="auto"/>
        <w:bottom w:val="none" w:sz="0" w:space="0" w:color="auto"/>
        <w:right w:val="none" w:sz="0" w:space="0" w:color="auto"/>
      </w:divBdr>
    </w:div>
    <w:div w:id="1237980440">
      <w:bodyDiv w:val="1"/>
      <w:marLeft w:val="0"/>
      <w:marRight w:val="0"/>
      <w:marTop w:val="0"/>
      <w:marBottom w:val="0"/>
      <w:divBdr>
        <w:top w:val="none" w:sz="0" w:space="0" w:color="auto"/>
        <w:left w:val="none" w:sz="0" w:space="0" w:color="auto"/>
        <w:bottom w:val="none" w:sz="0" w:space="0" w:color="auto"/>
        <w:right w:val="none" w:sz="0" w:space="0" w:color="auto"/>
      </w:divBdr>
    </w:div>
    <w:div w:id="1238827782">
      <w:bodyDiv w:val="1"/>
      <w:marLeft w:val="0"/>
      <w:marRight w:val="0"/>
      <w:marTop w:val="0"/>
      <w:marBottom w:val="0"/>
      <w:divBdr>
        <w:top w:val="none" w:sz="0" w:space="0" w:color="auto"/>
        <w:left w:val="none" w:sz="0" w:space="0" w:color="auto"/>
        <w:bottom w:val="none" w:sz="0" w:space="0" w:color="auto"/>
        <w:right w:val="none" w:sz="0" w:space="0" w:color="auto"/>
      </w:divBdr>
    </w:div>
    <w:div w:id="1239318265">
      <w:bodyDiv w:val="1"/>
      <w:marLeft w:val="0"/>
      <w:marRight w:val="0"/>
      <w:marTop w:val="0"/>
      <w:marBottom w:val="0"/>
      <w:divBdr>
        <w:top w:val="none" w:sz="0" w:space="0" w:color="auto"/>
        <w:left w:val="none" w:sz="0" w:space="0" w:color="auto"/>
        <w:bottom w:val="none" w:sz="0" w:space="0" w:color="auto"/>
        <w:right w:val="none" w:sz="0" w:space="0" w:color="auto"/>
      </w:divBdr>
    </w:div>
    <w:div w:id="1253856032">
      <w:bodyDiv w:val="1"/>
      <w:marLeft w:val="0"/>
      <w:marRight w:val="0"/>
      <w:marTop w:val="0"/>
      <w:marBottom w:val="0"/>
      <w:divBdr>
        <w:top w:val="none" w:sz="0" w:space="0" w:color="auto"/>
        <w:left w:val="none" w:sz="0" w:space="0" w:color="auto"/>
        <w:bottom w:val="none" w:sz="0" w:space="0" w:color="auto"/>
        <w:right w:val="none" w:sz="0" w:space="0" w:color="auto"/>
      </w:divBdr>
    </w:div>
    <w:div w:id="1278103206">
      <w:bodyDiv w:val="1"/>
      <w:marLeft w:val="0"/>
      <w:marRight w:val="0"/>
      <w:marTop w:val="0"/>
      <w:marBottom w:val="0"/>
      <w:divBdr>
        <w:top w:val="none" w:sz="0" w:space="0" w:color="auto"/>
        <w:left w:val="none" w:sz="0" w:space="0" w:color="auto"/>
        <w:bottom w:val="none" w:sz="0" w:space="0" w:color="auto"/>
        <w:right w:val="none" w:sz="0" w:space="0" w:color="auto"/>
      </w:divBdr>
    </w:div>
    <w:div w:id="1282885679">
      <w:bodyDiv w:val="1"/>
      <w:marLeft w:val="0"/>
      <w:marRight w:val="0"/>
      <w:marTop w:val="0"/>
      <w:marBottom w:val="0"/>
      <w:divBdr>
        <w:top w:val="none" w:sz="0" w:space="0" w:color="auto"/>
        <w:left w:val="none" w:sz="0" w:space="0" w:color="auto"/>
        <w:bottom w:val="none" w:sz="0" w:space="0" w:color="auto"/>
        <w:right w:val="none" w:sz="0" w:space="0" w:color="auto"/>
      </w:divBdr>
      <w:divsChild>
        <w:div w:id="1680892540">
          <w:marLeft w:val="0"/>
          <w:marRight w:val="0"/>
          <w:marTop w:val="0"/>
          <w:marBottom w:val="0"/>
          <w:divBdr>
            <w:top w:val="none" w:sz="0" w:space="0" w:color="auto"/>
            <w:left w:val="none" w:sz="0" w:space="0" w:color="auto"/>
            <w:bottom w:val="none" w:sz="0" w:space="0" w:color="auto"/>
            <w:right w:val="none" w:sz="0" w:space="0" w:color="auto"/>
          </w:divBdr>
          <w:divsChild>
            <w:div w:id="1933660201">
              <w:marLeft w:val="0"/>
              <w:marRight w:val="0"/>
              <w:marTop w:val="0"/>
              <w:marBottom w:val="0"/>
              <w:divBdr>
                <w:top w:val="none" w:sz="0" w:space="0" w:color="auto"/>
                <w:left w:val="none" w:sz="0" w:space="0" w:color="auto"/>
                <w:bottom w:val="none" w:sz="0" w:space="0" w:color="auto"/>
                <w:right w:val="none" w:sz="0" w:space="0" w:color="auto"/>
              </w:divBdr>
            </w:div>
          </w:divsChild>
        </w:div>
        <w:div w:id="467549997">
          <w:marLeft w:val="0"/>
          <w:marRight w:val="0"/>
          <w:marTop w:val="0"/>
          <w:marBottom w:val="0"/>
          <w:divBdr>
            <w:top w:val="none" w:sz="0" w:space="0" w:color="auto"/>
            <w:left w:val="none" w:sz="0" w:space="0" w:color="auto"/>
            <w:bottom w:val="none" w:sz="0" w:space="0" w:color="auto"/>
            <w:right w:val="none" w:sz="0" w:space="0" w:color="auto"/>
          </w:divBdr>
          <w:divsChild>
            <w:div w:id="14271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48266">
      <w:bodyDiv w:val="1"/>
      <w:marLeft w:val="0"/>
      <w:marRight w:val="0"/>
      <w:marTop w:val="0"/>
      <w:marBottom w:val="0"/>
      <w:divBdr>
        <w:top w:val="none" w:sz="0" w:space="0" w:color="auto"/>
        <w:left w:val="none" w:sz="0" w:space="0" w:color="auto"/>
        <w:bottom w:val="none" w:sz="0" w:space="0" w:color="auto"/>
        <w:right w:val="none" w:sz="0" w:space="0" w:color="auto"/>
      </w:divBdr>
    </w:div>
    <w:div w:id="1302227230">
      <w:bodyDiv w:val="1"/>
      <w:marLeft w:val="0"/>
      <w:marRight w:val="0"/>
      <w:marTop w:val="0"/>
      <w:marBottom w:val="0"/>
      <w:divBdr>
        <w:top w:val="none" w:sz="0" w:space="0" w:color="auto"/>
        <w:left w:val="none" w:sz="0" w:space="0" w:color="auto"/>
        <w:bottom w:val="none" w:sz="0" w:space="0" w:color="auto"/>
        <w:right w:val="none" w:sz="0" w:space="0" w:color="auto"/>
      </w:divBdr>
    </w:div>
    <w:div w:id="1302610127">
      <w:bodyDiv w:val="1"/>
      <w:marLeft w:val="0"/>
      <w:marRight w:val="0"/>
      <w:marTop w:val="0"/>
      <w:marBottom w:val="0"/>
      <w:divBdr>
        <w:top w:val="none" w:sz="0" w:space="0" w:color="auto"/>
        <w:left w:val="none" w:sz="0" w:space="0" w:color="auto"/>
        <w:bottom w:val="none" w:sz="0" w:space="0" w:color="auto"/>
        <w:right w:val="none" w:sz="0" w:space="0" w:color="auto"/>
      </w:divBdr>
    </w:div>
    <w:div w:id="1305574850">
      <w:bodyDiv w:val="1"/>
      <w:marLeft w:val="0"/>
      <w:marRight w:val="0"/>
      <w:marTop w:val="0"/>
      <w:marBottom w:val="0"/>
      <w:divBdr>
        <w:top w:val="none" w:sz="0" w:space="0" w:color="auto"/>
        <w:left w:val="none" w:sz="0" w:space="0" w:color="auto"/>
        <w:bottom w:val="none" w:sz="0" w:space="0" w:color="auto"/>
        <w:right w:val="none" w:sz="0" w:space="0" w:color="auto"/>
      </w:divBdr>
    </w:div>
    <w:div w:id="1312178391">
      <w:bodyDiv w:val="1"/>
      <w:marLeft w:val="0"/>
      <w:marRight w:val="0"/>
      <w:marTop w:val="0"/>
      <w:marBottom w:val="0"/>
      <w:divBdr>
        <w:top w:val="none" w:sz="0" w:space="0" w:color="auto"/>
        <w:left w:val="none" w:sz="0" w:space="0" w:color="auto"/>
        <w:bottom w:val="none" w:sz="0" w:space="0" w:color="auto"/>
        <w:right w:val="none" w:sz="0" w:space="0" w:color="auto"/>
      </w:divBdr>
    </w:div>
    <w:div w:id="1321807807">
      <w:bodyDiv w:val="1"/>
      <w:marLeft w:val="0"/>
      <w:marRight w:val="0"/>
      <w:marTop w:val="0"/>
      <w:marBottom w:val="0"/>
      <w:divBdr>
        <w:top w:val="none" w:sz="0" w:space="0" w:color="auto"/>
        <w:left w:val="none" w:sz="0" w:space="0" w:color="auto"/>
        <w:bottom w:val="none" w:sz="0" w:space="0" w:color="auto"/>
        <w:right w:val="none" w:sz="0" w:space="0" w:color="auto"/>
      </w:divBdr>
    </w:div>
    <w:div w:id="1323313882">
      <w:bodyDiv w:val="1"/>
      <w:marLeft w:val="0"/>
      <w:marRight w:val="0"/>
      <w:marTop w:val="0"/>
      <w:marBottom w:val="0"/>
      <w:divBdr>
        <w:top w:val="none" w:sz="0" w:space="0" w:color="auto"/>
        <w:left w:val="none" w:sz="0" w:space="0" w:color="auto"/>
        <w:bottom w:val="none" w:sz="0" w:space="0" w:color="auto"/>
        <w:right w:val="none" w:sz="0" w:space="0" w:color="auto"/>
      </w:divBdr>
    </w:div>
    <w:div w:id="1348293453">
      <w:bodyDiv w:val="1"/>
      <w:marLeft w:val="0"/>
      <w:marRight w:val="0"/>
      <w:marTop w:val="0"/>
      <w:marBottom w:val="0"/>
      <w:divBdr>
        <w:top w:val="none" w:sz="0" w:space="0" w:color="auto"/>
        <w:left w:val="none" w:sz="0" w:space="0" w:color="auto"/>
        <w:bottom w:val="none" w:sz="0" w:space="0" w:color="auto"/>
        <w:right w:val="none" w:sz="0" w:space="0" w:color="auto"/>
      </w:divBdr>
    </w:div>
    <w:div w:id="1364399771">
      <w:bodyDiv w:val="1"/>
      <w:marLeft w:val="0"/>
      <w:marRight w:val="0"/>
      <w:marTop w:val="0"/>
      <w:marBottom w:val="0"/>
      <w:divBdr>
        <w:top w:val="none" w:sz="0" w:space="0" w:color="auto"/>
        <w:left w:val="none" w:sz="0" w:space="0" w:color="auto"/>
        <w:bottom w:val="none" w:sz="0" w:space="0" w:color="auto"/>
        <w:right w:val="none" w:sz="0" w:space="0" w:color="auto"/>
      </w:divBdr>
    </w:div>
    <w:div w:id="1371566114">
      <w:bodyDiv w:val="1"/>
      <w:marLeft w:val="0"/>
      <w:marRight w:val="0"/>
      <w:marTop w:val="0"/>
      <w:marBottom w:val="0"/>
      <w:divBdr>
        <w:top w:val="none" w:sz="0" w:space="0" w:color="auto"/>
        <w:left w:val="none" w:sz="0" w:space="0" w:color="auto"/>
        <w:bottom w:val="none" w:sz="0" w:space="0" w:color="auto"/>
        <w:right w:val="none" w:sz="0" w:space="0" w:color="auto"/>
      </w:divBdr>
    </w:div>
    <w:div w:id="1376851357">
      <w:bodyDiv w:val="1"/>
      <w:marLeft w:val="0"/>
      <w:marRight w:val="0"/>
      <w:marTop w:val="0"/>
      <w:marBottom w:val="0"/>
      <w:divBdr>
        <w:top w:val="none" w:sz="0" w:space="0" w:color="auto"/>
        <w:left w:val="none" w:sz="0" w:space="0" w:color="auto"/>
        <w:bottom w:val="none" w:sz="0" w:space="0" w:color="auto"/>
        <w:right w:val="none" w:sz="0" w:space="0" w:color="auto"/>
      </w:divBdr>
    </w:div>
    <w:div w:id="1404640881">
      <w:bodyDiv w:val="1"/>
      <w:marLeft w:val="0"/>
      <w:marRight w:val="0"/>
      <w:marTop w:val="0"/>
      <w:marBottom w:val="0"/>
      <w:divBdr>
        <w:top w:val="none" w:sz="0" w:space="0" w:color="auto"/>
        <w:left w:val="none" w:sz="0" w:space="0" w:color="auto"/>
        <w:bottom w:val="none" w:sz="0" w:space="0" w:color="auto"/>
        <w:right w:val="none" w:sz="0" w:space="0" w:color="auto"/>
      </w:divBdr>
    </w:div>
    <w:div w:id="1423719924">
      <w:bodyDiv w:val="1"/>
      <w:marLeft w:val="0"/>
      <w:marRight w:val="0"/>
      <w:marTop w:val="0"/>
      <w:marBottom w:val="0"/>
      <w:divBdr>
        <w:top w:val="none" w:sz="0" w:space="0" w:color="auto"/>
        <w:left w:val="none" w:sz="0" w:space="0" w:color="auto"/>
        <w:bottom w:val="none" w:sz="0" w:space="0" w:color="auto"/>
        <w:right w:val="none" w:sz="0" w:space="0" w:color="auto"/>
      </w:divBdr>
    </w:div>
    <w:div w:id="1469859314">
      <w:bodyDiv w:val="1"/>
      <w:marLeft w:val="0"/>
      <w:marRight w:val="0"/>
      <w:marTop w:val="0"/>
      <w:marBottom w:val="0"/>
      <w:divBdr>
        <w:top w:val="none" w:sz="0" w:space="0" w:color="auto"/>
        <w:left w:val="none" w:sz="0" w:space="0" w:color="auto"/>
        <w:bottom w:val="none" w:sz="0" w:space="0" w:color="auto"/>
        <w:right w:val="none" w:sz="0" w:space="0" w:color="auto"/>
      </w:divBdr>
    </w:div>
    <w:div w:id="1476751285">
      <w:bodyDiv w:val="1"/>
      <w:marLeft w:val="0"/>
      <w:marRight w:val="0"/>
      <w:marTop w:val="0"/>
      <w:marBottom w:val="0"/>
      <w:divBdr>
        <w:top w:val="none" w:sz="0" w:space="0" w:color="auto"/>
        <w:left w:val="none" w:sz="0" w:space="0" w:color="auto"/>
        <w:bottom w:val="none" w:sz="0" w:space="0" w:color="auto"/>
        <w:right w:val="none" w:sz="0" w:space="0" w:color="auto"/>
      </w:divBdr>
    </w:div>
    <w:div w:id="1495873758">
      <w:bodyDiv w:val="1"/>
      <w:marLeft w:val="0"/>
      <w:marRight w:val="0"/>
      <w:marTop w:val="0"/>
      <w:marBottom w:val="0"/>
      <w:divBdr>
        <w:top w:val="none" w:sz="0" w:space="0" w:color="auto"/>
        <w:left w:val="none" w:sz="0" w:space="0" w:color="auto"/>
        <w:bottom w:val="none" w:sz="0" w:space="0" w:color="auto"/>
        <w:right w:val="none" w:sz="0" w:space="0" w:color="auto"/>
      </w:divBdr>
    </w:div>
    <w:div w:id="1560171513">
      <w:bodyDiv w:val="1"/>
      <w:marLeft w:val="0"/>
      <w:marRight w:val="0"/>
      <w:marTop w:val="0"/>
      <w:marBottom w:val="0"/>
      <w:divBdr>
        <w:top w:val="none" w:sz="0" w:space="0" w:color="auto"/>
        <w:left w:val="none" w:sz="0" w:space="0" w:color="auto"/>
        <w:bottom w:val="none" w:sz="0" w:space="0" w:color="auto"/>
        <w:right w:val="none" w:sz="0" w:space="0" w:color="auto"/>
      </w:divBdr>
    </w:div>
    <w:div w:id="1563828755">
      <w:bodyDiv w:val="1"/>
      <w:marLeft w:val="0"/>
      <w:marRight w:val="0"/>
      <w:marTop w:val="0"/>
      <w:marBottom w:val="0"/>
      <w:divBdr>
        <w:top w:val="none" w:sz="0" w:space="0" w:color="auto"/>
        <w:left w:val="none" w:sz="0" w:space="0" w:color="auto"/>
        <w:bottom w:val="none" w:sz="0" w:space="0" w:color="auto"/>
        <w:right w:val="none" w:sz="0" w:space="0" w:color="auto"/>
      </w:divBdr>
    </w:div>
    <w:div w:id="1566573562">
      <w:bodyDiv w:val="1"/>
      <w:marLeft w:val="0"/>
      <w:marRight w:val="0"/>
      <w:marTop w:val="0"/>
      <w:marBottom w:val="0"/>
      <w:divBdr>
        <w:top w:val="none" w:sz="0" w:space="0" w:color="auto"/>
        <w:left w:val="none" w:sz="0" w:space="0" w:color="auto"/>
        <w:bottom w:val="none" w:sz="0" w:space="0" w:color="auto"/>
        <w:right w:val="none" w:sz="0" w:space="0" w:color="auto"/>
      </w:divBdr>
    </w:div>
    <w:div w:id="1580943355">
      <w:bodyDiv w:val="1"/>
      <w:marLeft w:val="0"/>
      <w:marRight w:val="0"/>
      <w:marTop w:val="0"/>
      <w:marBottom w:val="0"/>
      <w:divBdr>
        <w:top w:val="none" w:sz="0" w:space="0" w:color="auto"/>
        <w:left w:val="none" w:sz="0" w:space="0" w:color="auto"/>
        <w:bottom w:val="none" w:sz="0" w:space="0" w:color="auto"/>
        <w:right w:val="none" w:sz="0" w:space="0" w:color="auto"/>
      </w:divBdr>
      <w:divsChild>
        <w:div w:id="1527478222">
          <w:marLeft w:val="0"/>
          <w:marRight w:val="0"/>
          <w:marTop w:val="0"/>
          <w:marBottom w:val="0"/>
          <w:divBdr>
            <w:top w:val="none" w:sz="0" w:space="0" w:color="auto"/>
            <w:left w:val="none" w:sz="0" w:space="0" w:color="auto"/>
            <w:bottom w:val="none" w:sz="0" w:space="0" w:color="auto"/>
            <w:right w:val="none" w:sz="0" w:space="0" w:color="auto"/>
          </w:divBdr>
        </w:div>
        <w:div w:id="1371804345">
          <w:marLeft w:val="0"/>
          <w:marRight w:val="0"/>
          <w:marTop w:val="0"/>
          <w:marBottom w:val="0"/>
          <w:divBdr>
            <w:top w:val="none" w:sz="0" w:space="0" w:color="auto"/>
            <w:left w:val="none" w:sz="0" w:space="0" w:color="auto"/>
            <w:bottom w:val="none" w:sz="0" w:space="0" w:color="auto"/>
            <w:right w:val="none" w:sz="0" w:space="0" w:color="auto"/>
          </w:divBdr>
        </w:div>
      </w:divsChild>
    </w:div>
    <w:div w:id="1586258991">
      <w:bodyDiv w:val="1"/>
      <w:marLeft w:val="0"/>
      <w:marRight w:val="0"/>
      <w:marTop w:val="0"/>
      <w:marBottom w:val="0"/>
      <w:divBdr>
        <w:top w:val="none" w:sz="0" w:space="0" w:color="auto"/>
        <w:left w:val="none" w:sz="0" w:space="0" w:color="auto"/>
        <w:bottom w:val="none" w:sz="0" w:space="0" w:color="auto"/>
        <w:right w:val="none" w:sz="0" w:space="0" w:color="auto"/>
      </w:divBdr>
      <w:divsChild>
        <w:div w:id="41751442">
          <w:marLeft w:val="0"/>
          <w:marRight w:val="0"/>
          <w:marTop w:val="0"/>
          <w:marBottom w:val="0"/>
          <w:divBdr>
            <w:top w:val="none" w:sz="0" w:space="0" w:color="auto"/>
            <w:left w:val="none" w:sz="0" w:space="0" w:color="auto"/>
            <w:bottom w:val="none" w:sz="0" w:space="0" w:color="auto"/>
            <w:right w:val="none" w:sz="0" w:space="0" w:color="auto"/>
          </w:divBdr>
          <w:divsChild>
            <w:div w:id="1211579600">
              <w:marLeft w:val="0"/>
              <w:marRight w:val="0"/>
              <w:marTop w:val="0"/>
              <w:marBottom w:val="0"/>
              <w:divBdr>
                <w:top w:val="none" w:sz="0" w:space="0" w:color="auto"/>
                <w:left w:val="none" w:sz="0" w:space="0" w:color="auto"/>
                <w:bottom w:val="none" w:sz="0" w:space="0" w:color="auto"/>
                <w:right w:val="none" w:sz="0" w:space="0" w:color="auto"/>
              </w:divBdr>
              <w:divsChild>
                <w:div w:id="1609504631">
                  <w:marLeft w:val="0"/>
                  <w:marRight w:val="0"/>
                  <w:marTop w:val="0"/>
                  <w:marBottom w:val="0"/>
                  <w:divBdr>
                    <w:top w:val="none" w:sz="0" w:space="0" w:color="auto"/>
                    <w:left w:val="none" w:sz="0" w:space="0" w:color="auto"/>
                    <w:bottom w:val="none" w:sz="0" w:space="0" w:color="auto"/>
                    <w:right w:val="none" w:sz="0" w:space="0" w:color="auto"/>
                  </w:divBdr>
                  <w:divsChild>
                    <w:div w:id="1518814419">
                      <w:marLeft w:val="0"/>
                      <w:marRight w:val="0"/>
                      <w:marTop w:val="0"/>
                      <w:marBottom w:val="0"/>
                      <w:divBdr>
                        <w:top w:val="none" w:sz="0" w:space="0" w:color="auto"/>
                        <w:left w:val="none" w:sz="0" w:space="0" w:color="auto"/>
                        <w:bottom w:val="none" w:sz="0" w:space="0" w:color="auto"/>
                        <w:right w:val="none" w:sz="0" w:space="0" w:color="auto"/>
                      </w:divBdr>
                      <w:divsChild>
                        <w:div w:id="1687054292">
                          <w:marLeft w:val="0"/>
                          <w:marRight w:val="0"/>
                          <w:marTop w:val="0"/>
                          <w:marBottom w:val="0"/>
                          <w:divBdr>
                            <w:top w:val="none" w:sz="0" w:space="0" w:color="auto"/>
                            <w:left w:val="none" w:sz="0" w:space="0" w:color="auto"/>
                            <w:bottom w:val="none" w:sz="0" w:space="0" w:color="auto"/>
                            <w:right w:val="none" w:sz="0" w:space="0" w:color="auto"/>
                          </w:divBdr>
                          <w:divsChild>
                            <w:div w:id="483549437">
                              <w:marLeft w:val="0"/>
                              <w:marRight w:val="0"/>
                              <w:marTop w:val="0"/>
                              <w:marBottom w:val="0"/>
                              <w:divBdr>
                                <w:top w:val="none" w:sz="0" w:space="0" w:color="auto"/>
                                <w:left w:val="none" w:sz="0" w:space="0" w:color="auto"/>
                                <w:bottom w:val="none" w:sz="0" w:space="0" w:color="auto"/>
                                <w:right w:val="none" w:sz="0" w:space="0" w:color="auto"/>
                              </w:divBdr>
                              <w:divsChild>
                                <w:div w:id="18881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10295">
      <w:bodyDiv w:val="1"/>
      <w:marLeft w:val="0"/>
      <w:marRight w:val="0"/>
      <w:marTop w:val="0"/>
      <w:marBottom w:val="0"/>
      <w:divBdr>
        <w:top w:val="none" w:sz="0" w:space="0" w:color="auto"/>
        <w:left w:val="none" w:sz="0" w:space="0" w:color="auto"/>
        <w:bottom w:val="none" w:sz="0" w:space="0" w:color="auto"/>
        <w:right w:val="none" w:sz="0" w:space="0" w:color="auto"/>
      </w:divBdr>
    </w:div>
    <w:div w:id="1596355050">
      <w:bodyDiv w:val="1"/>
      <w:marLeft w:val="0"/>
      <w:marRight w:val="0"/>
      <w:marTop w:val="0"/>
      <w:marBottom w:val="0"/>
      <w:divBdr>
        <w:top w:val="none" w:sz="0" w:space="0" w:color="auto"/>
        <w:left w:val="none" w:sz="0" w:space="0" w:color="auto"/>
        <w:bottom w:val="none" w:sz="0" w:space="0" w:color="auto"/>
        <w:right w:val="none" w:sz="0" w:space="0" w:color="auto"/>
      </w:divBdr>
    </w:div>
    <w:div w:id="1598515417">
      <w:bodyDiv w:val="1"/>
      <w:marLeft w:val="0"/>
      <w:marRight w:val="0"/>
      <w:marTop w:val="0"/>
      <w:marBottom w:val="0"/>
      <w:divBdr>
        <w:top w:val="none" w:sz="0" w:space="0" w:color="auto"/>
        <w:left w:val="none" w:sz="0" w:space="0" w:color="auto"/>
        <w:bottom w:val="none" w:sz="0" w:space="0" w:color="auto"/>
        <w:right w:val="none" w:sz="0" w:space="0" w:color="auto"/>
      </w:divBdr>
    </w:div>
    <w:div w:id="1612198682">
      <w:bodyDiv w:val="1"/>
      <w:marLeft w:val="0"/>
      <w:marRight w:val="0"/>
      <w:marTop w:val="0"/>
      <w:marBottom w:val="0"/>
      <w:divBdr>
        <w:top w:val="none" w:sz="0" w:space="0" w:color="auto"/>
        <w:left w:val="none" w:sz="0" w:space="0" w:color="auto"/>
        <w:bottom w:val="none" w:sz="0" w:space="0" w:color="auto"/>
        <w:right w:val="none" w:sz="0" w:space="0" w:color="auto"/>
      </w:divBdr>
    </w:div>
    <w:div w:id="1612973703">
      <w:bodyDiv w:val="1"/>
      <w:marLeft w:val="0"/>
      <w:marRight w:val="0"/>
      <w:marTop w:val="0"/>
      <w:marBottom w:val="0"/>
      <w:divBdr>
        <w:top w:val="none" w:sz="0" w:space="0" w:color="auto"/>
        <w:left w:val="none" w:sz="0" w:space="0" w:color="auto"/>
        <w:bottom w:val="none" w:sz="0" w:space="0" w:color="auto"/>
        <w:right w:val="none" w:sz="0" w:space="0" w:color="auto"/>
      </w:divBdr>
    </w:div>
    <w:div w:id="1657999750">
      <w:bodyDiv w:val="1"/>
      <w:marLeft w:val="0"/>
      <w:marRight w:val="0"/>
      <w:marTop w:val="0"/>
      <w:marBottom w:val="0"/>
      <w:divBdr>
        <w:top w:val="none" w:sz="0" w:space="0" w:color="auto"/>
        <w:left w:val="none" w:sz="0" w:space="0" w:color="auto"/>
        <w:bottom w:val="none" w:sz="0" w:space="0" w:color="auto"/>
        <w:right w:val="none" w:sz="0" w:space="0" w:color="auto"/>
      </w:divBdr>
    </w:div>
    <w:div w:id="1663660091">
      <w:bodyDiv w:val="1"/>
      <w:marLeft w:val="0"/>
      <w:marRight w:val="0"/>
      <w:marTop w:val="0"/>
      <w:marBottom w:val="0"/>
      <w:divBdr>
        <w:top w:val="none" w:sz="0" w:space="0" w:color="auto"/>
        <w:left w:val="none" w:sz="0" w:space="0" w:color="auto"/>
        <w:bottom w:val="none" w:sz="0" w:space="0" w:color="auto"/>
        <w:right w:val="none" w:sz="0" w:space="0" w:color="auto"/>
      </w:divBdr>
    </w:div>
    <w:div w:id="1663778475">
      <w:bodyDiv w:val="1"/>
      <w:marLeft w:val="0"/>
      <w:marRight w:val="0"/>
      <w:marTop w:val="0"/>
      <w:marBottom w:val="0"/>
      <w:divBdr>
        <w:top w:val="none" w:sz="0" w:space="0" w:color="auto"/>
        <w:left w:val="none" w:sz="0" w:space="0" w:color="auto"/>
        <w:bottom w:val="none" w:sz="0" w:space="0" w:color="auto"/>
        <w:right w:val="none" w:sz="0" w:space="0" w:color="auto"/>
      </w:divBdr>
    </w:div>
    <w:div w:id="1668089853">
      <w:bodyDiv w:val="1"/>
      <w:marLeft w:val="0"/>
      <w:marRight w:val="0"/>
      <w:marTop w:val="0"/>
      <w:marBottom w:val="0"/>
      <w:divBdr>
        <w:top w:val="none" w:sz="0" w:space="0" w:color="auto"/>
        <w:left w:val="none" w:sz="0" w:space="0" w:color="auto"/>
        <w:bottom w:val="none" w:sz="0" w:space="0" w:color="auto"/>
        <w:right w:val="none" w:sz="0" w:space="0" w:color="auto"/>
      </w:divBdr>
    </w:div>
    <w:div w:id="1694191816">
      <w:bodyDiv w:val="1"/>
      <w:marLeft w:val="0"/>
      <w:marRight w:val="0"/>
      <w:marTop w:val="0"/>
      <w:marBottom w:val="0"/>
      <w:divBdr>
        <w:top w:val="none" w:sz="0" w:space="0" w:color="auto"/>
        <w:left w:val="none" w:sz="0" w:space="0" w:color="auto"/>
        <w:bottom w:val="none" w:sz="0" w:space="0" w:color="auto"/>
        <w:right w:val="none" w:sz="0" w:space="0" w:color="auto"/>
      </w:divBdr>
    </w:div>
    <w:div w:id="1709792048">
      <w:bodyDiv w:val="1"/>
      <w:marLeft w:val="0"/>
      <w:marRight w:val="0"/>
      <w:marTop w:val="0"/>
      <w:marBottom w:val="0"/>
      <w:divBdr>
        <w:top w:val="none" w:sz="0" w:space="0" w:color="auto"/>
        <w:left w:val="none" w:sz="0" w:space="0" w:color="auto"/>
        <w:bottom w:val="none" w:sz="0" w:space="0" w:color="auto"/>
        <w:right w:val="none" w:sz="0" w:space="0" w:color="auto"/>
      </w:divBdr>
    </w:div>
    <w:div w:id="1712605872">
      <w:bodyDiv w:val="1"/>
      <w:marLeft w:val="0"/>
      <w:marRight w:val="0"/>
      <w:marTop w:val="0"/>
      <w:marBottom w:val="0"/>
      <w:divBdr>
        <w:top w:val="none" w:sz="0" w:space="0" w:color="auto"/>
        <w:left w:val="none" w:sz="0" w:space="0" w:color="auto"/>
        <w:bottom w:val="none" w:sz="0" w:space="0" w:color="auto"/>
        <w:right w:val="none" w:sz="0" w:space="0" w:color="auto"/>
      </w:divBdr>
    </w:div>
    <w:div w:id="1713069802">
      <w:bodyDiv w:val="1"/>
      <w:marLeft w:val="0"/>
      <w:marRight w:val="0"/>
      <w:marTop w:val="0"/>
      <w:marBottom w:val="0"/>
      <w:divBdr>
        <w:top w:val="none" w:sz="0" w:space="0" w:color="auto"/>
        <w:left w:val="none" w:sz="0" w:space="0" w:color="auto"/>
        <w:bottom w:val="none" w:sz="0" w:space="0" w:color="auto"/>
        <w:right w:val="none" w:sz="0" w:space="0" w:color="auto"/>
      </w:divBdr>
    </w:div>
    <w:div w:id="1716807746">
      <w:bodyDiv w:val="1"/>
      <w:marLeft w:val="0"/>
      <w:marRight w:val="0"/>
      <w:marTop w:val="0"/>
      <w:marBottom w:val="0"/>
      <w:divBdr>
        <w:top w:val="none" w:sz="0" w:space="0" w:color="auto"/>
        <w:left w:val="none" w:sz="0" w:space="0" w:color="auto"/>
        <w:bottom w:val="none" w:sz="0" w:space="0" w:color="auto"/>
        <w:right w:val="none" w:sz="0" w:space="0" w:color="auto"/>
      </w:divBdr>
    </w:div>
    <w:div w:id="1731686223">
      <w:bodyDiv w:val="1"/>
      <w:marLeft w:val="0"/>
      <w:marRight w:val="0"/>
      <w:marTop w:val="0"/>
      <w:marBottom w:val="0"/>
      <w:divBdr>
        <w:top w:val="none" w:sz="0" w:space="0" w:color="auto"/>
        <w:left w:val="none" w:sz="0" w:space="0" w:color="auto"/>
        <w:bottom w:val="none" w:sz="0" w:space="0" w:color="auto"/>
        <w:right w:val="none" w:sz="0" w:space="0" w:color="auto"/>
      </w:divBdr>
    </w:div>
    <w:div w:id="1741369498">
      <w:bodyDiv w:val="1"/>
      <w:marLeft w:val="0"/>
      <w:marRight w:val="0"/>
      <w:marTop w:val="0"/>
      <w:marBottom w:val="0"/>
      <w:divBdr>
        <w:top w:val="none" w:sz="0" w:space="0" w:color="auto"/>
        <w:left w:val="none" w:sz="0" w:space="0" w:color="auto"/>
        <w:bottom w:val="none" w:sz="0" w:space="0" w:color="auto"/>
        <w:right w:val="none" w:sz="0" w:space="0" w:color="auto"/>
      </w:divBdr>
    </w:div>
    <w:div w:id="1747530075">
      <w:bodyDiv w:val="1"/>
      <w:marLeft w:val="0"/>
      <w:marRight w:val="0"/>
      <w:marTop w:val="0"/>
      <w:marBottom w:val="0"/>
      <w:divBdr>
        <w:top w:val="none" w:sz="0" w:space="0" w:color="auto"/>
        <w:left w:val="none" w:sz="0" w:space="0" w:color="auto"/>
        <w:bottom w:val="none" w:sz="0" w:space="0" w:color="auto"/>
        <w:right w:val="none" w:sz="0" w:space="0" w:color="auto"/>
      </w:divBdr>
    </w:div>
    <w:div w:id="1770076345">
      <w:bodyDiv w:val="1"/>
      <w:marLeft w:val="0"/>
      <w:marRight w:val="0"/>
      <w:marTop w:val="0"/>
      <w:marBottom w:val="0"/>
      <w:divBdr>
        <w:top w:val="none" w:sz="0" w:space="0" w:color="auto"/>
        <w:left w:val="none" w:sz="0" w:space="0" w:color="auto"/>
        <w:bottom w:val="none" w:sz="0" w:space="0" w:color="auto"/>
        <w:right w:val="none" w:sz="0" w:space="0" w:color="auto"/>
      </w:divBdr>
    </w:div>
    <w:div w:id="1771001793">
      <w:bodyDiv w:val="1"/>
      <w:marLeft w:val="0"/>
      <w:marRight w:val="0"/>
      <w:marTop w:val="0"/>
      <w:marBottom w:val="0"/>
      <w:divBdr>
        <w:top w:val="none" w:sz="0" w:space="0" w:color="auto"/>
        <w:left w:val="none" w:sz="0" w:space="0" w:color="auto"/>
        <w:bottom w:val="none" w:sz="0" w:space="0" w:color="auto"/>
        <w:right w:val="none" w:sz="0" w:space="0" w:color="auto"/>
      </w:divBdr>
    </w:div>
    <w:div w:id="1797093932">
      <w:bodyDiv w:val="1"/>
      <w:marLeft w:val="0"/>
      <w:marRight w:val="0"/>
      <w:marTop w:val="0"/>
      <w:marBottom w:val="0"/>
      <w:divBdr>
        <w:top w:val="none" w:sz="0" w:space="0" w:color="auto"/>
        <w:left w:val="none" w:sz="0" w:space="0" w:color="auto"/>
        <w:bottom w:val="none" w:sz="0" w:space="0" w:color="auto"/>
        <w:right w:val="none" w:sz="0" w:space="0" w:color="auto"/>
      </w:divBdr>
    </w:div>
    <w:div w:id="1801067709">
      <w:bodyDiv w:val="1"/>
      <w:marLeft w:val="0"/>
      <w:marRight w:val="0"/>
      <w:marTop w:val="0"/>
      <w:marBottom w:val="0"/>
      <w:divBdr>
        <w:top w:val="none" w:sz="0" w:space="0" w:color="auto"/>
        <w:left w:val="none" w:sz="0" w:space="0" w:color="auto"/>
        <w:bottom w:val="none" w:sz="0" w:space="0" w:color="auto"/>
        <w:right w:val="none" w:sz="0" w:space="0" w:color="auto"/>
      </w:divBdr>
    </w:div>
    <w:div w:id="1803234157">
      <w:bodyDiv w:val="1"/>
      <w:marLeft w:val="0"/>
      <w:marRight w:val="0"/>
      <w:marTop w:val="0"/>
      <w:marBottom w:val="0"/>
      <w:divBdr>
        <w:top w:val="none" w:sz="0" w:space="0" w:color="auto"/>
        <w:left w:val="none" w:sz="0" w:space="0" w:color="auto"/>
        <w:bottom w:val="none" w:sz="0" w:space="0" w:color="auto"/>
        <w:right w:val="none" w:sz="0" w:space="0" w:color="auto"/>
      </w:divBdr>
    </w:div>
    <w:div w:id="1810509673">
      <w:bodyDiv w:val="1"/>
      <w:marLeft w:val="0"/>
      <w:marRight w:val="0"/>
      <w:marTop w:val="0"/>
      <w:marBottom w:val="0"/>
      <w:divBdr>
        <w:top w:val="none" w:sz="0" w:space="0" w:color="auto"/>
        <w:left w:val="none" w:sz="0" w:space="0" w:color="auto"/>
        <w:bottom w:val="none" w:sz="0" w:space="0" w:color="auto"/>
        <w:right w:val="none" w:sz="0" w:space="0" w:color="auto"/>
      </w:divBdr>
    </w:div>
    <w:div w:id="1811896325">
      <w:bodyDiv w:val="1"/>
      <w:marLeft w:val="0"/>
      <w:marRight w:val="0"/>
      <w:marTop w:val="0"/>
      <w:marBottom w:val="0"/>
      <w:divBdr>
        <w:top w:val="none" w:sz="0" w:space="0" w:color="auto"/>
        <w:left w:val="none" w:sz="0" w:space="0" w:color="auto"/>
        <w:bottom w:val="none" w:sz="0" w:space="0" w:color="auto"/>
        <w:right w:val="none" w:sz="0" w:space="0" w:color="auto"/>
      </w:divBdr>
    </w:div>
    <w:div w:id="1812819746">
      <w:bodyDiv w:val="1"/>
      <w:marLeft w:val="0"/>
      <w:marRight w:val="0"/>
      <w:marTop w:val="0"/>
      <w:marBottom w:val="0"/>
      <w:divBdr>
        <w:top w:val="none" w:sz="0" w:space="0" w:color="auto"/>
        <w:left w:val="none" w:sz="0" w:space="0" w:color="auto"/>
        <w:bottom w:val="none" w:sz="0" w:space="0" w:color="auto"/>
        <w:right w:val="none" w:sz="0" w:space="0" w:color="auto"/>
      </w:divBdr>
    </w:div>
    <w:div w:id="1836190015">
      <w:bodyDiv w:val="1"/>
      <w:marLeft w:val="0"/>
      <w:marRight w:val="0"/>
      <w:marTop w:val="0"/>
      <w:marBottom w:val="0"/>
      <w:divBdr>
        <w:top w:val="none" w:sz="0" w:space="0" w:color="auto"/>
        <w:left w:val="none" w:sz="0" w:space="0" w:color="auto"/>
        <w:bottom w:val="none" w:sz="0" w:space="0" w:color="auto"/>
        <w:right w:val="none" w:sz="0" w:space="0" w:color="auto"/>
      </w:divBdr>
    </w:div>
    <w:div w:id="1836646989">
      <w:bodyDiv w:val="1"/>
      <w:marLeft w:val="0"/>
      <w:marRight w:val="0"/>
      <w:marTop w:val="0"/>
      <w:marBottom w:val="0"/>
      <w:divBdr>
        <w:top w:val="none" w:sz="0" w:space="0" w:color="auto"/>
        <w:left w:val="none" w:sz="0" w:space="0" w:color="auto"/>
        <w:bottom w:val="none" w:sz="0" w:space="0" w:color="auto"/>
        <w:right w:val="none" w:sz="0" w:space="0" w:color="auto"/>
      </w:divBdr>
    </w:div>
    <w:div w:id="1838037269">
      <w:bodyDiv w:val="1"/>
      <w:marLeft w:val="0"/>
      <w:marRight w:val="0"/>
      <w:marTop w:val="0"/>
      <w:marBottom w:val="0"/>
      <w:divBdr>
        <w:top w:val="none" w:sz="0" w:space="0" w:color="auto"/>
        <w:left w:val="none" w:sz="0" w:space="0" w:color="auto"/>
        <w:bottom w:val="none" w:sz="0" w:space="0" w:color="auto"/>
        <w:right w:val="none" w:sz="0" w:space="0" w:color="auto"/>
      </w:divBdr>
    </w:div>
    <w:div w:id="1853956584">
      <w:bodyDiv w:val="1"/>
      <w:marLeft w:val="0"/>
      <w:marRight w:val="0"/>
      <w:marTop w:val="0"/>
      <w:marBottom w:val="0"/>
      <w:divBdr>
        <w:top w:val="none" w:sz="0" w:space="0" w:color="auto"/>
        <w:left w:val="none" w:sz="0" w:space="0" w:color="auto"/>
        <w:bottom w:val="none" w:sz="0" w:space="0" w:color="auto"/>
        <w:right w:val="none" w:sz="0" w:space="0" w:color="auto"/>
      </w:divBdr>
    </w:div>
    <w:div w:id="1859852151">
      <w:bodyDiv w:val="1"/>
      <w:marLeft w:val="0"/>
      <w:marRight w:val="0"/>
      <w:marTop w:val="0"/>
      <w:marBottom w:val="0"/>
      <w:divBdr>
        <w:top w:val="none" w:sz="0" w:space="0" w:color="auto"/>
        <w:left w:val="none" w:sz="0" w:space="0" w:color="auto"/>
        <w:bottom w:val="none" w:sz="0" w:space="0" w:color="auto"/>
        <w:right w:val="none" w:sz="0" w:space="0" w:color="auto"/>
      </w:divBdr>
    </w:div>
    <w:div w:id="1862009535">
      <w:bodyDiv w:val="1"/>
      <w:marLeft w:val="0"/>
      <w:marRight w:val="0"/>
      <w:marTop w:val="0"/>
      <w:marBottom w:val="0"/>
      <w:divBdr>
        <w:top w:val="none" w:sz="0" w:space="0" w:color="auto"/>
        <w:left w:val="none" w:sz="0" w:space="0" w:color="auto"/>
        <w:bottom w:val="none" w:sz="0" w:space="0" w:color="auto"/>
        <w:right w:val="none" w:sz="0" w:space="0" w:color="auto"/>
      </w:divBdr>
    </w:div>
    <w:div w:id="1876768190">
      <w:bodyDiv w:val="1"/>
      <w:marLeft w:val="0"/>
      <w:marRight w:val="0"/>
      <w:marTop w:val="0"/>
      <w:marBottom w:val="0"/>
      <w:divBdr>
        <w:top w:val="none" w:sz="0" w:space="0" w:color="auto"/>
        <w:left w:val="none" w:sz="0" w:space="0" w:color="auto"/>
        <w:bottom w:val="none" w:sz="0" w:space="0" w:color="auto"/>
        <w:right w:val="none" w:sz="0" w:space="0" w:color="auto"/>
      </w:divBdr>
    </w:div>
    <w:div w:id="1878078898">
      <w:bodyDiv w:val="1"/>
      <w:marLeft w:val="0"/>
      <w:marRight w:val="0"/>
      <w:marTop w:val="0"/>
      <w:marBottom w:val="0"/>
      <w:divBdr>
        <w:top w:val="none" w:sz="0" w:space="0" w:color="auto"/>
        <w:left w:val="none" w:sz="0" w:space="0" w:color="auto"/>
        <w:bottom w:val="none" w:sz="0" w:space="0" w:color="auto"/>
        <w:right w:val="none" w:sz="0" w:space="0" w:color="auto"/>
      </w:divBdr>
    </w:div>
    <w:div w:id="1904635589">
      <w:bodyDiv w:val="1"/>
      <w:marLeft w:val="0"/>
      <w:marRight w:val="0"/>
      <w:marTop w:val="0"/>
      <w:marBottom w:val="0"/>
      <w:divBdr>
        <w:top w:val="none" w:sz="0" w:space="0" w:color="auto"/>
        <w:left w:val="none" w:sz="0" w:space="0" w:color="auto"/>
        <w:bottom w:val="none" w:sz="0" w:space="0" w:color="auto"/>
        <w:right w:val="none" w:sz="0" w:space="0" w:color="auto"/>
      </w:divBdr>
      <w:divsChild>
        <w:div w:id="562525388">
          <w:marLeft w:val="0"/>
          <w:marRight w:val="0"/>
          <w:marTop w:val="0"/>
          <w:marBottom w:val="0"/>
          <w:divBdr>
            <w:top w:val="none" w:sz="0" w:space="0" w:color="auto"/>
            <w:left w:val="none" w:sz="0" w:space="0" w:color="auto"/>
            <w:bottom w:val="none" w:sz="0" w:space="0" w:color="auto"/>
            <w:right w:val="none" w:sz="0" w:space="0" w:color="auto"/>
          </w:divBdr>
        </w:div>
        <w:div w:id="1628120273">
          <w:marLeft w:val="0"/>
          <w:marRight w:val="0"/>
          <w:marTop w:val="0"/>
          <w:marBottom w:val="0"/>
          <w:divBdr>
            <w:top w:val="none" w:sz="0" w:space="0" w:color="auto"/>
            <w:left w:val="none" w:sz="0" w:space="0" w:color="auto"/>
            <w:bottom w:val="none" w:sz="0" w:space="0" w:color="auto"/>
            <w:right w:val="none" w:sz="0" w:space="0" w:color="auto"/>
          </w:divBdr>
        </w:div>
      </w:divsChild>
    </w:div>
    <w:div w:id="1929846016">
      <w:bodyDiv w:val="1"/>
      <w:marLeft w:val="0"/>
      <w:marRight w:val="0"/>
      <w:marTop w:val="0"/>
      <w:marBottom w:val="0"/>
      <w:divBdr>
        <w:top w:val="none" w:sz="0" w:space="0" w:color="auto"/>
        <w:left w:val="none" w:sz="0" w:space="0" w:color="auto"/>
        <w:bottom w:val="none" w:sz="0" w:space="0" w:color="auto"/>
        <w:right w:val="none" w:sz="0" w:space="0" w:color="auto"/>
      </w:divBdr>
    </w:div>
    <w:div w:id="1937517819">
      <w:bodyDiv w:val="1"/>
      <w:marLeft w:val="0"/>
      <w:marRight w:val="0"/>
      <w:marTop w:val="0"/>
      <w:marBottom w:val="0"/>
      <w:divBdr>
        <w:top w:val="none" w:sz="0" w:space="0" w:color="auto"/>
        <w:left w:val="none" w:sz="0" w:space="0" w:color="auto"/>
        <w:bottom w:val="none" w:sz="0" w:space="0" w:color="auto"/>
        <w:right w:val="none" w:sz="0" w:space="0" w:color="auto"/>
      </w:divBdr>
    </w:div>
    <w:div w:id="1949196579">
      <w:bodyDiv w:val="1"/>
      <w:marLeft w:val="0"/>
      <w:marRight w:val="0"/>
      <w:marTop w:val="0"/>
      <w:marBottom w:val="0"/>
      <w:divBdr>
        <w:top w:val="none" w:sz="0" w:space="0" w:color="auto"/>
        <w:left w:val="none" w:sz="0" w:space="0" w:color="auto"/>
        <w:bottom w:val="none" w:sz="0" w:space="0" w:color="auto"/>
        <w:right w:val="none" w:sz="0" w:space="0" w:color="auto"/>
      </w:divBdr>
    </w:div>
    <w:div w:id="1978559192">
      <w:bodyDiv w:val="1"/>
      <w:marLeft w:val="0"/>
      <w:marRight w:val="0"/>
      <w:marTop w:val="0"/>
      <w:marBottom w:val="0"/>
      <w:divBdr>
        <w:top w:val="none" w:sz="0" w:space="0" w:color="auto"/>
        <w:left w:val="none" w:sz="0" w:space="0" w:color="auto"/>
        <w:bottom w:val="none" w:sz="0" w:space="0" w:color="auto"/>
        <w:right w:val="none" w:sz="0" w:space="0" w:color="auto"/>
      </w:divBdr>
    </w:div>
    <w:div w:id="1994136480">
      <w:bodyDiv w:val="1"/>
      <w:marLeft w:val="0"/>
      <w:marRight w:val="0"/>
      <w:marTop w:val="0"/>
      <w:marBottom w:val="0"/>
      <w:divBdr>
        <w:top w:val="none" w:sz="0" w:space="0" w:color="auto"/>
        <w:left w:val="none" w:sz="0" w:space="0" w:color="auto"/>
        <w:bottom w:val="none" w:sz="0" w:space="0" w:color="auto"/>
        <w:right w:val="none" w:sz="0" w:space="0" w:color="auto"/>
      </w:divBdr>
    </w:div>
    <w:div w:id="1997951915">
      <w:bodyDiv w:val="1"/>
      <w:marLeft w:val="0"/>
      <w:marRight w:val="0"/>
      <w:marTop w:val="0"/>
      <w:marBottom w:val="0"/>
      <w:divBdr>
        <w:top w:val="none" w:sz="0" w:space="0" w:color="auto"/>
        <w:left w:val="none" w:sz="0" w:space="0" w:color="auto"/>
        <w:bottom w:val="none" w:sz="0" w:space="0" w:color="auto"/>
        <w:right w:val="none" w:sz="0" w:space="0" w:color="auto"/>
      </w:divBdr>
    </w:div>
    <w:div w:id="2018968795">
      <w:bodyDiv w:val="1"/>
      <w:marLeft w:val="0"/>
      <w:marRight w:val="0"/>
      <w:marTop w:val="0"/>
      <w:marBottom w:val="0"/>
      <w:divBdr>
        <w:top w:val="none" w:sz="0" w:space="0" w:color="auto"/>
        <w:left w:val="none" w:sz="0" w:space="0" w:color="auto"/>
        <w:bottom w:val="none" w:sz="0" w:space="0" w:color="auto"/>
        <w:right w:val="none" w:sz="0" w:space="0" w:color="auto"/>
      </w:divBdr>
    </w:div>
    <w:div w:id="2021354369">
      <w:bodyDiv w:val="1"/>
      <w:marLeft w:val="0"/>
      <w:marRight w:val="0"/>
      <w:marTop w:val="0"/>
      <w:marBottom w:val="0"/>
      <w:divBdr>
        <w:top w:val="none" w:sz="0" w:space="0" w:color="auto"/>
        <w:left w:val="none" w:sz="0" w:space="0" w:color="auto"/>
        <w:bottom w:val="none" w:sz="0" w:space="0" w:color="auto"/>
        <w:right w:val="none" w:sz="0" w:space="0" w:color="auto"/>
      </w:divBdr>
    </w:div>
    <w:div w:id="2024701252">
      <w:bodyDiv w:val="1"/>
      <w:marLeft w:val="0"/>
      <w:marRight w:val="0"/>
      <w:marTop w:val="0"/>
      <w:marBottom w:val="0"/>
      <w:divBdr>
        <w:top w:val="none" w:sz="0" w:space="0" w:color="auto"/>
        <w:left w:val="none" w:sz="0" w:space="0" w:color="auto"/>
        <w:bottom w:val="none" w:sz="0" w:space="0" w:color="auto"/>
        <w:right w:val="none" w:sz="0" w:space="0" w:color="auto"/>
      </w:divBdr>
    </w:div>
    <w:div w:id="2036543145">
      <w:bodyDiv w:val="1"/>
      <w:marLeft w:val="0"/>
      <w:marRight w:val="0"/>
      <w:marTop w:val="0"/>
      <w:marBottom w:val="0"/>
      <w:divBdr>
        <w:top w:val="none" w:sz="0" w:space="0" w:color="auto"/>
        <w:left w:val="none" w:sz="0" w:space="0" w:color="auto"/>
        <w:bottom w:val="none" w:sz="0" w:space="0" w:color="auto"/>
        <w:right w:val="none" w:sz="0" w:space="0" w:color="auto"/>
      </w:divBdr>
    </w:div>
    <w:div w:id="2077580580">
      <w:bodyDiv w:val="1"/>
      <w:marLeft w:val="0"/>
      <w:marRight w:val="0"/>
      <w:marTop w:val="0"/>
      <w:marBottom w:val="0"/>
      <w:divBdr>
        <w:top w:val="none" w:sz="0" w:space="0" w:color="auto"/>
        <w:left w:val="none" w:sz="0" w:space="0" w:color="auto"/>
        <w:bottom w:val="none" w:sz="0" w:space="0" w:color="auto"/>
        <w:right w:val="none" w:sz="0" w:space="0" w:color="auto"/>
      </w:divBdr>
    </w:div>
    <w:div w:id="2080396362">
      <w:bodyDiv w:val="1"/>
      <w:marLeft w:val="0"/>
      <w:marRight w:val="0"/>
      <w:marTop w:val="0"/>
      <w:marBottom w:val="0"/>
      <w:divBdr>
        <w:top w:val="none" w:sz="0" w:space="0" w:color="auto"/>
        <w:left w:val="none" w:sz="0" w:space="0" w:color="auto"/>
        <w:bottom w:val="none" w:sz="0" w:space="0" w:color="auto"/>
        <w:right w:val="none" w:sz="0" w:space="0" w:color="auto"/>
      </w:divBdr>
    </w:div>
    <w:div w:id="2088114412">
      <w:bodyDiv w:val="1"/>
      <w:marLeft w:val="0"/>
      <w:marRight w:val="0"/>
      <w:marTop w:val="0"/>
      <w:marBottom w:val="0"/>
      <w:divBdr>
        <w:top w:val="none" w:sz="0" w:space="0" w:color="auto"/>
        <w:left w:val="none" w:sz="0" w:space="0" w:color="auto"/>
        <w:bottom w:val="none" w:sz="0" w:space="0" w:color="auto"/>
        <w:right w:val="none" w:sz="0" w:space="0" w:color="auto"/>
      </w:divBdr>
    </w:div>
    <w:div w:id="2105761696">
      <w:bodyDiv w:val="1"/>
      <w:marLeft w:val="0"/>
      <w:marRight w:val="0"/>
      <w:marTop w:val="0"/>
      <w:marBottom w:val="0"/>
      <w:divBdr>
        <w:top w:val="none" w:sz="0" w:space="0" w:color="auto"/>
        <w:left w:val="none" w:sz="0" w:space="0" w:color="auto"/>
        <w:bottom w:val="none" w:sz="0" w:space="0" w:color="auto"/>
        <w:right w:val="none" w:sz="0" w:space="0" w:color="auto"/>
      </w:divBdr>
    </w:div>
    <w:div w:id="2115831197">
      <w:bodyDiv w:val="1"/>
      <w:marLeft w:val="0"/>
      <w:marRight w:val="0"/>
      <w:marTop w:val="0"/>
      <w:marBottom w:val="0"/>
      <w:divBdr>
        <w:top w:val="none" w:sz="0" w:space="0" w:color="auto"/>
        <w:left w:val="none" w:sz="0" w:space="0" w:color="auto"/>
        <w:bottom w:val="none" w:sz="0" w:space="0" w:color="auto"/>
        <w:right w:val="none" w:sz="0" w:space="0" w:color="auto"/>
      </w:divBdr>
    </w:div>
    <w:div w:id="2119833655">
      <w:bodyDiv w:val="1"/>
      <w:marLeft w:val="0"/>
      <w:marRight w:val="0"/>
      <w:marTop w:val="0"/>
      <w:marBottom w:val="0"/>
      <w:divBdr>
        <w:top w:val="none" w:sz="0" w:space="0" w:color="auto"/>
        <w:left w:val="none" w:sz="0" w:space="0" w:color="auto"/>
        <w:bottom w:val="none" w:sz="0" w:space="0" w:color="auto"/>
        <w:right w:val="none" w:sz="0" w:space="0" w:color="auto"/>
      </w:divBdr>
    </w:div>
    <w:div w:id="2122725884">
      <w:bodyDiv w:val="1"/>
      <w:marLeft w:val="0"/>
      <w:marRight w:val="0"/>
      <w:marTop w:val="0"/>
      <w:marBottom w:val="0"/>
      <w:divBdr>
        <w:top w:val="none" w:sz="0" w:space="0" w:color="auto"/>
        <w:left w:val="none" w:sz="0" w:space="0" w:color="auto"/>
        <w:bottom w:val="none" w:sz="0" w:space="0" w:color="auto"/>
        <w:right w:val="none" w:sz="0" w:space="0" w:color="auto"/>
      </w:divBdr>
    </w:div>
    <w:div w:id="2133743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V/TXT/?uri=OJ:L_202401263" TargetMode="External"/><Relationship Id="rId18" Type="http://schemas.openxmlformats.org/officeDocument/2006/relationships/chart" Target="charts/chart4.xml"/><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ank.lv/aktualitates-banklv/zinas-un-raksti/uzraudzibas-zinas-un-pazinojumi-lidz-2023-gadam/16220-fktk-aptur-finansu-pakalpojumu-sniegsanu-baltic-international-bank-se" TargetMode="External"/><Relationship Id="rId17" Type="http://schemas.openxmlformats.org/officeDocument/2006/relationships/chart" Target="charts/chart3.xml"/><Relationship Id="rId25" Type="http://schemas.openxmlformats.org/officeDocument/2006/relationships/image" Target="media/image10.png"/><Relationship Id="rId33" Type="http://schemas.openxmlformats.org/officeDocument/2006/relationships/hyperlink" Target="mailto:%20laura.pogule@fm.gov.l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ur-lex.europa.eu/legal-content/LV/TXT/?uri=OJ:L_202401264"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chart" Target="charts/chart6.xm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5730-2025-INIT/lv/pdf" TargetMode="External"/><Relationship Id="rId13" Type="http://schemas.openxmlformats.org/officeDocument/2006/relationships/hyperlink" Target="https://www.bank.lv/darbibas-jomas/klientu-aizsardziba/kompensaciju-izmaksas-sistemas/noguldijumu-garantiju-fonds" TargetMode="External"/><Relationship Id="rId18" Type="http://schemas.openxmlformats.org/officeDocument/2006/relationships/hyperlink" Target="https://likumi.lv/ta/id/2341" TargetMode="External"/><Relationship Id="rId26" Type="http://schemas.openxmlformats.org/officeDocument/2006/relationships/hyperlink" Target="https://www.lsm.lv/raksts/zinas/ekonomika/30.06.2025-vacijas-konkurences-uzraugs-lauj-lufthansa-iegadaties-10-no-airbaltic.a605010/" TargetMode="External"/><Relationship Id="rId3" Type="http://schemas.openxmlformats.org/officeDocument/2006/relationships/hyperlink" Target="https://lrvk.gov.lv/lv/getrevisionfile/29755-YgMhcy9os0HqqiAcQzAGLPM3Czcub93j.pdf" TargetMode="External"/><Relationship Id="rId21" Type="http://schemas.openxmlformats.org/officeDocument/2006/relationships/hyperlink" Target="https://likumi.lv/ta/id/45466-par-valsts-socialo-apdrosinasanu" TargetMode="External"/><Relationship Id="rId7" Type="http://schemas.openxmlformats.org/officeDocument/2006/relationships/hyperlink" Target="https://commission.europa.eu/business-economy-euro/economic-recovery/recovery-and-resilience-facility_lv" TargetMode="External"/><Relationship Id="rId12" Type="http://schemas.openxmlformats.org/officeDocument/2006/relationships/hyperlink" Target="https://www.bank.lv/images/stories/pielikumi/publikacijas/Noregulejuma_garantiju_fonda_2024_parskats.pdf" TargetMode="External"/><Relationship Id="rId17" Type="http://schemas.openxmlformats.org/officeDocument/2006/relationships/hyperlink" Target="https://likumi.lv/ta/id/2341" TargetMode="External"/><Relationship Id="rId25" Type="http://schemas.openxmlformats.org/officeDocument/2006/relationships/hyperlink" Target="https://company.airbaltic.com/lv/preses-telpa?press=2025/lufthansa-grupa-iegadajas-mazakuma-dalu-airbaltic" TargetMode="External"/><Relationship Id="rId2" Type="http://schemas.openxmlformats.org/officeDocument/2006/relationships/hyperlink" Target="https://www.railbaltica.org/wp-content/uploads/2017/04/RB_CBA_FINAL_REPORT_0405.pdf" TargetMode="External"/><Relationship Id="rId16" Type="http://schemas.openxmlformats.org/officeDocument/2006/relationships/hyperlink" Target="https://likumi.lv/ta/id/2341" TargetMode="External"/><Relationship Id="rId20" Type="http://schemas.openxmlformats.org/officeDocument/2006/relationships/hyperlink" Target="https://likumi.lv/ta/id/2341" TargetMode="External"/><Relationship Id="rId29" Type="http://schemas.openxmlformats.org/officeDocument/2006/relationships/hyperlink" Target="https://edgar.jrc.ec.europa.eu/report_2023" TargetMode="External"/><Relationship Id="rId1" Type="http://schemas.openxmlformats.org/officeDocument/2006/relationships/hyperlink" Target="https://www.fm.gov.lv/lv/media/21846/download?attachment" TargetMode="External"/><Relationship Id="rId6" Type="http://schemas.openxmlformats.org/officeDocument/2006/relationships/hyperlink" Target="https://www.mfa.gov.lv/lv/jaunums/saeimas-eiropas-lietu-komisijas-sede-apstiprina-nacionalo-poziciju-par-es-daudzgadu-budzetu-2028-2034" TargetMode="External"/><Relationship Id="rId11" Type="http://schemas.openxmlformats.org/officeDocument/2006/relationships/hyperlink" Target="https://likumi.lv/ta/id/162007-noteikumi-par-elektroenergijas-razosanu-izmantojot-atjaunojamos-energoresursus" TargetMode="External"/><Relationship Id="rId24" Type="http://schemas.openxmlformats.org/officeDocument/2006/relationships/hyperlink" Target="https://www.saeima.lv/lv/aktualitates/saeimas-zinas/33448-saeima-dod-atlauju-valstij-iegadaties-air-baltic-vertspapirus" TargetMode="External"/><Relationship Id="rId5" Type="http://schemas.openxmlformats.org/officeDocument/2006/relationships/hyperlink" Target="https://lrvk.gov.lv/lv/getrevisionfile/29755-TP4jWroXJpDxwrWIQxESURJGzTdtBZvv.pdf" TargetMode="External"/><Relationship Id="rId15" Type="http://schemas.openxmlformats.org/officeDocument/2006/relationships/hyperlink" Target="https://titania.saeima.lv/LIVS14/SaeimaLIVS14.nsf/0/A4D269BEB6E841ADC2258BB3005A72B8?OpenDocument" TargetMode="External"/><Relationship Id="rId23" Type="http://schemas.openxmlformats.org/officeDocument/2006/relationships/hyperlink" Target="https://www.lrvk.gov.lv/lv/getrevisionfile/29569-ZIYN4tzL94W87f9rsq-_QZrt_Qira4Qw.pdf" TargetMode="External"/><Relationship Id="rId28" Type="http://schemas.openxmlformats.org/officeDocument/2006/relationships/hyperlink" Target="https://www.ipcc.ch/report/ar6/wg1/" TargetMode="External"/><Relationship Id="rId10" Type="http://schemas.openxmlformats.org/officeDocument/2006/relationships/hyperlink" Target="https://www.esfondi.lv/profesionaliem/ieviesana/ieviesanas-plani-un-to-izpilde/atveselosanas-fonds-2" TargetMode="External"/><Relationship Id="rId19" Type="http://schemas.openxmlformats.org/officeDocument/2006/relationships/hyperlink" Target="https://likumi.lv/ta/id/2341" TargetMode="External"/><Relationship Id="rId31" Type="http://schemas.openxmlformats.org/officeDocument/2006/relationships/hyperlink" Target="https://www.oecd-ilibrary.org/sites/fe7bfcc4-en/1/3/3/index.html?itemId=/content/publication/fe7bfcc4-en&amp;_csp_=86aae55f0a15c5dd2b4bf74263c82b90&amp;itemIGO=oecd&amp;itemContentType=book" TargetMode="External"/><Relationship Id="rId4" Type="http://schemas.openxmlformats.org/officeDocument/2006/relationships/hyperlink" Target="https://www.sam.gov.lv/lv/media/12396/download?attachment" TargetMode="External"/><Relationship Id="rId9" Type="http://schemas.openxmlformats.org/officeDocument/2006/relationships/hyperlink" Target="https://eur-lex.europa.eu/eli/reg/2021/241/oj/?locale=LV" TargetMode="External"/><Relationship Id="rId14" Type="http://schemas.openxmlformats.org/officeDocument/2006/relationships/hyperlink" Target="https://likumi.lv/ta/id/357481-grozijumi-valsts-fondeto-pensiju-likuma" TargetMode="External"/><Relationship Id="rId22" Type="http://schemas.openxmlformats.org/officeDocument/2006/relationships/hyperlink" Target="https://www.satv.tiesa.gov.lv/wp-content/uploads/2025/05/2025_lemums_Saeimas-dep._Valsts_fond_pensiju_lik_-1.pdf" TargetMode="External"/><Relationship Id="rId27" Type="http://schemas.openxmlformats.org/officeDocument/2006/relationships/hyperlink" Target="https://www.sam.gov.lv/lv/jaunums/valdiba-atbalsta-latvijas-gaisa-satiksmes-pamatkapitala-palielinasanu-krizes-parvaresanai" TargetMode="External"/><Relationship Id="rId30" Type="http://schemas.openxmlformats.org/officeDocument/2006/relationships/hyperlink" Target="https://likumi.lv/ta/id/342214-latvijas-strategija-klimatneitralitates-sasniegsanai-lidz-2050-gada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5\Grafiki_4.1_un_4.2\iesp&#275;jam&#257;s_saist&#299;b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5\Grafiki_4.1_un_4.2\iesp&#275;jam&#257;s_saist&#299;b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5\Grafiki_4.1_un_4.2\iesp&#275;jam&#257;s_saist&#299;b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5\Grafiki_4.1_un_4.2\iesp&#275;jam&#257;s_saist&#299;b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5\Grafiki_4.1_un_4.2\iesp&#275;jam&#257;s_saist&#299;b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fmlv-my.sharepoint.com/personal/edvards_cirulis_fm_gov_lv/Documents/NCQG%20and%20NECP/NEKP_pasakumu_aprekini_FR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19816272965893E-2"/>
          <c:y val="0.10744326076887448"/>
          <c:w val="0.9217246281714786"/>
          <c:h val="0.78267665071277859"/>
        </c:manualLayout>
      </c:layout>
      <c:lineChart>
        <c:grouping val="standard"/>
        <c:varyColors val="0"/>
        <c:ser>
          <c:idx val="0"/>
          <c:order val="0"/>
          <c:spPr>
            <a:ln w="28575" cap="rnd">
              <a:solidFill>
                <a:schemeClr val="accent1"/>
              </a:solidFill>
              <a:round/>
            </a:ln>
            <a:effectLst/>
          </c:spPr>
          <c:marker>
            <c:symbol val="none"/>
          </c:marker>
          <c:dLbls>
            <c:dLbl>
              <c:idx val="0"/>
              <c:layout>
                <c:manualLayout>
                  <c:x val="-2.5000000000000026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82-4BEC-B097-654657FA2EB2}"/>
                </c:ext>
              </c:extLst>
            </c:dLbl>
            <c:dLbl>
              <c:idx val="10"/>
              <c:layout>
                <c:manualLayout>
                  <c:x val="-2.7777777777777779E-3"/>
                  <c:y val="-4.1666666666666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82-4BEC-B097-654657FA2E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Līdzdalība_kapitālā!$B$9:$L$9</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Līdzdalība_kapitālā!$B$12:$L$12</c:f>
              <c:numCache>
                <c:formatCode>0.0</c:formatCode>
                <c:ptCount val="11"/>
                <c:pt idx="0">
                  <c:v>18.04</c:v>
                </c:pt>
                <c:pt idx="1">
                  <c:v>18.27</c:v>
                </c:pt>
                <c:pt idx="2">
                  <c:v>17.18</c:v>
                </c:pt>
                <c:pt idx="3">
                  <c:v>17.66</c:v>
                </c:pt>
                <c:pt idx="4">
                  <c:v>19.63</c:v>
                </c:pt>
                <c:pt idx="5">
                  <c:v>16.97</c:v>
                </c:pt>
                <c:pt idx="6">
                  <c:v>15.99</c:v>
                </c:pt>
                <c:pt idx="7">
                  <c:v>16.89</c:v>
                </c:pt>
                <c:pt idx="8">
                  <c:v>15.79</c:v>
                </c:pt>
                <c:pt idx="9">
                  <c:v>14.3</c:v>
                </c:pt>
                <c:pt idx="10">
                  <c:v>14.87</c:v>
                </c:pt>
              </c:numCache>
            </c:numRef>
          </c:val>
          <c:smooth val="0"/>
          <c:extLst>
            <c:ext xmlns:c16="http://schemas.microsoft.com/office/drawing/2014/chart" uri="{C3380CC4-5D6E-409C-BE32-E72D297353CC}">
              <c16:uniqueId val="{00000002-E782-4BEC-B097-654657FA2EB2}"/>
            </c:ext>
          </c:extLst>
        </c:ser>
        <c:dLbls>
          <c:dLblPos val="r"/>
          <c:showLegendKey val="0"/>
          <c:showVal val="1"/>
          <c:showCatName val="0"/>
          <c:showSerName val="0"/>
          <c:showPercent val="0"/>
          <c:showBubbleSize val="0"/>
        </c:dLbls>
        <c:smooth val="0"/>
        <c:axId val="1444622432"/>
        <c:axId val="1444619552"/>
      </c:lineChart>
      <c:catAx>
        <c:axId val="144462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44619552"/>
        <c:crosses val="autoZero"/>
        <c:auto val="1"/>
        <c:lblAlgn val="ctr"/>
        <c:lblOffset val="100"/>
        <c:noMultiLvlLbl val="0"/>
      </c:catAx>
      <c:valAx>
        <c:axId val="1444619552"/>
        <c:scaling>
          <c:orientation val="minMax"/>
          <c:max val="20"/>
          <c:min val="14"/>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700">
                    <a:solidFill>
                      <a:schemeClr val="tx1"/>
                    </a:solidFill>
                    <a:latin typeface="Times New Roman" panose="02020603050405020304" pitchFamily="18" charset="0"/>
                    <a:cs typeface="Times New Roman" panose="02020603050405020304" pitchFamily="18" charset="0"/>
                  </a:rPr>
                  <a:t>% no IKP</a:t>
                </a:r>
              </a:p>
            </c:rich>
          </c:tx>
          <c:layout>
            <c:manualLayout>
              <c:xMode val="edge"/>
              <c:yMode val="edge"/>
              <c:x val="1.9444444444444445E-2"/>
              <c:y val="1.0825678040244969E-2"/>
            </c:manualLayout>
          </c:layout>
          <c:overlay val="0"/>
          <c:spPr>
            <a:noFill/>
            <a:ln>
              <a:noFill/>
            </a:ln>
            <a:effectLst/>
          </c:spPr>
          <c:txPr>
            <a:bodyPr rot="0" spcFirstLastPara="1" vertOverflow="ellipsis"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44622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539370078740143E-2"/>
          <c:y val="8.1762329050973886E-2"/>
          <c:w val="0.89990507436570444"/>
          <c:h val="0.64602949302389845"/>
        </c:manualLayout>
      </c:layout>
      <c:barChart>
        <c:barDir val="col"/>
        <c:grouping val="clustered"/>
        <c:varyColors val="0"/>
        <c:ser>
          <c:idx val="0"/>
          <c:order val="0"/>
          <c:spPr>
            <a:solidFill>
              <a:schemeClr val="accent1"/>
            </a:solidFill>
            <a:ln>
              <a:noFill/>
            </a:ln>
            <a:effectLst/>
          </c:spPr>
          <c:invertIfNegative val="0"/>
          <c:dPt>
            <c:idx val="13"/>
            <c:invertIfNegative val="0"/>
            <c:bubble3D val="0"/>
            <c:spPr>
              <a:solidFill>
                <a:schemeClr val="bg2">
                  <a:lumMod val="75000"/>
                </a:schemeClr>
              </a:solidFill>
              <a:ln>
                <a:noFill/>
              </a:ln>
              <a:effectLst/>
            </c:spPr>
            <c:extLst>
              <c:ext xmlns:c16="http://schemas.microsoft.com/office/drawing/2014/chart" uri="{C3380CC4-5D6E-409C-BE32-E72D297353CC}">
                <c16:uniqueId val="{00000001-9DB2-49B8-A757-E3E66598EBFB}"/>
              </c:ext>
            </c:extLst>
          </c:dPt>
          <c:dPt>
            <c:idx val="17"/>
            <c:invertIfNegative val="0"/>
            <c:bubble3D val="0"/>
            <c:spPr>
              <a:solidFill>
                <a:srgbClr val="C00000"/>
              </a:solidFill>
              <a:ln>
                <a:noFill/>
              </a:ln>
              <a:effectLst/>
            </c:spPr>
            <c:extLst>
              <c:ext xmlns:c16="http://schemas.microsoft.com/office/drawing/2014/chart" uri="{C3380CC4-5D6E-409C-BE32-E72D297353CC}">
                <c16:uniqueId val="{00000003-9DB2-49B8-A757-E3E66598EBFB}"/>
              </c:ext>
            </c:extLst>
          </c:dPt>
          <c:cat>
            <c:strRef>
              <c:f>Kapitālsabiedrību_saistības_ES!$E$12:$E$38</c:f>
              <c:strCache>
                <c:ptCount val="27"/>
                <c:pt idx="0">
                  <c:v>Vācija</c:v>
                </c:pt>
                <c:pt idx="1">
                  <c:v>Nīderlande*</c:v>
                </c:pt>
                <c:pt idx="2">
                  <c:v>Grieķija</c:v>
                </c:pt>
                <c:pt idx="3">
                  <c:v>Luksemburga</c:v>
                </c:pt>
                <c:pt idx="4">
                  <c:v>Francija*</c:v>
                </c:pt>
                <c:pt idx="5">
                  <c:v>Itālija</c:v>
                </c:pt>
                <c:pt idx="6">
                  <c:v>Zviedrija</c:v>
                </c:pt>
                <c:pt idx="7">
                  <c:v>Somija</c:v>
                </c:pt>
                <c:pt idx="8">
                  <c:v>Polija</c:v>
                </c:pt>
                <c:pt idx="9">
                  <c:v>Beļģija</c:v>
                </c:pt>
                <c:pt idx="10">
                  <c:v>Īrija</c:v>
                </c:pt>
                <c:pt idx="11">
                  <c:v>Portugāle</c:v>
                </c:pt>
                <c:pt idx="12">
                  <c:v>Dānija</c:v>
                </c:pt>
                <c:pt idx="13">
                  <c:v>Austrija</c:v>
                </c:pt>
                <c:pt idx="14">
                  <c:v>Igaunija</c:v>
                </c:pt>
                <c:pt idx="15">
                  <c:v>Slovēnija</c:v>
                </c:pt>
                <c:pt idx="16">
                  <c:v>Ungārija</c:v>
                </c:pt>
                <c:pt idx="17">
                  <c:v>Latvija</c:v>
                </c:pt>
                <c:pt idx="18">
                  <c:v>Malta</c:v>
                </c:pt>
                <c:pt idx="19">
                  <c:v>Horvātija</c:v>
                </c:pt>
                <c:pt idx="20">
                  <c:v>Čehija</c:v>
                </c:pt>
                <c:pt idx="21">
                  <c:v>Lietuva</c:v>
                </c:pt>
                <c:pt idx="22">
                  <c:v>Bulgārija</c:v>
                </c:pt>
                <c:pt idx="23">
                  <c:v>Rumānija</c:v>
                </c:pt>
                <c:pt idx="24">
                  <c:v>Kipra</c:v>
                </c:pt>
                <c:pt idx="25">
                  <c:v>Spānija</c:v>
                </c:pt>
                <c:pt idx="26">
                  <c:v>Slovākija</c:v>
                </c:pt>
              </c:strCache>
            </c:strRef>
          </c:cat>
          <c:val>
            <c:numRef>
              <c:f>Kapitālsabiedrību_saistības_ES!$F$12:$F$38</c:f>
              <c:numCache>
                <c:formatCode>#\ ##0.##########</c:formatCode>
                <c:ptCount val="27"/>
                <c:pt idx="0">
                  <c:v>86.46</c:v>
                </c:pt>
                <c:pt idx="1">
                  <c:v>79.53</c:v>
                </c:pt>
                <c:pt idx="2">
                  <c:v>71.73</c:v>
                </c:pt>
                <c:pt idx="3">
                  <c:v>70.78</c:v>
                </c:pt>
                <c:pt idx="4">
                  <c:v>67.87</c:v>
                </c:pt>
                <c:pt idx="5">
                  <c:v>57.57</c:v>
                </c:pt>
                <c:pt idx="6">
                  <c:v>52.14</c:v>
                </c:pt>
                <c:pt idx="7">
                  <c:v>44.15</c:v>
                </c:pt>
                <c:pt idx="8">
                  <c:v>43.89</c:v>
                </c:pt>
                <c:pt idx="9">
                  <c:v>38.25</c:v>
                </c:pt>
                <c:pt idx="10">
                  <c:v>34.01</c:v>
                </c:pt>
                <c:pt idx="11">
                  <c:v>30.68</c:v>
                </c:pt>
                <c:pt idx="12">
                  <c:v>28.97</c:v>
                </c:pt>
                <c:pt idx="13">
                  <c:v>24.66</c:v>
                </c:pt>
                <c:pt idx="14">
                  <c:v>19.45</c:v>
                </c:pt>
                <c:pt idx="15">
                  <c:v>19.41</c:v>
                </c:pt>
                <c:pt idx="16">
                  <c:v>15.95</c:v>
                </c:pt>
                <c:pt idx="17">
                  <c:v>15.59</c:v>
                </c:pt>
                <c:pt idx="18">
                  <c:v>14.27</c:v>
                </c:pt>
                <c:pt idx="19">
                  <c:v>12.93</c:v>
                </c:pt>
                <c:pt idx="20" formatCode="#,##0.00">
                  <c:v>10.1</c:v>
                </c:pt>
                <c:pt idx="21">
                  <c:v>9.4499999999999993</c:v>
                </c:pt>
                <c:pt idx="22">
                  <c:v>9.32</c:v>
                </c:pt>
                <c:pt idx="23">
                  <c:v>8.39</c:v>
                </c:pt>
                <c:pt idx="24">
                  <c:v>8.36</c:v>
                </c:pt>
                <c:pt idx="25">
                  <c:v>4.0599999999999996</c:v>
                </c:pt>
                <c:pt idx="26">
                  <c:v>3.69</c:v>
                </c:pt>
              </c:numCache>
            </c:numRef>
          </c:val>
          <c:extLst>
            <c:ext xmlns:c16="http://schemas.microsoft.com/office/drawing/2014/chart" uri="{C3380CC4-5D6E-409C-BE32-E72D297353CC}">
              <c16:uniqueId val="{00000004-9DB2-49B8-A757-E3E66598EBFB}"/>
            </c:ext>
          </c:extLst>
        </c:ser>
        <c:dLbls>
          <c:showLegendKey val="0"/>
          <c:showVal val="0"/>
          <c:showCatName val="0"/>
          <c:showSerName val="0"/>
          <c:showPercent val="0"/>
          <c:showBubbleSize val="0"/>
        </c:dLbls>
        <c:gapWidth val="219"/>
        <c:overlap val="-27"/>
        <c:axId val="90098655"/>
        <c:axId val="90093375"/>
      </c:barChart>
      <c:lineChart>
        <c:grouping val="standard"/>
        <c:varyColors val="0"/>
        <c:ser>
          <c:idx val="1"/>
          <c:order val="1"/>
          <c:spPr>
            <a:ln w="12700" cap="rnd">
              <a:solidFill>
                <a:schemeClr val="accent6">
                  <a:lumMod val="75000"/>
                </a:schemeClr>
              </a:solidFill>
              <a:round/>
            </a:ln>
            <a:effectLst/>
          </c:spPr>
          <c:marker>
            <c:symbol val="none"/>
          </c:marker>
          <c:cat>
            <c:strRef>
              <c:f>Kapitālsabiedrību_saistības_ES!$E$12:$E$38</c:f>
              <c:strCache>
                <c:ptCount val="27"/>
                <c:pt idx="0">
                  <c:v>Vācija</c:v>
                </c:pt>
                <c:pt idx="1">
                  <c:v>Nīderlande*</c:v>
                </c:pt>
                <c:pt idx="2">
                  <c:v>Grieķija</c:v>
                </c:pt>
                <c:pt idx="3">
                  <c:v>Luksemburga</c:v>
                </c:pt>
                <c:pt idx="4">
                  <c:v>Francija*</c:v>
                </c:pt>
                <c:pt idx="5">
                  <c:v>Itālija</c:v>
                </c:pt>
                <c:pt idx="6">
                  <c:v>Zviedrija</c:v>
                </c:pt>
                <c:pt idx="7">
                  <c:v>Somija</c:v>
                </c:pt>
                <c:pt idx="8">
                  <c:v>Polija</c:v>
                </c:pt>
                <c:pt idx="9">
                  <c:v>Beļģija</c:v>
                </c:pt>
                <c:pt idx="10">
                  <c:v>Īrija</c:v>
                </c:pt>
                <c:pt idx="11">
                  <c:v>Portugāle</c:v>
                </c:pt>
                <c:pt idx="12">
                  <c:v>Dānija</c:v>
                </c:pt>
                <c:pt idx="13">
                  <c:v>Austrija</c:v>
                </c:pt>
                <c:pt idx="14">
                  <c:v>Igaunija</c:v>
                </c:pt>
                <c:pt idx="15">
                  <c:v>Slovēnija</c:v>
                </c:pt>
                <c:pt idx="16">
                  <c:v>Ungārija</c:v>
                </c:pt>
                <c:pt idx="17">
                  <c:v>Latvija</c:v>
                </c:pt>
                <c:pt idx="18">
                  <c:v>Malta</c:v>
                </c:pt>
                <c:pt idx="19">
                  <c:v>Horvātija</c:v>
                </c:pt>
                <c:pt idx="20">
                  <c:v>Čehija</c:v>
                </c:pt>
                <c:pt idx="21">
                  <c:v>Lietuva</c:v>
                </c:pt>
                <c:pt idx="22">
                  <c:v>Bulgārija</c:v>
                </c:pt>
                <c:pt idx="23">
                  <c:v>Rumānija</c:v>
                </c:pt>
                <c:pt idx="24">
                  <c:v>Kipra</c:v>
                </c:pt>
                <c:pt idx="25">
                  <c:v>Spānija</c:v>
                </c:pt>
                <c:pt idx="26">
                  <c:v>Slovākija</c:v>
                </c:pt>
              </c:strCache>
            </c:strRef>
          </c:cat>
          <c:val>
            <c:numRef>
              <c:f>Kapitālsabiedrību_saistības_ES!$G$12:$G$38</c:f>
              <c:numCache>
                <c:formatCode>#\ ##0.##</c:formatCode>
                <c:ptCount val="27"/>
                <c:pt idx="0">
                  <c:v>32.654074074074074</c:v>
                </c:pt>
                <c:pt idx="1">
                  <c:v>32.65851851851852</c:v>
                </c:pt>
                <c:pt idx="2">
                  <c:v>32.65851851851852</c:v>
                </c:pt>
                <c:pt idx="3">
                  <c:v>32.65851851851852</c:v>
                </c:pt>
                <c:pt idx="4">
                  <c:v>32.65851851851852</c:v>
                </c:pt>
                <c:pt idx="5">
                  <c:v>32.65851851851852</c:v>
                </c:pt>
                <c:pt idx="6">
                  <c:v>32.65851851851852</c:v>
                </c:pt>
                <c:pt idx="7">
                  <c:v>32.65851851851852</c:v>
                </c:pt>
                <c:pt idx="8">
                  <c:v>32.65851851851852</c:v>
                </c:pt>
                <c:pt idx="9">
                  <c:v>32.65851851851852</c:v>
                </c:pt>
                <c:pt idx="10">
                  <c:v>32.65851851851852</c:v>
                </c:pt>
                <c:pt idx="11">
                  <c:v>32.65851851851852</c:v>
                </c:pt>
                <c:pt idx="12">
                  <c:v>32.65851851851852</c:v>
                </c:pt>
                <c:pt idx="13">
                  <c:v>32.65851851851852</c:v>
                </c:pt>
                <c:pt idx="14">
                  <c:v>32.65851851851852</c:v>
                </c:pt>
                <c:pt idx="15">
                  <c:v>32.65851851851852</c:v>
                </c:pt>
                <c:pt idx="16">
                  <c:v>32.65851851851852</c:v>
                </c:pt>
                <c:pt idx="17">
                  <c:v>32.65851851851852</c:v>
                </c:pt>
                <c:pt idx="18">
                  <c:v>32.65851851851852</c:v>
                </c:pt>
                <c:pt idx="19">
                  <c:v>32.65851851851852</c:v>
                </c:pt>
                <c:pt idx="20">
                  <c:v>32.65851851851852</c:v>
                </c:pt>
                <c:pt idx="21">
                  <c:v>32.65851851851852</c:v>
                </c:pt>
                <c:pt idx="22">
                  <c:v>32.65851851851852</c:v>
                </c:pt>
                <c:pt idx="23">
                  <c:v>32.65851851851852</c:v>
                </c:pt>
                <c:pt idx="24">
                  <c:v>32.65851851851852</c:v>
                </c:pt>
                <c:pt idx="25">
                  <c:v>32.65851851851852</c:v>
                </c:pt>
                <c:pt idx="26">
                  <c:v>32.65851851851852</c:v>
                </c:pt>
              </c:numCache>
            </c:numRef>
          </c:val>
          <c:smooth val="0"/>
          <c:extLst>
            <c:ext xmlns:c16="http://schemas.microsoft.com/office/drawing/2014/chart" uri="{C3380CC4-5D6E-409C-BE32-E72D297353CC}">
              <c16:uniqueId val="{00000005-9DB2-49B8-A757-E3E66598EBFB}"/>
            </c:ext>
          </c:extLst>
        </c:ser>
        <c:dLbls>
          <c:showLegendKey val="0"/>
          <c:showVal val="0"/>
          <c:showCatName val="0"/>
          <c:showSerName val="0"/>
          <c:showPercent val="0"/>
          <c:showBubbleSize val="0"/>
        </c:dLbls>
        <c:marker val="1"/>
        <c:smooth val="0"/>
        <c:axId val="90098655"/>
        <c:axId val="90093375"/>
      </c:lineChart>
      <c:catAx>
        <c:axId val="90098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45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0093375"/>
        <c:crosses val="autoZero"/>
        <c:auto val="1"/>
        <c:lblAlgn val="ctr"/>
        <c:lblOffset val="100"/>
        <c:noMultiLvlLbl val="0"/>
      </c:catAx>
      <c:valAx>
        <c:axId val="90093375"/>
        <c:scaling>
          <c:orientation val="minMax"/>
          <c:max val="9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800">
                    <a:solidFill>
                      <a:sysClr val="windowText" lastClr="000000"/>
                    </a:solidFill>
                    <a:latin typeface="Times New Roman" panose="02020603050405020304" pitchFamily="18" charset="0"/>
                    <a:cs typeface="Times New Roman" panose="02020603050405020304" pitchFamily="18" charset="0"/>
                  </a:rPr>
                  <a:t>% no IKP</a:t>
                </a:r>
              </a:p>
            </c:rich>
          </c:tx>
          <c:layout>
            <c:manualLayout>
              <c:xMode val="edge"/>
              <c:yMode val="edge"/>
              <c:x val="1.111115764784721E-2"/>
              <c:y val="1.2683222289521505E-2"/>
            </c:manualLayout>
          </c:layout>
          <c:overlay val="0"/>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00986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039151356080492E-2"/>
          <c:y val="8.8678504629736532E-2"/>
          <c:w val="0.91296084864391958"/>
          <c:h val="0.81271942180247991"/>
        </c:manualLayout>
      </c:layout>
      <c:barChart>
        <c:barDir val="col"/>
        <c:grouping val="clustered"/>
        <c:varyColors val="0"/>
        <c:ser>
          <c:idx val="0"/>
          <c:order val="0"/>
          <c:spPr>
            <a:solidFill>
              <a:schemeClr val="accent1"/>
            </a:solidFill>
            <a:ln>
              <a:noFill/>
            </a:ln>
            <a:effectLst/>
          </c:spPr>
          <c:invertIfNegative val="0"/>
          <c:cat>
            <c:strRef>
              <c:f>Kapitālsabiedrību_saistības_LV!$B$36:$L$36</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Kapitālsabiedrību_saistības_LV!$B$39:$L$39</c:f>
              <c:numCache>
                <c:formatCode>General</c:formatCode>
                <c:ptCount val="11"/>
                <c:pt idx="0">
                  <c:v>32.36</c:v>
                </c:pt>
                <c:pt idx="1">
                  <c:v>22.85</c:v>
                </c:pt>
                <c:pt idx="2">
                  <c:v>21.32</c:v>
                </c:pt>
                <c:pt idx="3">
                  <c:v>20.99</c:v>
                </c:pt>
                <c:pt idx="4">
                  <c:v>20.71</c:v>
                </c:pt>
                <c:pt idx="5">
                  <c:v>20.43</c:v>
                </c:pt>
                <c:pt idx="6">
                  <c:v>20.440000000000001</c:v>
                </c:pt>
                <c:pt idx="7">
                  <c:v>20.25</c:v>
                </c:pt>
                <c:pt idx="8">
                  <c:v>19.600000000000001</c:v>
                </c:pt>
                <c:pt idx="9">
                  <c:v>18.850000000000001</c:v>
                </c:pt>
                <c:pt idx="10">
                  <c:v>15.59</c:v>
                </c:pt>
              </c:numCache>
            </c:numRef>
          </c:val>
          <c:extLst>
            <c:ext xmlns:c16="http://schemas.microsoft.com/office/drawing/2014/chart" uri="{C3380CC4-5D6E-409C-BE32-E72D297353CC}">
              <c16:uniqueId val="{00000000-E593-4D2C-BAE2-1196DF2F3A8F}"/>
            </c:ext>
          </c:extLst>
        </c:ser>
        <c:dLbls>
          <c:showLegendKey val="0"/>
          <c:showVal val="0"/>
          <c:showCatName val="0"/>
          <c:showSerName val="0"/>
          <c:showPercent val="0"/>
          <c:showBubbleSize val="0"/>
        </c:dLbls>
        <c:gapWidth val="219"/>
        <c:overlap val="-27"/>
        <c:axId val="871900896"/>
        <c:axId val="871899456"/>
      </c:barChart>
      <c:catAx>
        <c:axId val="87190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1899456"/>
        <c:crosses val="autoZero"/>
        <c:auto val="1"/>
        <c:lblAlgn val="ctr"/>
        <c:lblOffset val="100"/>
        <c:noMultiLvlLbl val="0"/>
      </c:catAx>
      <c:valAx>
        <c:axId val="871899456"/>
        <c:scaling>
          <c:orientation val="minMax"/>
          <c:max val="33"/>
          <c:min val="13"/>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800">
                    <a:solidFill>
                      <a:sysClr val="windowText" lastClr="000000"/>
                    </a:solidFill>
                    <a:latin typeface="Times New Roman" panose="02020603050405020304" pitchFamily="18" charset="0"/>
                    <a:cs typeface="Times New Roman" panose="02020603050405020304" pitchFamily="18" charset="0"/>
                  </a:rPr>
                  <a:t>% no IKP</a:t>
                </a:r>
              </a:p>
            </c:rich>
          </c:tx>
          <c:layout>
            <c:manualLayout>
              <c:xMode val="edge"/>
              <c:yMode val="edge"/>
              <c:x val="1.4273443092340731E-2"/>
              <c:y val="5.1197266030895694E-3"/>
            </c:manualLayout>
          </c:layout>
          <c:overlay val="0"/>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71900896"/>
        <c:crosses val="autoZero"/>
        <c:crossBetween val="between"/>
        <c:min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87270341207349E-2"/>
          <c:y val="6.9444444444444448E-2"/>
          <c:w val="0.90979396325459327"/>
          <c:h val="0.6440208515602216"/>
        </c:manualLayout>
      </c:layout>
      <c:barChart>
        <c:barDir val="col"/>
        <c:grouping val="clustered"/>
        <c:varyColors val="0"/>
        <c:ser>
          <c:idx val="0"/>
          <c:order val="0"/>
          <c:spPr>
            <a:solidFill>
              <a:schemeClr val="accent1"/>
            </a:solidFill>
            <a:ln>
              <a:noFill/>
            </a:ln>
            <a:effectLst/>
          </c:spPr>
          <c:invertIfNegative val="0"/>
          <c:dPt>
            <c:idx val="20"/>
            <c:invertIfNegative val="0"/>
            <c:bubble3D val="0"/>
            <c:spPr>
              <a:solidFill>
                <a:srgbClr val="C00000"/>
              </a:solidFill>
              <a:ln>
                <a:noFill/>
              </a:ln>
              <a:effectLst/>
            </c:spPr>
            <c:extLst>
              <c:ext xmlns:c16="http://schemas.microsoft.com/office/drawing/2014/chart" uri="{C3380CC4-5D6E-409C-BE32-E72D297353CC}">
                <c16:uniqueId val="{00000001-D0C9-43C8-8D64-6D5D790A31D8}"/>
              </c:ext>
            </c:extLst>
          </c:dPt>
          <c:cat>
            <c:strRef>
              <c:f>galvojumi_ES!$A$11:$A$37</c:f>
              <c:strCache>
                <c:ptCount val="27"/>
                <c:pt idx="0">
                  <c:v>Nīderlande</c:v>
                </c:pt>
                <c:pt idx="1">
                  <c:v>Somija</c:v>
                </c:pt>
                <c:pt idx="2">
                  <c:v>Itālija</c:v>
                </c:pt>
                <c:pt idx="3">
                  <c:v>Vācija</c:v>
                </c:pt>
                <c:pt idx="4">
                  <c:v>Francija</c:v>
                </c:pt>
                <c:pt idx="5">
                  <c:v>Ungārija</c:v>
                </c:pt>
                <c:pt idx="6">
                  <c:v>Austrija</c:v>
                </c:pt>
                <c:pt idx="7">
                  <c:v>Zviedrija</c:v>
                </c:pt>
                <c:pt idx="8">
                  <c:v>Grieķija</c:v>
                </c:pt>
                <c:pt idx="9">
                  <c:v>Dānija</c:v>
                </c:pt>
                <c:pt idx="10">
                  <c:v>Luksemburga</c:v>
                </c:pt>
                <c:pt idx="11">
                  <c:v>Spānija</c:v>
                </c:pt>
                <c:pt idx="12">
                  <c:v>Malta</c:v>
                </c:pt>
                <c:pt idx="13">
                  <c:v>Polija</c:v>
                </c:pt>
                <c:pt idx="14">
                  <c:v>Beļģija</c:v>
                </c:pt>
                <c:pt idx="15">
                  <c:v>Rumānija</c:v>
                </c:pt>
                <c:pt idx="16">
                  <c:v>Slovēnija</c:v>
                </c:pt>
                <c:pt idx="17">
                  <c:v>Portugāle</c:v>
                </c:pt>
                <c:pt idx="18">
                  <c:v>Kipra</c:v>
                </c:pt>
                <c:pt idx="19">
                  <c:v>Horvātija</c:v>
                </c:pt>
                <c:pt idx="20">
                  <c:v>Latvija</c:v>
                </c:pt>
                <c:pt idx="21">
                  <c:v>Igaunija</c:v>
                </c:pt>
                <c:pt idx="22">
                  <c:v>Lietuva</c:v>
                </c:pt>
                <c:pt idx="23">
                  <c:v>Slovākija</c:v>
                </c:pt>
                <c:pt idx="24">
                  <c:v>Čehija</c:v>
                </c:pt>
                <c:pt idx="25">
                  <c:v>Bulgārija</c:v>
                </c:pt>
                <c:pt idx="26">
                  <c:v>Īrija</c:v>
                </c:pt>
              </c:strCache>
            </c:strRef>
          </c:cat>
          <c:val>
            <c:numRef>
              <c:f>galvojumi_ES!$B$11:$B$37</c:f>
              <c:numCache>
                <c:formatCode>#\ ##0.##########</c:formatCode>
                <c:ptCount val="27"/>
                <c:pt idx="0">
                  <c:v>30.41</c:v>
                </c:pt>
                <c:pt idx="1">
                  <c:v>17.91</c:v>
                </c:pt>
                <c:pt idx="2">
                  <c:v>15.32</c:v>
                </c:pt>
                <c:pt idx="3">
                  <c:v>14.57</c:v>
                </c:pt>
                <c:pt idx="4">
                  <c:v>13.46</c:v>
                </c:pt>
                <c:pt idx="5">
                  <c:v>13.03</c:v>
                </c:pt>
                <c:pt idx="6">
                  <c:v>12.67</c:v>
                </c:pt>
                <c:pt idx="7">
                  <c:v>11.04</c:v>
                </c:pt>
                <c:pt idx="8">
                  <c:v>10.94</c:v>
                </c:pt>
                <c:pt idx="9">
                  <c:v>8.4499999999999993</c:v>
                </c:pt>
                <c:pt idx="10">
                  <c:v>8.35</c:v>
                </c:pt>
                <c:pt idx="11">
                  <c:v>5.54</c:v>
                </c:pt>
                <c:pt idx="12">
                  <c:v>5.53</c:v>
                </c:pt>
                <c:pt idx="13" formatCode="#,##0.00">
                  <c:v>5.3</c:v>
                </c:pt>
                <c:pt idx="14" formatCode="#,##0.00">
                  <c:v>5.2</c:v>
                </c:pt>
                <c:pt idx="15">
                  <c:v>4.09</c:v>
                </c:pt>
                <c:pt idx="16">
                  <c:v>3.92</c:v>
                </c:pt>
                <c:pt idx="17">
                  <c:v>3.71</c:v>
                </c:pt>
                <c:pt idx="18">
                  <c:v>2.87</c:v>
                </c:pt>
                <c:pt idx="19">
                  <c:v>2.39</c:v>
                </c:pt>
                <c:pt idx="20">
                  <c:v>1.52</c:v>
                </c:pt>
                <c:pt idx="21">
                  <c:v>1.17</c:v>
                </c:pt>
                <c:pt idx="22">
                  <c:v>1.1399999999999999</c:v>
                </c:pt>
                <c:pt idx="23">
                  <c:v>0.98</c:v>
                </c:pt>
                <c:pt idx="24">
                  <c:v>0.56999999999999995</c:v>
                </c:pt>
                <c:pt idx="25">
                  <c:v>0.38</c:v>
                </c:pt>
                <c:pt idx="26" formatCode="#,##0.00">
                  <c:v>0.2</c:v>
                </c:pt>
              </c:numCache>
            </c:numRef>
          </c:val>
          <c:extLst>
            <c:ext xmlns:c16="http://schemas.microsoft.com/office/drawing/2014/chart" uri="{C3380CC4-5D6E-409C-BE32-E72D297353CC}">
              <c16:uniqueId val="{00000002-D0C9-43C8-8D64-6D5D790A31D8}"/>
            </c:ext>
          </c:extLst>
        </c:ser>
        <c:dLbls>
          <c:showLegendKey val="0"/>
          <c:showVal val="0"/>
          <c:showCatName val="0"/>
          <c:showSerName val="0"/>
          <c:showPercent val="0"/>
          <c:showBubbleSize val="0"/>
        </c:dLbls>
        <c:gapWidth val="219"/>
        <c:overlap val="-27"/>
        <c:axId val="1528615392"/>
        <c:axId val="1528615872"/>
      </c:barChart>
      <c:lineChart>
        <c:grouping val="standard"/>
        <c:varyColors val="0"/>
        <c:ser>
          <c:idx val="1"/>
          <c:order val="1"/>
          <c:spPr>
            <a:ln w="12700" cap="rnd">
              <a:solidFill>
                <a:schemeClr val="accent6">
                  <a:lumMod val="75000"/>
                </a:schemeClr>
              </a:solidFill>
              <a:round/>
            </a:ln>
            <a:effectLst/>
          </c:spPr>
          <c:marker>
            <c:symbol val="none"/>
          </c:marker>
          <c:cat>
            <c:strRef>
              <c:f>galvojumi_ES!$A$11:$A$37</c:f>
              <c:strCache>
                <c:ptCount val="27"/>
                <c:pt idx="0">
                  <c:v>Nīderlande</c:v>
                </c:pt>
                <c:pt idx="1">
                  <c:v>Somija</c:v>
                </c:pt>
                <c:pt idx="2">
                  <c:v>Itālija</c:v>
                </c:pt>
                <c:pt idx="3">
                  <c:v>Vācija</c:v>
                </c:pt>
                <c:pt idx="4">
                  <c:v>Francija</c:v>
                </c:pt>
                <c:pt idx="5">
                  <c:v>Ungārija</c:v>
                </c:pt>
                <c:pt idx="6">
                  <c:v>Austrija</c:v>
                </c:pt>
                <c:pt idx="7">
                  <c:v>Zviedrija</c:v>
                </c:pt>
                <c:pt idx="8">
                  <c:v>Grieķija</c:v>
                </c:pt>
                <c:pt idx="9">
                  <c:v>Dānija</c:v>
                </c:pt>
                <c:pt idx="10">
                  <c:v>Luksemburga</c:v>
                </c:pt>
                <c:pt idx="11">
                  <c:v>Spānija</c:v>
                </c:pt>
                <c:pt idx="12">
                  <c:v>Malta</c:v>
                </c:pt>
                <c:pt idx="13">
                  <c:v>Polija</c:v>
                </c:pt>
                <c:pt idx="14">
                  <c:v>Beļģija</c:v>
                </c:pt>
                <c:pt idx="15">
                  <c:v>Rumānija</c:v>
                </c:pt>
                <c:pt idx="16">
                  <c:v>Slovēnija</c:v>
                </c:pt>
                <c:pt idx="17">
                  <c:v>Portugāle</c:v>
                </c:pt>
                <c:pt idx="18">
                  <c:v>Kipra</c:v>
                </c:pt>
                <c:pt idx="19">
                  <c:v>Horvātija</c:v>
                </c:pt>
                <c:pt idx="20">
                  <c:v>Latvija</c:v>
                </c:pt>
                <c:pt idx="21">
                  <c:v>Igaunija</c:v>
                </c:pt>
                <c:pt idx="22">
                  <c:v>Lietuva</c:v>
                </c:pt>
                <c:pt idx="23">
                  <c:v>Slovākija</c:v>
                </c:pt>
                <c:pt idx="24">
                  <c:v>Čehija</c:v>
                </c:pt>
                <c:pt idx="25">
                  <c:v>Bulgārija</c:v>
                </c:pt>
                <c:pt idx="26">
                  <c:v>Īrija</c:v>
                </c:pt>
              </c:strCache>
            </c:strRef>
          </c:cat>
          <c:val>
            <c:numRef>
              <c:f>galvojumi_ES!$C$11:$C$37</c:f>
              <c:numCache>
                <c:formatCode>0.00</c:formatCode>
                <c:ptCount val="27"/>
                <c:pt idx="0" formatCode="#\ ##0.#">
                  <c:v>7.4318518518518495</c:v>
                </c:pt>
                <c:pt idx="1">
                  <c:v>7.4322222222222196</c:v>
                </c:pt>
                <c:pt idx="2" formatCode="0.0">
                  <c:v>7.4322222222222196</c:v>
                </c:pt>
                <c:pt idx="3" formatCode="0.0">
                  <c:v>7.4322222222222196</c:v>
                </c:pt>
                <c:pt idx="4" formatCode="0.0">
                  <c:v>7.4322222222222196</c:v>
                </c:pt>
                <c:pt idx="5" formatCode="0.0">
                  <c:v>7.4322222222222196</c:v>
                </c:pt>
                <c:pt idx="6" formatCode="0.0">
                  <c:v>7.4322222222222196</c:v>
                </c:pt>
                <c:pt idx="7" formatCode="0.0">
                  <c:v>7.4322222222222196</c:v>
                </c:pt>
                <c:pt idx="8" formatCode="0.0">
                  <c:v>7.4322222222222196</c:v>
                </c:pt>
                <c:pt idx="9" formatCode="0.0">
                  <c:v>7.4322222222222196</c:v>
                </c:pt>
                <c:pt idx="10" formatCode="0.0">
                  <c:v>7.4322222222222196</c:v>
                </c:pt>
                <c:pt idx="11" formatCode="0.0">
                  <c:v>7.4322222222222196</c:v>
                </c:pt>
                <c:pt idx="12" formatCode="0.0">
                  <c:v>7.4322222222222196</c:v>
                </c:pt>
                <c:pt idx="13" formatCode="0.0">
                  <c:v>7.4322222222222196</c:v>
                </c:pt>
                <c:pt idx="14" formatCode="0.0">
                  <c:v>7.4322222222222196</c:v>
                </c:pt>
                <c:pt idx="15" formatCode="0.0">
                  <c:v>7.4322222222222196</c:v>
                </c:pt>
                <c:pt idx="16" formatCode="0.0">
                  <c:v>7.4322222222222196</c:v>
                </c:pt>
                <c:pt idx="17" formatCode="0.0">
                  <c:v>7.4322222222222196</c:v>
                </c:pt>
                <c:pt idx="18" formatCode="0.0">
                  <c:v>7.4322222222222196</c:v>
                </c:pt>
                <c:pt idx="19" formatCode="0.0">
                  <c:v>7.4322222222222196</c:v>
                </c:pt>
                <c:pt idx="20" formatCode="0.0">
                  <c:v>7.4322222222222196</c:v>
                </c:pt>
                <c:pt idx="21" formatCode="0.0">
                  <c:v>7.4322222222222196</c:v>
                </c:pt>
                <c:pt idx="22" formatCode="0.0">
                  <c:v>7.4322222222222196</c:v>
                </c:pt>
                <c:pt idx="23" formatCode="0.0">
                  <c:v>7.4322222222222196</c:v>
                </c:pt>
                <c:pt idx="24" formatCode="0.0">
                  <c:v>7.4322222222222196</c:v>
                </c:pt>
                <c:pt idx="25" formatCode="0.0">
                  <c:v>7.4322222222222196</c:v>
                </c:pt>
                <c:pt idx="26" formatCode="0.0">
                  <c:v>7.4322222222222196</c:v>
                </c:pt>
              </c:numCache>
            </c:numRef>
          </c:val>
          <c:smooth val="0"/>
          <c:extLst>
            <c:ext xmlns:c16="http://schemas.microsoft.com/office/drawing/2014/chart" uri="{C3380CC4-5D6E-409C-BE32-E72D297353CC}">
              <c16:uniqueId val="{00000003-D0C9-43C8-8D64-6D5D790A31D8}"/>
            </c:ext>
          </c:extLst>
        </c:ser>
        <c:dLbls>
          <c:showLegendKey val="0"/>
          <c:showVal val="0"/>
          <c:showCatName val="0"/>
          <c:showSerName val="0"/>
          <c:showPercent val="0"/>
          <c:showBubbleSize val="0"/>
        </c:dLbls>
        <c:marker val="1"/>
        <c:smooth val="0"/>
        <c:axId val="1528615392"/>
        <c:axId val="1528615872"/>
      </c:lineChart>
      <c:catAx>
        <c:axId val="152861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45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28615872"/>
        <c:crosses val="autoZero"/>
        <c:auto val="1"/>
        <c:lblAlgn val="ctr"/>
        <c:lblOffset val="100"/>
        <c:noMultiLvlLbl val="0"/>
      </c:catAx>
      <c:valAx>
        <c:axId val="1528615872"/>
        <c:scaling>
          <c:orientation val="minMax"/>
          <c:max val="3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800">
                    <a:solidFill>
                      <a:sysClr val="windowText" lastClr="000000"/>
                    </a:solidFill>
                    <a:latin typeface="Times New Roman" panose="02020603050405020304" pitchFamily="18" charset="0"/>
                    <a:cs typeface="Times New Roman" panose="02020603050405020304" pitchFamily="18" charset="0"/>
                  </a:rPr>
                  <a:t>% no IKP</a:t>
                </a:r>
              </a:p>
            </c:rich>
          </c:tx>
          <c:layout>
            <c:manualLayout>
              <c:xMode val="edge"/>
              <c:yMode val="edge"/>
              <c:x val="1.1111111111111112E-2"/>
              <c:y val="5.7388421412998426E-3"/>
            </c:manualLayout>
          </c:layout>
          <c:overlay val="0"/>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286153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20581802274716E-2"/>
          <c:y val="0.12271189981849286"/>
          <c:w val="0.925905293088364"/>
          <c:h val="0.75656990637364363"/>
        </c:manualLayout>
      </c:layout>
      <c:barChart>
        <c:barDir val="col"/>
        <c:grouping val="clustered"/>
        <c:varyColors val="0"/>
        <c:ser>
          <c:idx val="0"/>
          <c:order val="0"/>
          <c:spPr>
            <a:solidFill>
              <a:schemeClr val="accent1"/>
            </a:solidFill>
            <a:ln>
              <a:noFill/>
            </a:ln>
            <a:effectLst/>
          </c:spPr>
          <c:invertIfNegative val="0"/>
          <c:cat>
            <c:strRef>
              <c:f>galvojumi_LV!$B$31:$L$31</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galvojumi_LV!$B$34:$L$34</c:f>
              <c:numCache>
                <c:formatCode>General</c:formatCode>
                <c:ptCount val="11"/>
                <c:pt idx="0">
                  <c:v>2.2599999999999998</c:v>
                </c:pt>
                <c:pt idx="1">
                  <c:v>1</c:v>
                </c:pt>
                <c:pt idx="2">
                  <c:v>1.35</c:v>
                </c:pt>
                <c:pt idx="3">
                  <c:v>1.28</c:v>
                </c:pt>
                <c:pt idx="4">
                  <c:v>1.25</c:v>
                </c:pt>
                <c:pt idx="5">
                  <c:v>1.27</c:v>
                </c:pt>
                <c:pt idx="6">
                  <c:v>1.34</c:v>
                </c:pt>
                <c:pt idx="7">
                  <c:v>1.72</c:v>
                </c:pt>
                <c:pt idx="8">
                  <c:v>1.7</c:v>
                </c:pt>
                <c:pt idx="9">
                  <c:v>1.69</c:v>
                </c:pt>
                <c:pt idx="10">
                  <c:v>1.52</c:v>
                </c:pt>
              </c:numCache>
            </c:numRef>
          </c:val>
          <c:extLst>
            <c:ext xmlns:c16="http://schemas.microsoft.com/office/drawing/2014/chart" uri="{C3380CC4-5D6E-409C-BE32-E72D297353CC}">
              <c16:uniqueId val="{00000000-FB87-4448-8464-D605FAABC4A2}"/>
            </c:ext>
          </c:extLst>
        </c:ser>
        <c:dLbls>
          <c:showLegendKey val="0"/>
          <c:showVal val="0"/>
          <c:showCatName val="0"/>
          <c:showSerName val="0"/>
          <c:showPercent val="0"/>
          <c:showBubbleSize val="0"/>
        </c:dLbls>
        <c:gapWidth val="219"/>
        <c:overlap val="-27"/>
        <c:axId val="1444852784"/>
        <c:axId val="1444855184"/>
      </c:barChart>
      <c:catAx>
        <c:axId val="144485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44855184"/>
        <c:crosses val="autoZero"/>
        <c:auto val="1"/>
        <c:lblAlgn val="ctr"/>
        <c:lblOffset val="100"/>
        <c:noMultiLvlLbl val="0"/>
      </c:catAx>
      <c:valAx>
        <c:axId val="14448551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800">
                    <a:solidFill>
                      <a:sysClr val="windowText" lastClr="000000"/>
                    </a:solidFill>
                    <a:latin typeface="Times New Roman" panose="02020603050405020304" pitchFamily="18" charset="0"/>
                    <a:cs typeface="Times New Roman" panose="02020603050405020304" pitchFamily="18" charset="0"/>
                  </a:rPr>
                  <a:t>% no IKP</a:t>
                </a:r>
              </a:p>
            </c:rich>
          </c:tx>
          <c:layout>
            <c:manualLayout>
              <c:xMode val="edge"/>
              <c:yMode val="edge"/>
              <c:x val="1.3888963032163353E-2"/>
              <c:y val="1.2703904969625274E-2"/>
            </c:manualLayout>
          </c:layout>
          <c:overlay val="0"/>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448527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69797114776711"/>
          <c:y val="5.2948255114320095E-2"/>
          <c:w val="0.84853803858459298"/>
          <c:h val="0.7589478571496252"/>
        </c:manualLayout>
      </c:layout>
      <c:barChart>
        <c:barDir val="col"/>
        <c:grouping val="clustered"/>
        <c:varyColors val="0"/>
        <c:ser>
          <c:idx val="0"/>
          <c:order val="0"/>
          <c:tx>
            <c:strRef>
              <c:f>Sheet1!$AF$110</c:f>
              <c:strCache>
                <c:ptCount val="1"/>
                <c:pt idx="0">
                  <c:v>Nepieciešamais finansējums</c:v>
                </c:pt>
              </c:strCache>
            </c:strRef>
          </c:tx>
          <c:spPr>
            <a:solidFill>
              <a:schemeClr val="accent1"/>
            </a:solidFill>
            <a:ln>
              <a:noFill/>
            </a:ln>
            <a:effectLst/>
          </c:spPr>
          <c:invertIfNegative val="0"/>
          <c:dLbls>
            <c:dLbl>
              <c:idx val="0"/>
              <c:layout>
                <c:manualLayout>
                  <c:x val="2.2303067576093417E-17"/>
                  <c:y val="-5.29482551143201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EE-437D-92C3-3D5428F8B72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Sheet1!$AE$111:$AE$113</c:f>
              <c:strCache>
                <c:ptCount val="3"/>
                <c:pt idx="0">
                  <c:v>Līdz 2027.g.</c:v>
                </c:pt>
                <c:pt idx="1">
                  <c:v>Līdz 2030.g.</c:v>
                </c:pt>
                <c:pt idx="2">
                  <c:v>Līdz 2040.g.</c:v>
                </c:pt>
              </c:strCache>
            </c:strRef>
          </c:cat>
          <c:val>
            <c:numRef>
              <c:f>Sheet1!$AF$111:$AF$113</c:f>
              <c:numCache>
                <c:formatCode>#,##0.00</c:formatCode>
                <c:ptCount val="3"/>
                <c:pt idx="0">
                  <c:v>1914.1289999999999</c:v>
                </c:pt>
                <c:pt idx="1">
                  <c:v>13269.760999999999</c:v>
                </c:pt>
                <c:pt idx="2">
                  <c:v>15056.261000000002</c:v>
                </c:pt>
              </c:numCache>
            </c:numRef>
          </c:val>
          <c:extLst>
            <c:ext xmlns:c16="http://schemas.microsoft.com/office/drawing/2014/chart" uri="{C3380CC4-5D6E-409C-BE32-E72D297353CC}">
              <c16:uniqueId val="{00000001-E6EE-437D-92C3-3D5428F8B72D}"/>
            </c:ext>
          </c:extLst>
        </c:ser>
        <c:ser>
          <c:idx val="1"/>
          <c:order val="1"/>
          <c:tx>
            <c:strRef>
              <c:f>Sheet1!$AG$110</c:f>
              <c:strCache>
                <c:ptCount val="1"/>
                <c:pt idx="0">
                  <c:v>Iezīmētais finansējums</c:v>
                </c:pt>
              </c:strCache>
            </c:strRef>
          </c:tx>
          <c:spPr>
            <a:solidFill>
              <a:schemeClr val="accent3"/>
            </a:solidFill>
            <a:ln>
              <a:noFill/>
            </a:ln>
            <a:effectLst/>
          </c:spPr>
          <c:invertIfNegative val="0"/>
          <c:dLbls>
            <c:dLbl>
              <c:idx val="0"/>
              <c:layout>
                <c:manualLayout>
                  <c:x val="1.45985401459853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EE-437D-92C3-3D5428F8B72D}"/>
                </c:ext>
              </c:extLst>
            </c:dLbl>
            <c:dLbl>
              <c:idx val="1"/>
              <c:layout>
                <c:manualLayout>
                  <c:x val="1.4598540145985313E-2"/>
                  <c:y val="-8.824607243104110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EE-437D-92C3-3D5428F8B72D}"/>
                </c:ext>
              </c:extLst>
            </c:dLbl>
            <c:dLbl>
              <c:idx val="2"/>
              <c:layout>
                <c:manualLayout>
                  <c:x val="1.2165450121654502E-2"/>
                  <c:y val="-8.824607243104110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EE-437D-92C3-3D5428F8B72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Sheet1!$AE$111:$AE$113</c:f>
              <c:strCache>
                <c:ptCount val="3"/>
                <c:pt idx="0">
                  <c:v>Līdz 2027.g.</c:v>
                </c:pt>
                <c:pt idx="1">
                  <c:v>Līdz 2030.g.</c:v>
                </c:pt>
                <c:pt idx="2">
                  <c:v>Līdz 2040.g.</c:v>
                </c:pt>
              </c:strCache>
            </c:strRef>
          </c:cat>
          <c:val>
            <c:numRef>
              <c:f>Sheet1!$AG$111:$AG$113</c:f>
              <c:numCache>
                <c:formatCode>#,##0.00</c:formatCode>
                <c:ptCount val="3"/>
                <c:pt idx="0">
                  <c:v>1469.3789999999999</c:v>
                </c:pt>
                <c:pt idx="1">
                  <c:v>3990.3009999999995</c:v>
                </c:pt>
                <c:pt idx="2">
                  <c:v>4766.8010000000004</c:v>
                </c:pt>
              </c:numCache>
            </c:numRef>
          </c:val>
          <c:extLst>
            <c:ext xmlns:c16="http://schemas.microsoft.com/office/drawing/2014/chart" uri="{C3380CC4-5D6E-409C-BE32-E72D297353CC}">
              <c16:uniqueId val="{00000005-E6EE-437D-92C3-3D5428F8B72D}"/>
            </c:ext>
          </c:extLst>
        </c:ser>
        <c:dLbls>
          <c:dLblPos val="outEnd"/>
          <c:showLegendKey val="0"/>
          <c:showVal val="1"/>
          <c:showCatName val="0"/>
          <c:showSerName val="0"/>
          <c:showPercent val="0"/>
          <c:showBubbleSize val="0"/>
        </c:dLbls>
        <c:gapWidth val="219"/>
        <c:overlap val="-27"/>
        <c:axId val="970066688"/>
        <c:axId val="970067168"/>
      </c:barChart>
      <c:catAx>
        <c:axId val="97006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70067168"/>
        <c:crosses val="autoZero"/>
        <c:auto val="1"/>
        <c:lblAlgn val="ctr"/>
        <c:lblOffset val="100"/>
        <c:noMultiLvlLbl val="0"/>
      </c:catAx>
      <c:valAx>
        <c:axId val="970067168"/>
        <c:scaling>
          <c:orientation val="minMax"/>
          <c:max val="2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900" b="0" i="0" u="none" strike="noStrike" kern="1200" baseline="0">
                    <a:solidFill>
                      <a:schemeClr val="tx1"/>
                    </a:solidFill>
                    <a:latin typeface="Times New Roman" panose="02020603050405020304" pitchFamily="18" charset="0"/>
                    <a:cs typeface="Times New Roman" panose="02020603050405020304" pitchFamily="18" charset="0"/>
                  </a:rPr>
                  <a:t>milj. </a:t>
                </a:r>
                <a:r>
                  <a:rPr lang="lv-LV" sz="900" b="0" i="1" u="none" strike="noStrike" kern="1200" baseline="0">
                    <a:solidFill>
                      <a:schemeClr val="tx1"/>
                    </a:solidFill>
                    <a:latin typeface="Times New Roman" panose="02020603050405020304" pitchFamily="18" charset="0"/>
                    <a:cs typeface="Times New Roman" panose="02020603050405020304" pitchFamily="18" charset="0"/>
                  </a:rPr>
                  <a:t>euro</a:t>
                </a:r>
              </a:p>
            </c:rich>
          </c:tx>
          <c:layout>
            <c:manualLayout>
              <c:xMode val="edge"/>
              <c:yMode val="edge"/>
              <c:x val="7.1528286686936412E-3"/>
              <c:y val="0.209404279010578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70066688"/>
        <c:crosses val="autoZero"/>
        <c:crossBetween val="between"/>
        <c:minorUnit val="5000"/>
      </c:valAx>
      <c:spPr>
        <a:noFill/>
        <a:ln>
          <a:noFill/>
        </a:ln>
        <a:effectLst/>
      </c:spPr>
    </c:plotArea>
    <c:legend>
      <c:legendPos val="b"/>
      <c:layout>
        <c:manualLayout>
          <c:xMode val="edge"/>
          <c:yMode val="edge"/>
          <c:x val="0.21359714159817614"/>
          <c:y val="0.90919203691596295"/>
          <c:w val="0.59227043699829496"/>
          <c:h val="7.636752987104049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49775021937881"/>
          <c:y val="0.11762631821559939"/>
          <c:w val="0.64888869965333928"/>
          <c:h val="0.83727598566308248"/>
        </c:manualLayout>
      </c:layout>
      <c:pieChart>
        <c:varyColors val="1"/>
        <c:ser>
          <c:idx val="0"/>
          <c:order val="0"/>
          <c:dPt>
            <c:idx val="0"/>
            <c:bubble3D val="0"/>
            <c:spPr>
              <a:solidFill>
                <a:schemeClr val="accent3"/>
              </a:solidFill>
              <a:ln>
                <a:noFill/>
              </a:ln>
              <a:effectLst/>
            </c:spPr>
            <c:extLst>
              <c:ext xmlns:c16="http://schemas.microsoft.com/office/drawing/2014/chart" uri="{C3380CC4-5D6E-409C-BE32-E72D297353CC}">
                <c16:uniqueId val="{00000001-D1FE-4B70-8F5A-192B5B64CEC1}"/>
              </c:ext>
            </c:extLst>
          </c:dPt>
          <c:dPt>
            <c:idx val="1"/>
            <c:bubble3D val="0"/>
            <c:spPr>
              <a:solidFill>
                <a:schemeClr val="accent6">
                  <a:lumMod val="75000"/>
                </a:schemeClr>
              </a:solidFill>
              <a:ln>
                <a:noFill/>
              </a:ln>
              <a:effectLst/>
            </c:spPr>
            <c:extLst>
              <c:ext xmlns:c16="http://schemas.microsoft.com/office/drawing/2014/chart" uri="{C3380CC4-5D6E-409C-BE32-E72D297353CC}">
                <c16:uniqueId val="{00000003-D1FE-4B70-8F5A-192B5B64CEC1}"/>
              </c:ext>
            </c:extLst>
          </c:dPt>
          <c:dPt>
            <c:idx val="2"/>
            <c:bubble3D val="0"/>
            <c:spPr>
              <a:solidFill>
                <a:schemeClr val="accent4">
                  <a:lumMod val="75000"/>
                </a:schemeClr>
              </a:solidFill>
              <a:ln>
                <a:noFill/>
              </a:ln>
              <a:effectLst/>
            </c:spPr>
            <c:extLst>
              <c:ext xmlns:c16="http://schemas.microsoft.com/office/drawing/2014/chart" uri="{C3380CC4-5D6E-409C-BE32-E72D297353CC}">
                <c16:uniqueId val="{00000005-D1FE-4B70-8F5A-192B5B64CEC1}"/>
              </c:ext>
            </c:extLst>
          </c:dPt>
          <c:dPt>
            <c:idx val="3"/>
            <c:bubble3D val="0"/>
            <c:spPr>
              <a:solidFill>
                <a:schemeClr val="accent2">
                  <a:lumMod val="50000"/>
                </a:schemeClr>
              </a:solidFill>
              <a:ln>
                <a:noFill/>
              </a:ln>
              <a:effectLst/>
            </c:spPr>
            <c:extLst>
              <c:ext xmlns:c16="http://schemas.microsoft.com/office/drawing/2014/chart" uri="{C3380CC4-5D6E-409C-BE32-E72D297353CC}">
                <c16:uniqueId val="{00000007-D1FE-4B70-8F5A-192B5B64CEC1}"/>
              </c:ext>
            </c:extLst>
          </c:dPt>
          <c:dPt>
            <c:idx val="4"/>
            <c:bubble3D val="0"/>
            <c:spPr>
              <a:solidFill>
                <a:schemeClr val="accent5">
                  <a:lumMod val="60000"/>
                  <a:lumOff val="40000"/>
                </a:schemeClr>
              </a:solidFill>
              <a:ln>
                <a:noFill/>
              </a:ln>
              <a:effectLst/>
            </c:spPr>
            <c:extLst>
              <c:ext xmlns:c16="http://schemas.microsoft.com/office/drawing/2014/chart" uri="{C3380CC4-5D6E-409C-BE32-E72D297353CC}">
                <c16:uniqueId val="{00000009-D1FE-4B70-8F5A-192B5B64CEC1}"/>
              </c:ext>
            </c:extLst>
          </c:dPt>
          <c:dPt>
            <c:idx val="5"/>
            <c:bubble3D val="0"/>
            <c:spPr>
              <a:solidFill>
                <a:schemeClr val="accent2">
                  <a:lumMod val="60000"/>
                  <a:lumOff val="40000"/>
                </a:schemeClr>
              </a:solidFill>
              <a:ln>
                <a:noFill/>
              </a:ln>
              <a:effectLst/>
            </c:spPr>
            <c:extLst>
              <c:ext xmlns:c16="http://schemas.microsoft.com/office/drawing/2014/chart" uri="{C3380CC4-5D6E-409C-BE32-E72D297353CC}">
                <c16:uniqueId val="{0000000B-D1FE-4B70-8F5A-192B5B64CEC1}"/>
              </c:ext>
            </c:extLst>
          </c:dPt>
          <c:dLbls>
            <c:dLbl>
              <c:idx val="0"/>
              <c:layout>
                <c:manualLayout>
                  <c:x val="-2.0542835371385029E-2"/>
                  <c:y val="1.7271157167530225E-2"/>
                </c:manualLayout>
              </c:layout>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D1FE-4B70-8F5A-192B5B64CEC1}"/>
                </c:ext>
              </c:extLst>
            </c:dLbl>
            <c:dLbl>
              <c:idx val="1"/>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6">
                          <a:lumMod val="7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D1FE-4B70-8F5A-192B5B64CEC1}"/>
                </c:ext>
              </c:extLst>
            </c:dLbl>
            <c:dLbl>
              <c:idx val="2"/>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4">
                          <a:lumMod val="7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D1FE-4B70-8F5A-192B5B64CEC1}"/>
                </c:ext>
              </c:extLst>
            </c:dLbl>
            <c:dLbl>
              <c:idx val="3"/>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2">
                          <a:lumMod val="50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D1FE-4B70-8F5A-192B5B64CEC1}"/>
                </c:ext>
              </c:extLst>
            </c:dLbl>
            <c:dLbl>
              <c:idx val="4"/>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5">
                          <a:lumMod val="60000"/>
                          <a:lumOff val="40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D1FE-4B70-8F5A-192B5B64CEC1}"/>
                </c:ext>
              </c:extLst>
            </c:dLbl>
            <c:dLbl>
              <c:idx val="5"/>
              <c:layout>
                <c:manualLayout>
                  <c:x val="4.444443148310543E-2"/>
                  <c:y val="0"/>
                </c:manualLayout>
              </c:layout>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2">
                          <a:lumMod val="60000"/>
                          <a:lumOff val="40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B-D1FE-4B70-8F5A-192B5B64CEC1}"/>
                </c:ext>
              </c:extLst>
            </c:dLbl>
            <c:numFmt formatCode="0.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[Book1]Sheet1!$B$4:$B$9</c:f>
              <c:strCache>
                <c:ptCount val="6"/>
                <c:pt idx="0">
                  <c:v>Neitrālie</c:v>
                </c:pt>
                <c:pt idx="1">
                  <c:v>Labvēlīgie</c:v>
                </c:pt>
                <c:pt idx="2">
                  <c:v>Jāprecizē</c:v>
                </c:pt>
                <c:pt idx="3">
                  <c:v>Nelabvēlīgie</c:v>
                </c:pt>
                <c:pt idx="4">
                  <c:v>Neskaidrie</c:v>
                </c:pt>
                <c:pt idx="5">
                  <c:v>Jauktie</c:v>
                </c:pt>
              </c:strCache>
            </c:strRef>
          </c:cat>
          <c:val>
            <c:numRef>
              <c:f>[Book1]Sheet1!$C$4:$C$9</c:f>
              <c:numCache>
                <c:formatCode>0.00%</c:formatCode>
                <c:ptCount val="6"/>
                <c:pt idx="0">
                  <c:v>0.65439999999999998</c:v>
                </c:pt>
                <c:pt idx="1">
                  <c:v>0.16070000000000001</c:v>
                </c:pt>
                <c:pt idx="2">
                  <c:v>2E-3</c:v>
                </c:pt>
                <c:pt idx="3">
                  <c:v>9.6699999999999994E-2</c:v>
                </c:pt>
                <c:pt idx="4">
                  <c:v>8.1500000000000003E-2</c:v>
                </c:pt>
                <c:pt idx="5">
                  <c:v>4.7000000000000002E-3</c:v>
                </c:pt>
              </c:numCache>
            </c:numRef>
          </c:val>
          <c:extLst>
            <c:ext xmlns:c16="http://schemas.microsoft.com/office/drawing/2014/chart" uri="{C3380CC4-5D6E-409C-BE32-E72D297353CC}">
              <c16:uniqueId val="{0000000C-D1FE-4B70-8F5A-192B5B64CEC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C3BF0-79A7-418A-8366-6A9C78A8A9E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150236</Words>
  <Characters>85635</Characters>
  <Application>Microsoft Office Word</Application>
  <DocSecurity>0</DocSecurity>
  <Lines>713</Lines>
  <Paragraphs>470</Paragraphs>
  <ScaleCrop>false</ScaleCrop>
  <HeadingPairs>
    <vt:vector size="2" baseType="variant">
      <vt:variant>
        <vt:lpstr>Title</vt:lpstr>
      </vt:variant>
      <vt:variant>
        <vt:i4>1</vt:i4>
      </vt:variant>
    </vt:vector>
  </HeadingPairs>
  <TitlesOfParts>
    <vt:vector size="1" baseType="lpstr">
      <vt:lpstr>Informatīvais ziņojums "Fiskālo risku deklarācija"</vt:lpstr>
    </vt:vector>
  </TitlesOfParts>
  <Company>RĪGA, 2025</Company>
  <LinksUpToDate>false</LinksUpToDate>
  <CharactersWithSpaces>235401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"Fiskālo risku deklarācija"</dc:title>
  <dc:subject>Informatīvais ziņojums</dc:subject>
  <dc:creator>elina.gusare@fm.gov.lv</dc:creator>
  <cp:keywords/>
  <dc:description>E.Gusāre
elina.gusare@fm.gov.lv
20204409
Gusāre</dc:description>
  <cp:lastModifiedBy>Finanšu ministrija</cp:lastModifiedBy>
  <cp:revision>2</cp:revision>
  <cp:lastPrinted>2023-08-09T05:55:00Z</cp:lastPrinted>
  <dcterms:created xsi:type="dcterms:W3CDTF">2025-08-15T09:32:00Z</dcterms:created>
  <dcterms:modified xsi:type="dcterms:W3CDTF">2025-08-15T09:32:00Z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1853562548</vt:i4>
  </property>
</Properties>
</file>