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24-TA-1255: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(01.04.2025.)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Izteikt 200.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(VADDA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jau vairākkārt vērsusi uzmanību, ka koeficienta piemērošana ne tikai sarežģī NVD norēķinus ar pakalpojuma sniedzēju, bet tas mulsina lēmumu pieņēmējus un sabiedrību, jo tarifi neatspoguļo reālo cenu, proti, publiski tā tiek uzrādīta par 10% augstāka nekā reāli tā ir. Tāpat noteiktais mēneša limits koeficienta piemērošanai sākotnējā mērķa sasniegšanai nav mūsdienām atbilstošs. Ar 1.06.2024. MK pieņemtais lēmums par laboratorijās visvairāk izmantoto manipulāciju cenu būtisku samazināšanu jau ir novedis vismaz divas ārstniecības iestādes laboratorisko pakalpojumu sniegšanu ar 1.09.2024. pārtraukt tieši radušos zaudējumu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aicina šo punktu no projekta un MK noteikumiem izslēgt. Turklāt atteikšanās no koeficienta piemērošanas tika panākta NVD organizētajā 25.07.2024. sanāksmē ar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STARPMINISTRIJU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Atbilstoša lēmuma pieņemšanai Nacionālajam veselības dienestam ir nepieciešams veikt detalizētus aprēķinus, kam vajadzīgs papildu laiks. Līdz ar to ierosinājums vērtējams nākamo Ministru kabineta 2018. gada 28. augusta noteikumu Nr.555 “Veselības aprūpes pakalpojumu organizēšanas un samaksas kārtība”” grozījumu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48.punkts paredz izteikt citā redakcijā MK 28.08.2018. noteikumu Nr.555 “Veselības aprūpes pakalpojumu organizēšanas un samaksas kārtība” (turpmāk – MKN 555) 5.pielikuma 12.punktu “Ķirurģiskie pakalpojumi”, to papildinot ar jaunām manipulācijām, nepieciešams papildināt anotāciju ar detalizētu aprēķinu par MKN 5.pielikumā iekļautajām 19175-19179 manipulācijām. Vienlaikus noteikumu projekta 48.punktā, kas paredz precizēt MKN 555 5.pielikumu, norādīts, ka jaunas manipulācijas ir iekļaujamas 5.pielikuma </w:t>
            </w:r>
            <w:r w:rsidR="00000000" w:rsidRPr="00000000" w:rsidDel="00000000">
              <w:rPr>
                <w:u w:val="single"/>
                <w:rtl w:val="0"/>
              </w:rPr>
              <w:t xml:space="preserve">12.punktā “Ķirurģiskie pakalpojumi”</w:t>
            </w:r>
            <w:r w:rsidR="00000000" w:rsidRPr="00000000" w:rsidDel="00000000">
              <w:rPr>
                <w:rtl w:val="0"/>
              </w:rPr>
              <w:t xml:space="preserve">, savukārt anotācijas 1.3.sadaļas “Pašreizējā situācija, problēmas un risinājumi” apakšsadaļas “Risinājuma apraksts” 16.punktā norādīts, ka ir izveidoti jauni dienas stacionārā sniedzami veselības aprūpes pakalpojumi</w:t>
            </w:r>
            <w:r w:rsidR="00000000" w:rsidRPr="00000000" w:rsidDel="00000000">
              <w:rPr>
                <w:u w:val="single"/>
                <w:rtl w:val="0"/>
              </w:rPr>
              <w:t xml:space="preserve"> ilgstošas ķīmijterapijas, imūnterapijas u.tml. terapiju pacientiem (gan pieaugušajiem, gan arī bērniem).</w:t>
            </w:r>
            <w:r w:rsidR="00000000" w:rsidRPr="00000000" w:rsidDel="00000000">
              <w:rPr>
                <w:rtl w:val="0"/>
              </w:rPr>
              <w:t xml:space="preserve"> Ņemot vērā minēto, nepieciešams salāgot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Finanšu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“Tiesību akta projekta ietekme uz valsts budžetu un pašvaldību budžetiem” 6.punktā norādīto informāciju, nepieciešams precizēt finansējumu 1., 2.punktā un  1.1., 2.1.apakšpunktā ailē “saskaņā ar valsts budžetu kārtējam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Finanšu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49.punkts paredz precizēt MK 28.08.2018. noteikumu Nr.555 “Veselības aprūpes pakalpojumu organizēšanas un samaksas kārtība” 6.pielikumu, t.i. programmai “Rehabilitāciju pacientiem ar muguras smadzeņu šķērsbojājumu (spinālie pacienti)” un programmai “Ilgstoši mākslīgi ventilējama pacienta medicīniskā rehabilitācija” viena pacienta ārstēšanas tarifu aizstājot ar gultasdienas tarifu. Nepieciešams anotācijā sniegt skaidrojumu par minēto izmaiņu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Finanšu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anotācijā sniegt skaidrojumu attiecībā par noteikumu projekta 48.punktu, kas paredz precizēt MK 28.08.2018. noteikumu Nr.555 “Veselības aprūpes pakalpojumu organizēšanas un samaksas kārtība” (turpmāk – MKN 555) 5.pielikumu, svītrojot atsevišķas 12.2. un 12.8.apakšpunktu manipulācijas.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Finanšu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38.punkts paredz izteikt citā redakcijā MK 28.08.2018. noteikumu Nr.555 “Veselības aprūpes pakalpojumu organizēšanas un samaksas kārtība” 204.punktu, kas paredz NVD veikt samaksu arī par personām, kas saņem nieru aizstājterapiju, nepieciešams papildināt anotācijas 3.sadaļu “Tiesību akta projekta ietekme uz valsts budžetu un pašvaldību budžetiem” ar finansiālo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Finanšu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35.punkts paredz izteikt citā redakcijā MK 28.08.2018. noteikumu Nr.555 “Veselības aprūpes pakalpojumu organizēšanas un samaksas kārtība” 178.punktu, kas paredz arī veikt samaksu ģimenes ārstu praksēm, kurām vismaz 90% no mēnesī aprūpēto pacientu skaita ir personas bez noteiktas dzīvesvietas vai kuru dzīvesvieta ir deklarēta patversmē. Ņemot vērā, ka noteikumu projekta 35.punkts paplašina personu loku, par kuriem tiks veikta samaksa ģimenes ārstu praksēm, nepieciešams papildināt anotācijas 3.sadaļu “Tiesību akta projekta ietekme uz valsts budžetu un pašvaldību budžetiem” ar finansiālo ietekmi uz valsts budžetu. Vienlaikus lūdzam anotācijā sniegt skaidrojumu, pēc kādiem principiem ir aprēķināts procents “vismaz 90%”, kā arī norādīt ģimenes ārstu prakšu skaitu, kurās vismaz 90% ir personas bez noteiktas dzīvesvietas vai kuru dzīvesvieta ir deklarēta patversmē.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Finanšu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15.08.2024. iepazīstoties ar saskaņošanā nodoto noteikumu projektu, konstatēja sekojošo - lai gan projekta anotācijā bija rakstīts, ka projekts nodots publiskajā apspriešanā, minētajā datumā TAP portāla publiskajā vidē  netika konstatēts, ka sabiedrības pārstāvjiem būtu iespējas piedalīties publiskajā apspriešanā. Tomēr 16.08.2024. Veselības ministrijā tika saskaņota publiskās apspriešanas izsludināšana par noteikumu projektu no 19.08.-02.09.2024. Valsts kanceleja vērš uzmanību, ka noteikumu projekta vienlaicīga virzīšana līdzdalības iespējām un saskaņošanā nav atbalstāma prakse. Situācijā, kad vienā un tajā pašā termiņā (konkrētajā situācijā publiskajai apspriešanai pat ir garāks termiņš) norisinās publiskā apspriešana un saskaņošana, īpaši ieinteresētajām pusēm no sabiedrības pārstāvju vidus nav skaidrs, kurā procesā iesaistīties ar priekšlikumiem par tiem aktuālajiem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7.sadaļu, norādot, kā tiks nodrošināta noteikumu projektā paredzētā īstenošana.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Valsts kancelejas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aprēķinu anotācijas 3.pielikuma 2.punktā, attiecīgi precizējot informāciju anotācijas 3.sadaļas “Tiesību akta projekta ietekme uz valsts budžetu un pašvaldību budžetiem”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pielikums precizēts atbilstoši Finanšu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w:t>
            </w:r>
            <w:r w:rsidR="00000000" w:rsidRPr="00000000" w:rsidDel="00000000">
              <w:rPr>
                <w:vertAlign w:val="superscript"/>
                <w:rtl w:val="0"/>
              </w:rPr>
              <w:t xml:space="preserve">1</w:t>
            </w:r>
            <w:r w:rsidR="00000000" w:rsidRPr="00000000" w:rsidDel="00000000">
              <w:rPr>
                <w:rtl w:val="0"/>
              </w:rPr>
              <w:t xml:space="preserve"> nodrošina, ka ne vēlāk kā nākamās darbdienas laikā ģimenes ārsts vai viņa praksē nodarbināta ārstniecības persona sazinās ar bērna likumisko pārstāvi, lai atbilstoši šo noteikumu </w:t>
            </w:r>
            <w:r w:rsidR="00000000" w:rsidRPr="00000000" w:rsidDel="00000000">
              <w:rPr>
                <w:rtl w:val="0"/>
              </w:rPr>
              <w:t xml:space="preserve">90.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saņemtajai informācijai vienotos par turpmāko veselības aprūpi, ja ģimenes ārsts ir saņēmis informāciju par ģimenes ārsta pacientu sarakstā reģistrētā bērna veselības aprūpi valsts sabiedrības ar ierobežotu atbildību “Bērnu klīniskā universitātes slimnīca” uzņemšanas nodaļā, un šis bērns nav stacionēts;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Lauku ģimenes ārstu asociācija"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Lauku ģimenes ārstu asociācija (LLĢĀA) iebilst šī punkta ieviešanai. Asociācija norāda, ka vecāku vai bērna likumisko pārstāvju pienākums ir nodrošināt bērna vecumam atbilstošu drošu vidi un pienācīgu aprūpi, tostarp, arī nodrošināt veselības aprūpi atbilstoši bērna vajadzībām. MK noteikumu anotācijā ir minēts, ka BKUS ieskatā  vecāki bieži vien bezatbildīgi izturas pret bērnu veselību, neievēro ārstu rekomendācijas, nenodrošina atbilstošu ārstēšanās procesu un atkārtoti vēršas BKUS veselības stāvokļa pasliktināšanās dēļ. Minēto apstākļu dēļ BKUS rosina novirzīt atbildību uz ģimenes ārstu praksēm- ja bērns vērsies slimnīcas Uzņemšanas nodaļā un netiek stacionēts, tad atbildība par turpmāko </w:t>
            </w:r>
            <w:r w:rsidR="00000000" w:rsidRPr="00000000" w:rsidDel="00000000">
              <w:rPr>
                <w:rtl w:val="0"/>
              </w:rPr>
              <w:t xml:space="preserve">bērna veselības aprūpes nodrošināšanu </w:t>
            </w:r>
            <w:r w:rsidR="00000000" w:rsidRPr="00000000" w:rsidDel="00000000">
              <w:rPr>
                <w:rtl w:val="0"/>
              </w:rPr>
              <w:t xml:space="preserve">tiek novirzīta uz ārstniecības personu primārajā veselības aprūpē, nevis bērna likumisko pārstāvi. Asociācija uzstāj, ka atbildību par veselības aprūpes pakalpojumu nodrošināšanu un rekomendāciju izpildi jāuzņemas vecākiem. LLĢĀA neiebilst, ka e- veselības sistēmā būtu pieejams izraksts no BKUS par sniegto veselības aprūpes pakalpojumu un bērna veselības stāvokli. Minētā informācija noderētu gan turpinot bērna aprūpi, gan nodrošinot attālinātas konsultācijas nepieciešamības gadījumā, taču ģimene ārsta prakse nevar uzņemties atbildību par vecāku iesaisti bērna aprūpes nodrošināšanā. Asociācija norāda, ka, ja tiek konstatēts risks nepietiekamai bēran aprūpei, ir jāinformē sociālais dienests vai valsts policija, lai izvērtētu bērna aprūpi atbilstoši un novērstu iespējamos veselības riskus.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STARPMINISTRIJU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6.punkts  (Noteikumu Nr.555 36.6.</w:t>
            </w:r>
            <w:r w:rsidR="00000000" w:rsidRPr="00000000" w:rsidDel="00000000">
              <w:rPr>
                <w:vertAlign w:val="superscript"/>
                <w:rtl w:val="0"/>
              </w:rPr>
              <w:t xml:space="preserve">1 </w:t>
            </w:r>
            <w:r w:rsidR="00000000" w:rsidRPr="00000000" w:rsidDel="00000000">
              <w:rPr>
                <w:rtl w:val="0"/>
              </w:rPr>
              <w:t xml:space="preserve">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r w:rsidR="00000000" w:rsidRPr="00000000" w:rsidDel="00000000">
              <w:rPr>
                <w:vertAlign w:val="superscript"/>
                <w:rtl w:val="0"/>
              </w:rPr>
              <w:t xml:space="preserve">1</w:t>
            </w:r>
            <w:r w:rsidR="00000000" w:rsidRPr="00000000" w:rsidDel="00000000">
              <w:rPr>
                <w:rtl w:val="0"/>
              </w:rPr>
              <w:t xml:space="preserve"> Dienests šo noteikumu </w:t>
            </w:r>
            <w:r w:rsidR="00000000" w:rsidRPr="00000000" w:rsidDel="00000000">
              <w:rPr>
                <w:rtl w:val="0"/>
              </w:rPr>
              <w:t xml:space="preserve">11. </w:t>
            </w:r>
            <w:r w:rsidR="00000000" w:rsidRPr="00000000" w:rsidDel="00000000">
              <w:rPr>
                <w:rtl w:val="0"/>
              </w:rPr>
              <w:t xml:space="preserve">pielikuma</w:t>
            </w:r>
            <w:r w:rsidR="00000000" w:rsidRPr="00000000" w:rsidDel="00000000">
              <w:rPr>
                <w:rtl w:val="0"/>
              </w:rPr>
              <w:t xml:space="preserve">  17. punktā minēto nosacījumu, kas nosaka, ka maksājums par laikus atklātu vēzi ģimenes ārstam izmaksājams gadījumā, ja ģimenes ārsta pacientu sarakstā reģistrētā persona pēdējā gada laikā pirms diagnozes noteikšanas ir apmeklējusi ģimenes ārstu, piemēro ar 2025.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Lauku ģimenes ārstu asociācija"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LLĢĀA iebilst šīs normas ieviešanai. Pirmsšķietami varētu domāt, ka minētais kritērijs varētu norādīt uz ģimenes ārsta iesaisti vai nepietiekamu līdzdarbību onkoloģiskās slimības agrīnā diagnostikā. Asociācija, norāda, ka ģimenes ārstu prakses aktīvi iesaistās onkoloģisko saslimšanu agrīnā diagnostikā, piemēram, uzaicinot pacientus veikt skrīninga izmeklējumus, kas būtiski palielina atsaucību un izmeklējumu apmeklētību. Par minētiem uzaicinājumiem, skrīniga vēstuļu dublikātu izgatavošanu, pacientu motivāciju un izmeklējumu koordinēšanu netiek veidoti  taloni, kas liecinātu, ka pacients vērsies pēc paklapojuma praksē. Tāpat skrīniga izmeklējumi nav saistīti ar ikgadēju prakses apmeklēšanu, to intervāli retāki. Tātad šobrīd nevar apgalvot, ka, ja nav piefiksēts talons par prakses apmeklējumu, tad ģimenes ārsta prakse nav iesiastījusies vēža agrīnas diagnostikas darbā. Ņemot vērā iepriekšējo, punkts svītrojams.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STARPMINISTRIJU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46.punkts (Noteikumu Nr.555 280.</w:t>
            </w:r>
            <w:r w:rsidR="00000000" w:rsidRPr="00000000" w:rsidDel="00000000">
              <w:rPr>
                <w:vertAlign w:val="superscript"/>
                <w:rtl w:val="0"/>
              </w:rPr>
              <w:t xml:space="preserve">1</w:t>
            </w:r>
            <w:r w:rsidR="00000000" w:rsidRPr="00000000" w:rsidDel="00000000">
              <w:rPr>
                <w:rtl w:val="0"/>
              </w:rPr>
              <w:t xml:space="preserve"> punkts) svītrots, kā arī Noteikumu Nr.555 11.pielikuma "Primārās veselības aprūpes finansējuma plānošana" 17.punkts atjaunots tā spēkā esošajā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Aprūpes epizodes un to tarifi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Lauku ģimenes ārstu asociācija"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Lauku ģimenes ārstu asociācija iebilst pret 5.28 punktā norādīto epizodes apmaksas tarifu ģimenes ārstiem 8,71 Eur apmērā. Minētais tarifs neatbilst faktiskajām izmaksām, tas ir diskriminējošs salīdzinot ar citām specialitātēm. Pēc 5. punktā norādītajiem tarifierm izriet, ka ģimenes ārsta tarifs ir pielīdzināms ārsta palīga darba izmaksām. Vienlaicīgi, radniecīgām specialitātēm ir cits tarifs- piemēram, internistam tas ir 17,49 Eur un pediatram- 33,77 Eur!. Ņemot vērā ģimenes ārstu kompetenci un holistisku veselības aprūpes nodrošināšanu, asociācija uzstāj uz tarifa pielīdzināšanu kā iepriekš minētajās specialitātēs nodarbinātajiem.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STARPMINISTRIJU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noteikumu projekts neparedz izmaiņas aprūpes epizožu tarifos. Šī jautājuma risināšanai Latvijas Lauku Ģimenes ārstu asociācijai ar pamatojumu nepieciešams vērsties Nacionālajā veselības dienestā, lūdzot pārrēķināt tarifus.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Aprūpes epizodes un to tarifi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7.punkts paredz izteikt citā redakcijā MK 28.08.2018. noteikumu Nr.555 “Veselības aprūpes pakalpojumu organizēšanas un samaksas kārtība” 56.2.3.apakšpunktu, to papildinot ar diagnozi “Z22.7 - (latenta tuberkuloze)”. Anotācijas 1.3.sadaļas “Pašreizējā situācija, problēmas un risinājumi” apakšsadaļas “Risinājuma apraksts” 6.punktā norādīts, ka pirms šī koda izveidošanas pacientiem ar latentu tuberkulozi tika piemērots diagnozes kods - B90.9 (elpošanas orgānu un neprecizētas tuberkulozes sekas). Ņemot vērā, ka MK 28.08.2018. noteikumu Nr.555 “Veselības aprūpes pakalpojumu organizēšanas un samaksas kārtība” 56.2.3.apakšpunktā nav iekļauta diagnoze “B90.9”, nepieciešams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diagnozes kods B90 iekļauj vairākus tuberkulozes seku gadījumus, tai skaitā diagnozi B90.9 (detalizēti skatīt Starptautiskās statistiskās slimību un veselības problēmu klasifikācijas 10.redakcijā, pieejams šeit: https://ssk10.spkc.gov.lv/ssk/g_68).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1.3. apakšsadaļas risinājuma apraksta 1) apakšpunktu,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tajā ietvertā atsauce uz "</w:t>
            </w:r>
            <w:r w:rsidR="00000000" w:rsidRPr="00000000" w:rsidDel="00000000">
              <w:rPr>
                <w:i w:val="1"/>
                <w:rtl w:val="0"/>
              </w:rPr>
              <w:t xml:space="preserve">Tirdzniecības un sadarbības nolīgums starp Eiropas Savienību un Eiropas Atomenerģijas kopienu, no vienas puses, un Lielbritānijas un Ziemeļīrijas Apvienoto Karalisti, no otras puses</w:t>
            </w:r>
            <w:r w:rsidR="00000000" w:rsidRPr="00000000" w:rsidDel="00000000">
              <w:rPr>
                <w:rtl w:val="0"/>
              </w:rPr>
              <w:t xml:space="preserve">" un tā "</w:t>
            </w:r>
            <w:r w:rsidR="00000000" w:rsidRPr="00000000" w:rsidDel="00000000">
              <w:rPr>
                <w:i w:val="1"/>
                <w:rtl w:val="0"/>
              </w:rPr>
              <w:t xml:space="preserve">Protokols Par sociālā nodrošinājuma koordināciju</w:t>
            </w:r>
            <w:r w:rsidR="00000000" w:rsidRPr="00000000" w:rsidDel="00000000">
              <w:rPr>
                <w:rtl w:val="0"/>
              </w:rPr>
              <w:t xml:space="preserve">" ir šķietami neprecīza. Proti, pašreizējās atsauces gan noteikumu projektā, gan anotācijā ir domājams neprecīzas, jo, piemēram, nolīgumā ir "Protokols Par sociālā nodrošinājuma koordināciju" nevis "Sociālās drošības koordinācijas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projektā tiek ieviesta atsauce tikai uz nolīguma protokolu, nevis atsevišķi gan nolīgumu, gan tā protokolu kā pašlaik saprotams no skaidrojuma anotācijas 1.3. apakšsadaļas risinājuma apraksta 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norādīts, ka noteikumu projekts paredz "</w:t>
            </w:r>
            <w:r w:rsidR="00000000" w:rsidRPr="00000000" w:rsidDel="00000000">
              <w:rPr>
                <w:i w:val="1"/>
                <w:rtl w:val="0"/>
              </w:rPr>
              <w:t xml:space="preserve">papildināt Noteikumus Nr.555 ar atsauci uz [..]</w:t>
            </w:r>
            <w:r w:rsidR="00000000" w:rsidRPr="00000000" w:rsidDel="00000000">
              <w:rPr>
                <w:rtl w:val="0"/>
              </w:rPr>
              <w:t xml:space="preserve">", kam seko uzskaitījums ar vairākām noteikumu projekta vienībām, to skaitā arī tādām, kurās nav ieviestas atsauces uz protokolu vai nolīgumu, piemēram, projekta 15.-29.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pastāv terminoloģiskas atšķirības starp protokolu un noteikumu projektu. Proti, noteikumu projektā lietota terminoloģija "veselības aprūpes pakalpojumus valsts obligātās veselības apdrošināšanas", bet protokola SSC.3. panta 1. punktā, kur noteiktas konkrētas jomas uz kurām šis protokols attiecas minēti, piemēram, "slimības pabalsti;", "invaliditātes pabalsti" vai "pabalsti attiecībā uz nelaimes gadījumiem darbā un arodslimībām;", kas acīm redzami nav vienādi termini. Attiecīgi, korektas protokola ieviešanas izpratnes nodrošināšanai, izslēdzot iespējami neatbilstošu terminoloģijas interpretāciju, iesakām skaidrot, uzsvērt konkrēto, no protokola SSC.3. panta 1. punkta izrietošo, attiecināmo jomu un tās izpratni noteikumu projekta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arī izvērst skaidrojumus par plānotajiem grozījumiem, to pamatojumu, nepieciešamību un saistību ar protokolu. Paužam bažas, ka pašreizējo skaidrojumu vispārīgums tiesību normu adresātiem nenodrošina konkrētu un pietiekami izvērstu izpratni par grozījumu būtību un saistību ar protokolu.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 un papildināta atbilstoši Tieslietu ministrijas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vērtējams vai ar tiesību akta projektā veiktajām izmaiņām tiek ietekmēts administratīvais slogs, un, vai izmainās informācijas sniegšanas pienākuma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tiesību aktā iekļauto informācijas sniegšanas pienākumu vērtējumu un atbilstoši vērtējumam veikt administratīvo izmaksu monetāru novērtējumu, kas aizpildāms par fiziskām un juridiskām personām anotācijas 2. sadaļas 2. apakšpunktā un valsts vai pašvaldību institūcijām 7. sadaļas 7.2.apakšpunktā.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vērtējams ir noteikumu projekta 20.-28. un 41. punkts par informācijas sniegšanas pienākumu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ietekme uz administratīvajām izmaksām nav.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5. sadaļu, ņemot vērā, ka atbilstoši noteikumu projekta redakcijai tiek ieviests Tirdzniecības un sadarbības nolīguma starp Eiropas Savienību un Eiropas Atomenerģijas kopienu, no vienas puses, un Lielbritānijas un Ziemeļīrijas Apvienoto Karalisti, no otras puses (turpmāk - nolīgums) Protokols par sociālā nodrošinājuma koordināciju (turpmāk - protokols) un veikt nepieciešamos precizējumus nolūkā nodrošināt tiesību normu adresātiem pilnīgu izpratni par plānotajiem grozījumiem un iespēju skaidri uztvert un izvērtēt tiesību akta projekta atbilstība Latvijas Republikas starptautiskajām saistībām.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viena no nolīguma slēdzējpusēm ir Eiropas Savienība un, ņemot vērā, ka Latvija ir Eiropas Savienības dalībvalsts, ar nolīgumu uzņemtās saistības ir saistošas arī Latvijai un nepieciešamības gadījumā ir ieviešamas, to korekti izvērtējot un atspoguļojot arī anotācijā. Attiecīgi lūdzam aizpildīt anotācijas 5. sadaļu, ievērojot "Vadlīnijas tiesību akta projekta sākotnējās ietekmes novērtēšanai un novērtējuma ziņojuma sagatavošanai Vienotajā tiesību aktu izstrādes un saskaņošanas portālā", jo pašreizējais skaidrojums anotācijas 5.3. apakšsadaļā par to, ka noteikumu projektā tiek vienkārši ietvertas atsauces uz protokolu ir šķietami nepilnīgs. Netiek nodrošināta pilnīga protokola ieviešanas izpratne. Domājams, noteikumu projekts tiek ne tikai vienkārši papildināts ar atsaucēm uz nolīguma protokolu, bet vienlaicīgi tiek nodrošināta tā ieviešana, jo arī atsauču ietveršana tiesību aktu projektos pēc būtības ir uzskatāma kā Eiropas Savienības un starptautisko tiesību aktu ieviešana, jo tādējādi tiek nodrošināta to prasību praktiskā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gan attiecībā uz anotācijas 5. sadaļu, gan noteikumu projektu lūdzam izvērtēt, vai noteikumu projekts tiešām ievieš visu protokolu un ir nepieciešams ietvert vispārīgu atsauci uz visu protokolu kopumā vai arī ir iespējams norādīt atsauci uz konkrētām protokola vienībām. Proti, lūdzam sniegt precīzu, izvērstu informāciju par protokola ieviešanu. Pārskatot atsauces, lūdzam ņemt vērā, ka protokols attiecas uz dažādām jomām, piemēram, slimības pabalstiem vai maternitātes pabalstiem, kas šķiet ir nesaistīti ar veselības aprūpes pakalpojumiem vai ar to saistīto veidlapu izsniegšanu.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anotācijas 5.sadaļu "Tiesību akta projekta atbilstība Latvijas Republikas starptautiskajām saistībām".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ņemot vērā, ka atbilstoši noteikumu projekta redakcijai tiek ieviests Tirdzniecības un sadarbības nolīguma starp Eiropas Savienību un Eiropas Atomenerģijas kopienu, no vienas puses, un Lielbritānijas un Ziemeļīrijas Apvienoto Karalisti, no otras puses (turpmāk - nolīgums) Protokols par sociālā nodrošinājuma koordināciju (turpmāk - protokols) un veikt nepieciešamos precizējumus nolūkā nodrošināt tiesību normu adresātiem pilnīgu izpratni par plānotajiem grozījumiem un iespēju skaidri uztvert un izvērtēt tiesību akta projekta atbilstība Latvijas Republikas starptautiskajām saistībām.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viena no nolīguma slēdzējpusēm ir Eiropas Savienība un, ņemot vērā, ka Latvija ir Eiropas Savienības dalībvalsts, ar nolīgumu uzņemtās saistības ir saistošas arī Latvijai un nepieciešamības gadījumā ir ieviešamas, to korekti izvērtējot un atspoguļojot arī anotācijā. Attiecīgi lūdzam aizpildīt anotācijas 5. sadaļu, ievērojot "Vadlīnijas tiesību akta projekta sākotnējās ietekmes novērtēšanai un novērtējuma ziņojuma sagatavošanai Vienotajā tiesību aktu izstrādes un saskaņošanas portālā", jo pašreizējais skaidrojums anotācijas 5.3. apakšsadaļā par to, ka noteikumu projektā tiek vienkārši ietvertas atsauces uz protokolu ir šķietami nepilnīgs. Netiek nodrošināta pilnīga protokola ieviešanas izpratne. Domājams, noteikumu projekts tiek ne tikai vienkārši papildināts ar atsaucēm uz nolīguma protokolu, bet vienlaicīgi tiek nodrošināta tā ieviešana, jo arī atsauču ietveršana tiesību aktu projektos pēc būtības ir uzskatāma kā Eiropas Savienības un starptautisko tiesību aktu ieviešana, jo tādējādi tiek nodrošināta to prasību praktiskā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gan attiecībā uz anotācijas 5. sadaļu, gan noteikumu projektu lūdzam izvērtēt, vai noteikumu projekts tiešām ievieš visu protokolu un ir nepieciešams ietvert vispārīgu atsauci uz visu protokolu kopumā vai arī ir iespējams norādīt atsauci uz konkrētām protokola vienībām. Proti, lūdzam sniegt precīzu, izvērstu informāciju par protokola ieviešanu. Pārskatot atsauces, lūdzam ņemt vērā, ka protokols attiecas uz dažādām jomām, piemēram, slimības pabalstiem vai maternitātes pabalstiem, kas šķiet ir nesaistīti ar veselības aprūpes pakalpojumiem vai ar to saistīto veidlapu izsniegšanu. Gadījumā, ja tomēr ir nepieciešama vispārīga atsauce, iesakām šo nepieciešamību pamatot.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 un papildināta atbilstoši Tieslietu ministrijas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tiesību akta noteikumu projekta atbilstību Latvijas Republikas starptautiskajām saistībām, ņemot vērā, ka atbilstoši Ministru kabineta 2018. gada 28. augusta noteikumos Nr. 555 "Veselības aprūpes pakalpojumu organizēšanas un samaksas kārtība" (turpmāk - noteikumi Nr.555) iepriekš veiktajiem grozījumiem un to sākotnējās redakcijas anotācijā sniegtajai informācijai, ar projektā grozījumiem pakļautajiem punktiem ir ieviestas arī, piemēram, Eiropas Parlamenta un Padomes 2011. gada 9. marta Direktīva 2011/24/ES par pacientu tiesību piemērošanu pārrobežu veselības aprūpē tiesību normas, piemēram, 7. panta 1., 3., 4., 6. punkts (noteikumu Nr.555 205.2. apakšpunkts) un Eiropas Parlamenta un Padomes 2004. gada 29. aprīļa Regulas (EK) Nr. 883/2004 par sociālās nodrošināšanas sistēmu koordinēšanu (Dokuments attiecas uz EEZ un Šveici) 24.-28. pants (noteikumu Nr.555 124.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noteikumu projektu un izvērtēt, vai uz to attiecināmās, noteikumu projekta anotācijā nenorādītās, iepriekš pārņemtās un ieviestās, Eiropas Savienības tiesību normas joprojām ir attiecināmas. Šādā gadījumā, iesakām papildināt anotāciju ar norādēm uz attiecināmajām Eiropas Savienības tiesību normām vai vispārīgi norādīt, ka līdz šim pārņemtās/ieviestās, no Eiropas Savienības tiesību normām izrietošās prasības netiek mainītas,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 un papildināta atbilstoši Tieslietu ministrijas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vērtējams vai ar tiesību akta projektā veiktajām izmaiņām tiek ietekmēts administratīvais slogs, un, vai izmainās informācijas sniegšanas pienākuma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tiesību aktā iekļauto informācijas sniegšanas pienākumu vērtējumu un atbilstoši vērtējumam veikt administratīvo izmaksu monetāru novērtējumu, kas aizpildāms par fiziskām un juridiskām personām anotācijas 2. sadaļas 2. apakšpunktā un valsts vai pašvaldību institūcijām 7. sadaļas 7.2.apakšpunktā.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vērtējams ir noteikumu projekta 10. punkts par informācijas sniegšanas pienākumu valsts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ietekme uz administratīvajām izmaksām nav.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3.pielikuma ailē “Prognozētais finansējums (2024.gada oktobris - decembris), euro” precizēt norādīto mēnesi, t.i. “oktobris” vietā, norādot “novembris”.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projekta 4.pielikumu noformēt kā noteikumu projekta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4.pielikums ir pievienots datnes veidā.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24-TA-1255</w:t>
    </w:r>
    <w:r>
      <w:br/>
    </w:r>
    <w:r w:rsidR="00000000" w:rsidRPr="00000000" w:rsidDel="00000000">
      <w:rPr>
        <w:rtl w:val="0"/>
      </w:rPr>
      <w:t xml:space="preserve">28.10.2024. 21.51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24-TA-1255</w:t>
    </w:r>
    <w:r>
      <w:br/>
    </w:r>
    <w:r w:rsidR="00000000" w:rsidRPr="00000000" w:rsidDel="00000000">
      <w:rPr>
        <w:rtl w:val="0"/>
      </w:rPr>
      <w:t xml:space="preserve">28.10.2024. 21.51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Izziņa_24-TA-1255.docx</dc:title>
</cp:coreProperties>
</file>

<file path=docProps/custom.xml><?xml version="1.0" encoding="utf-8"?>
<Properties xmlns="http://schemas.openxmlformats.org/officeDocument/2006/custom-properties" xmlns:vt="http://schemas.openxmlformats.org/officeDocument/2006/docPropsVTypes"/>
</file>