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22-TA-1650: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"Resursu efektivitāte un pievienotās vērtības radīšana zvejas produktiem"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"Resursu efektivitāte un pievienotās vērtības radīšana zvejas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Rīcības programmas zivsaimniecības attīstībai 2021.–2027.gadam apstiprināšanu Eiropas Komisijā, ņemot vērā, ka noteikumu projekta virzība būtu atbalstāma pēc tās apstiprināšanas. Ja Zemkopības ministrijas ieskatā noteikumu projekta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atbalsta sniegšanu noteikumu projektā paredzētais atbalsts tiks īstenots saskaņā ar regulas 2021/1060 63. panta 2. punktu, kas nosaka ka izdevumi ir attiecināmi no EJZAF, ja tie atbalsta saņēmējam radušies un apmaksāti darbību īstenošanas gaitā laikposmā no dienas, kad programma iesniegta Komisijai vai no 2021. gada 1. janvāra – atkarībā no tā, kurš no minētajiem datumiem ir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"Resursu efektivitāte un pievienotās vērtības radīšana zvejas produktiem"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biedrība, kura ir reģistrēta saskaņā ar </w:t>
            </w:r>
            <w:r w:rsidR="00000000" w:rsidRPr="00000000" w:rsidDel="00000000">
              <w:rPr>
                <w:rtl w:val="0"/>
              </w:rPr>
              <w:t xml:space="preserve">Biedrību un nodibinājumu likumu</w:t>
            </w:r>
            <w:r w:rsidR="00000000" w:rsidRPr="00000000" w:rsidDel="00000000">
              <w:rPr>
                <w:rtl w:val="0"/>
              </w:rPr>
              <w:t xml:space="preserve"> un kuras ne mazāk kā trīs biedru komercdarbības joma galvenokārt ir zvejniecība, izņemot zveju iekšējos ūdeņos;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6.2.apakšpunktam pretendents ir biedrība, kura ir reģistrēta saskaņā ar Biedrību un nodibinājumu likumu un kuras ne mazāk kā trīs biedru komercdarbības joma galvenokārt ir zvejniecība, izņemot zveju iekšējos ūdeņos. Biedrību un nodibinājumu likuma 7. panta pirmā daļa noteic, ka biedrībai un nodibinājumam ir tiesības papilddarbības veidā veikt saimniecisko darbību, kas saistīta ar sava īpašuma uzturēšanu vai izmantošanu, kā arī veikt citu saimniecisko darbību, lai sasniegtu biedrības un nodibinājuma mērķus. Tādējādi biedrībai ir tiesības nodarboties ar saimniecisko darbību, nevis komercdarbību. Ja atbilstoši projekta mērķim, biedrības biedru komercdarbība ir saprotama kā atsevišķu juridisku personu (piemēram, SIA) komercdarbība, tādā gadījumā, lūdzam šādu skaidrojumu iekļaut projekta anotācijā, lai neradītu šaubas par biedrības darbību un to mērķu sasaisti ar komercdarbību, kā arī izvērtēt iespēju atbilstoši precizēt projekta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ir arī tāda biedrība, kas reģistrēta saskaņā ar Biedrību un nodibinājumu likumu, kas neveic komercdarbību, bet, kurā ir vismaz trīs biedri, kas veic komercdarbību, galvenokārt zvejniecībā. Tādējādi tiek veicināta zvejniecībā iesaistīto komersantu kopējā sadarbība, piemēram, izmantojot kopīgu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biedrība, kura ir reģistrēta saskaņā ar </w:t>
            </w:r>
            <w:r w:rsidR="00000000" w:rsidRPr="00000000" w:rsidDel="00000000">
              <w:rPr>
                <w:rtl w:val="0"/>
              </w:rPr>
              <w:t xml:space="preserve">Biedrību un nodibinājumu likumu</w:t>
            </w:r>
            <w:r w:rsidR="00000000" w:rsidRPr="00000000" w:rsidDel="00000000">
              <w:rPr>
                <w:rtl w:val="0"/>
              </w:rPr>
              <w:t xml:space="preserve"> un kuras ne mazāk kā trīs biedru komercdarbības joma galvenokārt ir zvejniecība, izņemot zveju iekšējos ūdeņos;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projekta īstenošanas atbalsta saņēmējs sasniedz vismaz vienu no rezultātu rādītājiem saskaņā ar regulas </w:t>
            </w:r>
            <w:r w:rsidR="00000000" w:rsidRPr="00000000" w:rsidDel="00000000">
              <w:rPr>
                <w:rtl w:val="0"/>
              </w:rPr>
              <w:t xml:space="preserve">2021/1139 </w:t>
            </w:r>
            <w:r w:rsidR="00000000" w:rsidRPr="00000000" w:rsidDel="00000000">
              <w:rPr>
                <w:rtl w:val="0"/>
              </w:rPr>
              <w:t xml:space="preserve"> </w:t>
            </w:r>
            <w:r w:rsidR="00000000" w:rsidRPr="00000000" w:rsidDel="00000000">
              <w:rPr>
                <w:rtl w:val="0"/>
              </w:rPr>
              <w:t xml:space="preserve">1. pielikumu. Projekta iesniegumā norāda rādītāju vērtību par pēdējo noslēgto gadu pirms projekta iesniegšanas un plānoto rezultātu pēc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sekām finansējuma saņēmējam gadījumos, kad projekta mērķis nav sasniegts (neskaitot 11. punktā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saņēmējs nav izpildījis kādu no plānotiem mērķiem, tad saskaņā ar noteikumiem par valsts un Eiropas Savienības atbalsta piešķiršanu, administrēšanu un uzraudzību zivsaimniecības attīstībai 2021.–2027. gada plānošanas periodā tiek piemērotas atbilstošās finanšu korekcijas, tostarp izvērtējot projekta atbilstību Eiropas Savienības normatīvo aktu prasībām novēršot krāpšanu un mākslīgi radītos apstākļus publiskā finansējuma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projekta īstenošanas atbalsta saņēmējs sasniedz vismaz vienu no rezultātu rādītājiem saskaņā ar regulas </w:t>
            </w:r>
            <w:r w:rsidR="00000000" w:rsidRPr="00000000" w:rsidDel="00000000">
              <w:rPr>
                <w:rtl w:val="0"/>
              </w:rPr>
              <w:t xml:space="preserve">2021/1139</w:t>
            </w:r>
            <w:r w:rsidR="00000000" w:rsidRPr="00000000" w:rsidDel="00000000">
              <w:rPr>
                <w:rtl w:val="0"/>
              </w:rPr>
              <w:t xml:space="preserve"> 1. pielikumu. Projekta iesniegumā norāda rādītāju vērtību par pēdējo noslēgto gadu pirms projekta iesniegšanas un plānoto rezultātu pēc projekta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tāda pamatlīdzekļa iegādi, kurš būtiski maina ražošanas vai tehnoloģiju raksturu;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13.2. apakšpunktā minēts jēdziens  ”būtisks” ir ļoti subjektīvs un šī jēdziena interpretācijai ir tieša ietekme uz finansējuma saņēmēju. Lai nodrošinātu minētā apakšpunkta nepārprotamu izpratni un vienveidīgu piemērošanu praksē, lūdzam precizēt minēto apakšpunktu, izsmeļoši norādot, kāda pamatlīdzekļa iegāde ir uzskatāma par tādu, kas būtiski mana ražošanas vai teholoģijas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tāda pamatlīdzekļa iegādi, kurš maina ražošanas vai tehnoloģiju raksturu;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Attiecināmas ir tikai tās būvprojekta tāmes pozīcijas un būvmateriāli, kas ir tiešā veidā saistīti ar konkrētā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 punktu, jo regulējumā nav juridiskās slodzes vai arī projekta anotācijā pamatot šādas normas nepieciešamību. Norādām, ka, ja projektā ir paredzēta būvniecība, tad pēc būtības būvprojekta tāmes pozīcijas un būvmateriāli ir nepieciešami pasākuma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par tādu apakšlīgumu slēgšanu, kuri mākslīgi un nepamatoti palielina projekta izmaksas un kuros samaksa ir noteikta procentos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papildināt noteikumu projektu, nosakot,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saņēmējs nav izpildījis kādu no plānotiem mērķiem, tad saskaņā ar noteikumiem par valsts un Eiropas Savienības atbalsta piešķiršanu, administrēšanu un uzraudzību zivsaimniecības attīstībai 2021.–2027. gada plānošanas periodā tiek piemērotas atbilstošās finanšu korekcijas, tostarp izvērtējot projekta atbilstību Eiropas Savienības normatīvo aktu prasībām novēršot krāpšanu un mākslīgi radītos apstākļus publiskā finansējuma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par tādu apakšlīgumu slēgšanu, kuri mākslīgi un nepamatoti palielina projekta izmaksas un kuros samaksa ir noteikta procentos no kopējām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kartību, kādā Lauku atbalsta dienests veic novērtējumu, un pēc kādiem kritērijiem, datiem tiks vērtētas “vidējās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saņēmējs nav izpildījis kādu no plānotiem mērķiem, tad saskaņā ar noteikumiem par valsts un Eiropas Savienības atbalsta piešķiršanu, administrēšanu un uzraudzību zivsaimniecības attīstībai 2021.–2027. gada plānošanas periodā tiek piemērotas atbilstošās finanšu korekcijas, tostarp izvērtējot projekta atbilstību Eiropas Savienības normatīvo aktu prasībām novēršot krāpšanu un mākslīgi radītos apstākļus publiskā finansējuma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Rīcības programmas zivsaimniecības attīstībai 2021.–2027. gadam mērķa ietvaros pasākums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EJZAF Rīcības programmu zivsaimniecības attīstībai 2021.–2027. gadam atbalsta pasākums paredzēts zem 1. prioritātes Veicināt ilgtspējīgu zvejniecību un ūdeņu bioloģisko resursu atjaunošanu un saglabāšanu, 1.1. Konkrētā mērķa Ekonomiski, sociāli un vides ziņā ilgtspējīgu zvejas darbību 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EJZAF finansējumu un valsts budžeta finansējums norādīt veselos euro (attiecīgi 10 078 555 euro un 4 319 381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izziņas 8.p. priekšlikumā norādītajam precizējumam norādot valsts budžeta finansējumu veselos euro summu noaapļot uz 4 319 381 euro, jo pretējā gadījumā atbilstoši šobrīd precizētajam valsts budžeta finansējums 4 319 380 euro, līdz ar ko kopējais pieejamais finansējums atbilstoši iepriekš norādītajam arī būtu norādāms par 1 euro mazāk.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un Eiropas Savienības atbalsta piešķiršanas kārtība pasākumā "Resursu efektivitāte un pievienotās vērtības radīšana zvejas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izziņas 1.p. iebildumā jau norādītajam Ministru kabineta protokollēmuma projektam pievienot attiecīgo punktu (līdzīgi kā tika pamatots un noteikts Zemkopības ministrijas sagatavotajai tiesību aktu lietai Nr.22-TA-1805).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un Eiropas Savienības atbalsta piešķiršanas kārtība pasākumā "Resursu efektivitāte un pievienotās vērtības radīšana zvejas produktiem""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22-TA-1650</w:t>
    </w:r>
    <w:r>
      <w:br/>
    </w:r>
    <w:r w:rsidR="00000000" w:rsidRPr="00000000" w:rsidDel="00000000">
      <w:rPr>
        <w:rtl w:val="0"/>
      </w:rPr>
      <w:t xml:space="preserve">09.08.2022. 14.04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22-TA-1650</w:t>
    </w:r>
    <w:r>
      <w:br/>
    </w:r>
    <w:r w:rsidR="00000000" w:rsidRPr="00000000" w:rsidDel="00000000">
      <w:rPr>
        <w:rtl w:val="0"/>
      </w:rPr>
      <w:t xml:space="preserve">09.08.2022. 14.04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Izziņa_22-TA-1650.docx</dc:title>
</cp:coreProperties>
</file>

<file path=docProps/custom.xml><?xml version="1.0" encoding="utf-8"?>
<Properties xmlns="http://schemas.openxmlformats.org/officeDocument/2006/custom-properties" xmlns:vt="http://schemas.openxmlformats.org/officeDocument/2006/docPropsVTypes"/>
</file>