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26-TA-331: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7. jūnija noteikumos Nr. 348 "Spiedieniekārtu un to kompleksu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15.04.2026. 19:41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11.</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Atbilstības prezumpcija un tirgus uzraudzība spiedieniekārtām un to kompleksiem,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13</w:t>
            </w:r>
            <w:r w:rsidR="00000000" w:rsidRPr="00000000" w:rsidDel="00000000">
              <w:rPr>
                <w:rtl w:val="0"/>
              </w:rPr>
              <w:t xml:space="preserve"> Spiedieniekārtas un to kompleksi, kuras ar Eiropas Savienības tieši piemērojamiem tiesību aktiem atzītas par krīzē būtiskām precēm, uzskaitot piemērojamos standartus vai nosakot kopējas specifikācijas spiedieniekārtām un to kompleksiem,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14</w:t>
            </w:r>
            <w:r w:rsidR="00000000" w:rsidRPr="00000000" w:rsidDel="00000000">
              <w:rPr>
                <w:rtl w:val="0"/>
              </w:rPr>
              <w:t xml:space="preserve"> Ja vien nav pietiekama iemesla uzskatīt, ka spiedieniekārtas un to kompleksi, uz kurām attiecas standarti vai kopējās specifikācijas, kas minētas 396.</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spiedieniekārtās un to kompleksi, kas atbilst minētajiem standartiem vai kopējām specifikācijām un kas laistas tirgū, uzskata par atbilstošām šo noteikumu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spiedieniekārtām un to kompleksiem, kuras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konsekventi atsaukties uz "Eiropas Savienības</w:t>
            </w:r>
            <w:r w:rsidR="00000000" w:rsidRPr="00000000" w:rsidDel="00000000">
              <w:rPr>
                <w:u w:val="single"/>
                <w:rtl w:val="0"/>
              </w:rPr>
              <w:t xml:space="preserve"> tieši piemērojamiem</w:t>
            </w:r>
            <w:r w:rsidR="00000000" w:rsidRPr="00000000" w:rsidDel="00000000">
              <w:rPr>
                <w:rtl w:val="0"/>
              </w:rPr>
              <w:t xml:space="preserve"> tiesību aktiem", anotācijā atspoguļojot to izpratni, jo norāde "Eiropas Komisijas īstenošanas aktos norādītie standarti vai kopējās specifikācijas" nenodrošina izpratni, kādi Eiropas Komisijas īstenošanas akti ar to saprotami, turklāt ar īstenošanas aktiem var tikt saprastas arī direktīvas un dalībvalstīm adresēti lēmumi, kas privātpersonām kļūst saistoši tikai pēc to pārņemšanas Latvijas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Saprotams, ka Eiropas Komisijas īstenošanas akti var tikt pieņemti dažādās juridiskajās formās. Vienlaikus, lai nodrošinātu direktīvā paredzētā mehānisma korektu pārņemšanu, noteikumu projektā ir noteikts regulējums, paredzot, ka attiecīgās tiesiskās sekas iestājas, ja Eiropas Komisija saskaņā ar Eiropas Savienības tiesību aktiem ar īstenošanas aktu nosaka konkrētas preces kā krīzē būtiskas. Tādējādi tiek nodrošināta atbilstība gan direktīvas prasībām, gan juridiskās tehnikas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11.</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Atbilstības prezumpcija un tirgus uzraudzība spiedieniekārtām un to kompleksiem,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13</w:t>
            </w:r>
            <w:r w:rsidR="00000000" w:rsidRPr="00000000" w:rsidDel="00000000">
              <w:rPr>
                <w:rtl w:val="0"/>
              </w:rPr>
              <w:t xml:space="preserve"> Spiedieniekārtas un to kompleksi, kuras ar Eiropas Savienības tieši piemērojamiem tiesību aktiem atzītas par krīzē būtiskām precēm, uzskaitot piemērojamos standartus vai nosakot kopējas specifikācijas spiedieniekārtām un to kompleksiem,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14</w:t>
            </w:r>
            <w:r w:rsidR="00000000" w:rsidRPr="00000000" w:rsidDel="00000000">
              <w:rPr>
                <w:rtl w:val="0"/>
              </w:rPr>
              <w:t xml:space="preserve"> Ja vien nav pietiekama iemesla uzskatīt, ka spiedieniekārtas un to kompleksi, uz kurām attiecas standarti vai kopējās specifikācijas, kas minētas 396.</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spiedieniekārtās un to kompleksi, kas atbilst minētajiem standartiem vai kopējām specifikācijām un kas laistas tirgū, uzskata par atbilstošām šo noteikumu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spiedieniekārtām un to kompleksiem, kuras atzītas par krīzē būtisku preci."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3. punktu vai izvērst skaidrojumus projekta anotācijā, nodrošinot pienācīgu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10. panta 2. punkta pārņemšanu. Direktīvas 2024/2749 10. panta 2. punkts (Eiropas Parlamenta un Padomes 2014. gada 15. maija Direktīvas 2014/68/ES par dalībvalstu tiesību aktu saskaņošanu attiecībā uz spiedieniekārtu pieejamību tirgū (turpmāk - Direktīva 2014/68) 43.c pants 5. punkts) noteic, ka spiedieniekārtu un to kompleksu ražotāji apliecina arī to, ka "ir atbildīgi par visu kompetentās valsts iestādes norādīto atbilstības novērtēšanas procedūru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2024/2749 10. panta 2. punktā (43.c pants 5. punkts) ietvertais pienākums, ka ražotājs ir atbildīgs par visu kompetentās valsts iestādes norādīto atbilstības novērtēšanas procedūru izpildi, pēc būtības ir saistīts ar kompetentās iestādes izsniegtās ārkārtas atļaujas nosacījumu ievērošanu. Noteikumu projektā jau paredzētas tirgus uzraudzības iestādes tiesības atļaujā noteikt konkrētas procedūras un prasības, kā arī ekonomikas dalībnieka pienākums iesniegt dokumentāciju un ievērot atļaujas nosacījumus. Līdz ar to minētais pienākums no sistēmiskā viedokļa jau izriet no projektā paredzētā regulējuma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pārskatīt un nepieciešamības gadījumā precizēt anotācijas 5.4. apakšsadaļu, nolūkā nodrošināt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2024/2749 10. panta 2. apakšpunkts (Direktīvas 2014/68 43.b pants) nesatur Komisijai adresētas tiesību normas. Direktīvas 2014/68 43.b panta 1. punkts vispārīgi nosaka to, ka pantu piemēro visām spiedieniekārtām un to kompleksiem, kas uzskaitīti 43.a panta 1. punktā minētajā īstenošanas aktā, bet pats Komisijas pienākums izdot šo īstenošanas aktu izriet no citām tiesību normām un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Direktīvu 2024/2749 tiek grozīta Direktīva 2014/68, attiecīgi nepieciešams precīzi atsaukties uz Eiropas Savienības tiesību normām, proti, iekavās norādīt korespondējošo tiesību normu, piemēram, šādi: 10. panta 2. apakšpunkts (Direktīvas 2014/68 43.b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projekta redakcijai tā 5. un 6. punkts pārņem arī Direktīvas2024/2749 11.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nepieciešams skaidrot, kā tiks nodrošināta Direktīvas 2024/2749 prasību pārņemšana pilnībā, jo projekts pārņem tikai tās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skaidrojumam izziņas 2. punktā, saprotams, ka ne tikai projekta 3.punkts (Ministru kabineta 2016. gada 7. jūnija noteikumu Nr. 348 "Spiedieniekārtu un to kompleksu noteikumi" 396.</w:t>
            </w:r>
            <w:r w:rsidR="00000000" w:rsidRPr="00000000" w:rsidDel="00000000">
              <w:rPr>
                <w:vertAlign w:val="superscript"/>
                <w:rtl w:val="0"/>
              </w:rPr>
              <w:t xml:space="preserve">7</w:t>
            </w:r>
            <w:r w:rsidR="00000000" w:rsidRPr="00000000" w:rsidDel="00000000">
              <w:rPr>
                <w:rtl w:val="0"/>
              </w:rPr>
              <w:t xml:space="preserve"> punkts) pārņem 10. panta 2. apakšpunktu (Direktīvas 2014/68 43.c panta 1.-2.punkts), bet arī cits tiesību akts, no kura izriet kas saprotams ar norādāmo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un 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13.03.2026. 17:19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11.</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Spiedieniekārtu un to kompleksu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1 </w:t>
            </w:r>
            <w:r w:rsidR="00000000" w:rsidRPr="00000000" w:rsidDel="00000000">
              <w:rPr>
                <w:rtl w:val="0"/>
              </w:rPr>
              <w:t xml:space="preserve">Paziņotā institūcija prioritārā kārtā izskata pieteikumus par tādu spiedieniekārtu un to kompleksu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396.</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3</w:t>
            </w:r>
            <w:r w:rsidR="00000000" w:rsidRPr="00000000" w:rsidDel="00000000">
              <w:rPr>
                <w:rtl w:val="0"/>
              </w:rPr>
              <w:t xml:space="preserve"> Paziņotā institūcija krīzes gadījumā cenšas palielināt savas testēšanas iespējas attiecībā uz spiedieniekārtām un to kompleksiem, kas atzītas par krīzē būtisku preci un par kurām tām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projektu, ņemot vērā, ka atbilstoši juridiskās tehnikas prasībām tiesību normai ir jābūt skaidrai un nepārprotamai, lai tās lietotāji un piemērotāji precīzi izprastu normu būtību. Skaidrojam, ka tādi formulējumi kā "</w:t>
            </w:r>
            <w:r w:rsidR="00000000" w:rsidRPr="00000000" w:rsidDel="00000000">
              <w:rPr>
                <w:i w:val="1"/>
                <w:rtl w:val="0"/>
              </w:rPr>
              <w:t xml:space="preserve">nesamērīgas papildus izmaksas</w:t>
            </w:r>
            <w:r w:rsidR="00000000" w:rsidRPr="00000000" w:rsidDel="00000000">
              <w:rPr>
                <w:rtl w:val="0"/>
              </w:rPr>
              <w:t xml:space="preserve">", "</w:t>
            </w:r>
            <w:r w:rsidR="00000000" w:rsidRPr="00000000" w:rsidDel="00000000">
              <w:rPr>
                <w:i w:val="1"/>
                <w:u w:val="single"/>
                <w:rtl w:val="0"/>
              </w:rPr>
              <w:t xml:space="preserve">cenšas</w:t>
            </w:r>
            <w:r w:rsidR="00000000" w:rsidRPr="00000000" w:rsidDel="00000000">
              <w:rPr>
                <w:rtl w:val="0"/>
              </w:rPr>
              <w:t xml:space="preserve"> </w:t>
            </w:r>
            <w:r w:rsidR="00000000" w:rsidRPr="00000000" w:rsidDel="00000000">
              <w:rPr>
                <w:i w:val="1"/>
                <w:rtl w:val="0"/>
              </w:rPr>
              <w:t xml:space="preserve">palielināt savas testēšanas iespēja</w:t>
            </w:r>
            <w:r w:rsidR="00000000" w:rsidRPr="00000000" w:rsidDel="00000000">
              <w:rPr>
                <w:rtl w:val="0"/>
              </w:rPr>
              <w:t xml:space="preserve">s" vai "</w:t>
            </w:r>
            <w:r w:rsidR="00000000" w:rsidRPr="00000000" w:rsidDel="00000000">
              <w:rPr>
                <w:i w:val="1"/>
                <w:rtl w:val="0"/>
              </w:rPr>
              <w:t xml:space="preserve">pietiekams iemesls</w:t>
            </w:r>
            <w:r w:rsidR="00000000" w:rsidRPr="00000000" w:rsidDel="00000000">
              <w:rPr>
                <w:rtl w:val="0"/>
              </w:rPr>
              <w:t xml:space="preserve">" nenodrošina tiesību normu adresātiem tiešu un konkrētu projekta izpratni. Alternatīvi iesakām sniegt izvērstus skaidrojumus anotācijā, tajā skaitā skaidrojot arī kādos gadījumos attiecināms projektā lietotais termins “krīzes gadījums”.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un attiecīgi 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11.</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Spiedieniekārtu un to kompleksu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1 </w:t>
            </w:r>
            <w:r w:rsidR="00000000" w:rsidRPr="00000000" w:rsidDel="00000000">
              <w:rPr>
                <w:rtl w:val="0"/>
              </w:rPr>
              <w:t xml:space="preserve">Paziņotā institūcija prioritārā kārtā izskata pieteikumus par tādu spiedieniekārtu un to kompleksu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396.</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3</w:t>
            </w:r>
            <w:r w:rsidR="00000000" w:rsidRPr="00000000" w:rsidDel="00000000">
              <w:rPr>
                <w:rtl w:val="0"/>
              </w:rPr>
              <w:t xml:space="preserve"> Paziņotā institūcija krīzes gadījumā cenšas palielināt savas testēšanas iespējas attiecībā uz spiedieniekārtām un to kompleksiem, kas atzītas par krīzē būtisku preci un par kurām tām ir paziņots."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 spiedieniekārtu un to kompleksu, kam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3. punktu vai izvērst skaidrojumus projekta anotācijā, nodrošinot pienācīgu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10. panta 2. punkta (Eiropas Parlamenta un Padomes 2014. gada 15. maija Direktīvas 2014/68/ES par dalībvalstu tiesību aktu saskaņošanu attiecībā uz spiedieniekārtu pieejamību tirgū (turpmāk - Direktīva 2014/68) 43.c panta) pārņemšanu.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3. punkts (grozīto noteikumu (turpmāk - Noteikumi) 396.</w:t>
            </w:r>
            <w:r w:rsidR="00000000" w:rsidRPr="00000000" w:rsidDel="00000000">
              <w:rPr>
                <w:vertAlign w:val="superscript"/>
                <w:rtl w:val="0"/>
              </w:rPr>
              <w:t xml:space="preserve">7</w:t>
            </w:r>
            <w:r w:rsidR="00000000" w:rsidRPr="00000000" w:rsidDel="00000000">
              <w:rPr>
                <w:rtl w:val="0"/>
              </w:rPr>
              <w:t xml:space="preserve"> punkts) nosaka, ka informācija ir valsts valodā, tā ir skaidra un saprotama, bet ne to, kas saprotams ar norādāmo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norādot uz pilnīgu Eiropas Savienības tiesību normas pārņemšanu, tas tā arī jānodrošina un nepieciešamības gadījumā jāsniedz papildus skaidrojumi pilnīgai izpratnei.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Direktīvas 2024/2749 10. panta 2. punktā (Direktīvas 2014/68 43.c pants 1. punkts) paredz, ka "</w:t>
            </w:r>
            <w:r w:rsidR="00000000" w:rsidRPr="00000000" w:rsidDel="00000000">
              <w:rPr>
                <w:i w:val="1"/>
                <w:rtl w:val="0"/>
              </w:rPr>
              <w:t xml:space="preserve">var atļaut laist tirgū vai izmantot</w:t>
            </w:r>
            <w:r w:rsidR="00000000" w:rsidRPr="00000000" w:rsidDel="00000000">
              <w:rPr>
                <w:rtl w:val="0"/>
              </w:rPr>
              <w:t xml:space="preserve">", bet projekta 3. punkts (Noteikumu 396.</w:t>
            </w:r>
            <w:r w:rsidR="00000000" w:rsidRPr="00000000" w:rsidDel="00000000">
              <w:rPr>
                <w:vertAlign w:val="superscript"/>
                <w:rtl w:val="0"/>
              </w:rPr>
              <w:t xml:space="preserve">4 </w:t>
            </w:r>
            <w:r w:rsidR="00000000" w:rsidRPr="00000000" w:rsidDel="00000000">
              <w:rPr>
                <w:rtl w:val="0"/>
              </w:rPr>
              <w:t xml:space="preserve">punkts) nosaka, ka var izsniegt atļauju tikai laišanai tirgū. Direktīvas 2024/2749 10. panta 2. punktā (Direktīvas 2014/68 43.c panta 2. punkta 2. daļa) līdz ar laišanu tirgū noteikta arī izmantošana "</w:t>
            </w:r>
            <w:r w:rsidR="00000000" w:rsidRPr="00000000" w:rsidDel="00000000">
              <w:rPr>
                <w:i w:val="1"/>
                <w:rtl w:val="0"/>
              </w:rPr>
              <w:t xml:space="preserve">ražotāja paša vajadzībām</w:t>
            </w:r>
            <w:r w:rsidR="00000000" w:rsidRPr="00000000" w:rsidDel="00000000">
              <w:rPr>
                <w:rtl w:val="0"/>
              </w:rPr>
              <w:t xml:space="preserve">", kā arī tas, ka ne tikai informācijai, bet arī marķējumam jābūt skaidram, saprotamam un viegli uztveramam;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Direktīvas 2024/2749 10. panta 2. punkts (Direktīvas 2010/43 33.c pants 7. punkts) nosaka arī to, ka attiecībā uz spiedieniekārtām vai to kompleksiem netiek piemērots Direktīvas 2010/43 5.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Direktīvas 2024/2749 10. panta 2. punkts (Direktīvas 2014/68 43.c pants 5. punkts) nosaka, ka spiedieniekārtu un to kompleksu ražotāji apliecina arī to, ka "</w:t>
            </w:r>
            <w:r w:rsidR="00000000" w:rsidRPr="00000000" w:rsidDel="00000000">
              <w:rPr>
                <w:i w:val="1"/>
                <w:rtl w:val="0"/>
              </w:rPr>
              <w:t xml:space="preserve">ir atbildīgi par visu kompetentās valsts iestādes norādīto atbilstības novērtēšanas procedūru izpildi</w:t>
            </w:r>
            <w:r w:rsidR="00000000" w:rsidRPr="00000000" w:rsidDel="00000000">
              <w:rPr>
                <w:rtl w:val="0"/>
              </w:rPr>
              <w:t xml:space="preserve">.". Vienlaikus nepieciešams precīzāk norādīt  vai skaidrot anotācijā, kā spiedieniekārtu un to kompleksu ražotāji apliecina projekta 3. punktā (Noteikumu 396.</w:t>
            </w:r>
            <w:r w:rsidR="00000000" w:rsidRPr="00000000" w:rsidDel="00000000">
              <w:rPr>
                <w:vertAlign w:val="superscript"/>
                <w:rtl w:val="0"/>
              </w:rPr>
              <w:t xml:space="preserve">8 </w:t>
            </w:r>
            <w:r w:rsidR="00000000" w:rsidRPr="00000000" w:rsidDel="00000000">
              <w:rPr>
                <w:rtl w:val="0"/>
              </w:rPr>
              <w:t xml:space="preserve">punkts)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Direktīvas 2024/2749 10. panta 2. punkts (Direktīvas 2014/68 43.c pants 8. punkts) nosaka, ka tirgus uzraudzības iestādei ir tiesības veikt korektīvās un ierobežojošās darbības, </w:t>
            </w:r>
            <w:r w:rsidR="00000000" w:rsidRPr="00000000" w:rsidDel="00000000">
              <w:rPr>
                <w:u w:val="single"/>
                <w:rtl w:val="0"/>
              </w:rPr>
              <w:t xml:space="preserve">ja tirgus uzraudzības iestādes izdotā atļauja ir derīga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kur nepieciešams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396.</w:t>
            </w:r>
            <w:r w:rsidR="00000000" w:rsidRPr="00000000" w:rsidDel="00000000">
              <w:rPr>
                <w:vertAlign w:val="superscript"/>
                <w:rtl w:val="0"/>
              </w:rPr>
              <w:t xml:space="preserve">7</w:t>
            </w:r>
            <w:r w:rsidR="00000000" w:rsidRPr="00000000" w:rsidDel="00000000">
              <w:rPr>
                <w:rtl w:val="0"/>
              </w:rPr>
              <w:t xml:space="preserve"> punkts prasība ir atkārtoti izvērtēta, tomēr secināts, ka nepieciešams saglabāt noteikumu projekta punkta redakciju, turklāt jau šāda prasība ir noteikta saistošajos normatīvajos aktos par ārkārtas krīzes mehānisma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Precizēti noteikumu projekta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9</w:t>
            </w:r>
            <w:r w:rsidR="00000000" w:rsidRPr="00000000" w:rsidDel="00000000">
              <w:rPr>
                <w:rtl w:val="0"/>
              </w:rPr>
              <w:t xml:space="preserve"> 5 punkti saistībā ar Direktīvas 2024/2749 10. panta 2. punktu (Direktīvas 2014/68 43.c pants 1. punkts) paredz, ka "var atļaut laist tirgū vai izmantot ražotāja paša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nav nepieciešams papildināt noteikumu projekta 396.</w:t>
            </w:r>
            <w:r w:rsidR="00000000" w:rsidRPr="00000000" w:rsidDel="00000000">
              <w:rPr>
                <w:vertAlign w:val="superscript"/>
                <w:rtl w:val="0"/>
              </w:rPr>
              <w:t xml:space="preserve">10</w:t>
            </w:r>
            <w:r w:rsidR="00000000" w:rsidRPr="00000000" w:rsidDel="00000000">
              <w:rPr>
                <w:rtl w:val="0"/>
              </w:rPr>
              <w:t xml:space="preserve"> punktu ar norādi "un 5. pants netiek piemērots". Direktīvas 2014/68/ES 5.pants paredz nosacījumus par brīvu apriti, ko nav nepieciešams speciāli izdalīt, jo no 396.</w:t>
            </w:r>
            <w:r w:rsidR="00000000" w:rsidRPr="00000000" w:rsidDel="00000000">
              <w:rPr>
                <w:vertAlign w:val="superscript"/>
                <w:rtl w:val="0"/>
              </w:rPr>
              <w:t xml:space="preserve">4</w:t>
            </w:r>
            <w:r w:rsidR="00000000" w:rsidRPr="00000000" w:rsidDel="00000000">
              <w:rPr>
                <w:rtl w:val="0"/>
              </w:rPr>
              <w:t xml:space="preserve"> punkta izriet, ka tirgus uzraudzības iestāde pēc pamatota iesaistītās personas pieprasījuma var izsniegt atļauju tikai konkrētās dalībvalsts teritorijā, attiecīgi princips par preču brīvu apriti šajā situācijā netiek piemērots.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darbība "deklarē" rezultējas ar attiecīgi sagatavotu tehnisko dokumentāciju par attiecīgo spiedieniekārtu un to kompleksu atbilstību visām piemērojamajām prasībām. Tehniskā dokumentācija nodrošina iespēju novērtēt spiedieniekārtas atbilstību šo noteikumu piemērojamām prasībām, un tā ietver atbilstošu risku analīzi un novērtējumu. Tehniskajā dokumentācijā norāda piemērojamās prasības, un, ciktāl tas nepieciešams novērtēšanai, tā aptver spiedieniekārtu projektēšanu, ražošanu un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tehniskā dokumentācija tiek izmantota, lai apliecinātu, ka attiecīgās spiedieniekārtas un to kompleksi atbilst šo noteikumu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kontekstā Tirgus uzraudzības iestādes piešķirtā atļauja ir derīga tikai Latvijas teritorijā, tāpēc nav specifiski jānorāda tas noteikumos, savukārt direktīva prasība attiecas uz visām ES dalībvalstīm, tāpēc šajā prasībā minēts par "Tirgus uzraudzības iestādes dalībvalstī, kurā atļauja ir 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vai izmantot ražotāja vajadzībām konkrētu spiedieniekārtu un to kompleksu, kurai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vai ražotāja paša vajadzībām izmantoto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11.</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Spiedieniekārtu un to kompleksu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1 </w:t>
            </w:r>
            <w:r w:rsidR="00000000" w:rsidRPr="00000000" w:rsidDel="00000000">
              <w:rPr>
                <w:rtl w:val="0"/>
              </w:rPr>
              <w:t xml:space="preserve">Paziņotā institūcija prioritārā kārtā izskata pieteikumus par tādu spiedieniekārtu un to kompleksu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396.</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3</w:t>
            </w:r>
            <w:r w:rsidR="00000000" w:rsidRPr="00000000" w:rsidDel="00000000">
              <w:rPr>
                <w:rtl w:val="0"/>
              </w:rPr>
              <w:t xml:space="preserve"> Paziņotā institūcija krīzes gadījumā cenšas palielināt savas testēšanas iespējas attiecībā uz spiedieniekārtām un to kompleksiem, kas atzītas par krīzē būtisku preci un par kurām tām ir paziņots."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tiesiskās noteiktības nolūkā pārskatīt un papildināt projekta 2. punktu, nodrošinot Direktīvas 2024/2749 pienācīgu pārņemšanu. Vēršam uzmanību, ka atbilstoši projekta 2. punktā pārņemtajam Direktīvas 2024/2749 10. panta 2. apakšpunktam (Direktīvas 2014/68 43.b panta 2. punkts) jāievēro nosacījums, ka paziņotā institūcija izskata visus pieteikumus "</w:t>
            </w:r>
            <w:r w:rsidR="00000000" w:rsidRPr="00000000" w:rsidDel="00000000">
              <w:rPr>
                <w:i w:val="1"/>
                <w:rtl w:val="0"/>
              </w:rPr>
              <w:t xml:space="preserve">neatkarīgi no tā, vai minētie pieteikumi iesniegti pirms vai pēc ārkārtas situācijas procedūru aktivizēšanas, ievērojot 43.a pantu</w:t>
            </w:r>
            <w:r w:rsidR="00000000" w:rsidRPr="00000000" w:rsidDel="00000000">
              <w:rPr>
                <w:rtl w:val="0"/>
              </w:rPr>
              <w:t xml:space="preserve">", kas no projekta tieši neizriet.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un attiecīgi 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par krīzē būtisku preci, un secināts, ka konkrētā prasība nozīmē, ka prioritāte atbilstības novērtēšanas pieteikumu izskatīšanā tiek piemērota neatkarīgi no pieteikuma iesniegšanas brīža, proti, gan attiecībā uz pieteikumiem, kas iesniegti pirms ārkārtas situācijas režīma aktivizēšanas, gan uz tiem, kas iesniegti pēc tā, ja tie attiecas uz spiedieniekārtām un to kompleksiem, kas atzīti par krīzē būtiskām precēm. Vēršam izmanību, ka ar noteikumu projektu nav tik detalizēti izdalīts par pieteikuma iesniegšanas brīdi, līdz ar to, ja spiedieniekārtas un to kompleksi tiek atzīti par krīzē būtiskām precēm, tad paziņotajai institūcijai jāprioratizē visi pieteikumi par spiedieniekārtām un to kompleksiem, kas atzīti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ar 11.</w:t>
            </w:r>
            <w:r w:rsidR="00000000" w:rsidRPr="00000000" w:rsidDel="00000000">
              <w:rPr>
                <w:vertAlign w:val="superscript"/>
                <w:rtl w:val="0"/>
              </w:rPr>
              <w:t xml:space="preserve">1</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Spiedieniekārtu un to kompleksu atbilstības novērtēšana, kuras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1 </w:t>
            </w:r>
            <w:r w:rsidR="00000000" w:rsidRPr="00000000" w:rsidDel="00000000">
              <w:rPr>
                <w:rtl w:val="0"/>
              </w:rPr>
              <w:t xml:space="preserve">Paziņotā institūcija prioritārā kārtā izskata pieteikumus par tādu spiedieniekārtu un to kompleksu atbilstības novērtēšanu, kas atzītas par krīzē būtisku preci.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2</w:t>
            </w:r>
            <w:r w:rsidR="00000000" w:rsidRPr="00000000" w:rsidDel="00000000">
              <w:rPr>
                <w:rtl w:val="0"/>
              </w:rPr>
              <w:t xml:space="preserve"> Paziņotā institūcija nerada nesamērīgas papildus izmaksas ražotājiem, kas prioritārā kārtā iesnieguši šo noteikumu 396.</w:t>
            </w:r>
            <w:r w:rsidR="00000000" w:rsidRPr="00000000" w:rsidDel="00000000">
              <w:rPr>
                <w:vertAlign w:val="superscript"/>
                <w:rtl w:val="0"/>
              </w:rPr>
              <w:t xml:space="preserve">1</w:t>
            </w:r>
            <w:r w:rsidR="00000000" w:rsidRPr="00000000" w:rsidDel="00000000">
              <w:rPr>
                <w:rtl w:val="0"/>
              </w:rPr>
              <w:t xml:space="preserve"> punktā minētos pieteikumus.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3</w:t>
            </w:r>
            <w:r w:rsidR="00000000" w:rsidRPr="00000000" w:rsidDel="00000000">
              <w:rPr>
                <w:rtl w:val="0"/>
              </w:rPr>
              <w:t xml:space="preserve"> Paziņotā institūcija krīzes gadījumā cenšas palielināt savas testēšanas iespējas attiecībā uz spiedieniekārtām un to kompleksiem, kas atzītas par krīzē būtisku preci un par kurām tām ir paziņots."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 spiedieniekārtu un to kompleksu, kam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kādā kārtībā paredzēta citas Eiropas Savienības dalībvalsts kompetentās valsts iestādes atļaujas un tās derīguma atzīšana, tostarp, vai nepieciešams personas attiecīgs iesniegums, vai iesniegumam pievienojama citas Eiropas Savienības dalībvalsts kompetentās valsts iestādes atļauja u.tml., nepieciešamības gadījumā projektu papildinot ar attiecīgu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vai izmantot ražotāja vajadzībām konkrētu spiedieniekārtu un to kompleksu, kurai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vai ražotāja paša vajadzībām izmantoto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konkrētu spiedieniekārtu un to kompleksu, kam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3. punktā (Noteikumu 398.</w:t>
            </w:r>
            <w:r w:rsidR="00000000" w:rsidRPr="00000000" w:rsidDel="00000000">
              <w:rPr>
                <w:vertAlign w:val="superscript"/>
                <w:rtl w:val="0"/>
              </w:rPr>
              <w:t xml:space="preserve">11</w:t>
            </w:r>
            <w:r w:rsidR="00000000" w:rsidRPr="00000000" w:rsidDel="00000000">
              <w:rPr>
                <w:rtl w:val="0"/>
              </w:rPr>
              <w:t xml:space="preserve"> punktā) nedublēt likuma "Par atbilstības novērtēšanu" 9.</w:t>
            </w:r>
            <w:r w:rsidR="00000000" w:rsidRPr="00000000" w:rsidDel="00000000">
              <w:rPr>
                <w:vertAlign w:val="superscript"/>
                <w:rtl w:val="0"/>
              </w:rPr>
              <w:t xml:space="preserve">6 </w:t>
            </w:r>
            <w:r w:rsidR="00000000" w:rsidRPr="00000000" w:rsidDel="00000000">
              <w:rPr>
                <w:rtl w:val="0"/>
              </w:rPr>
              <w:t xml:space="preserve">panta pirmajā daļā ietverto regulējumu un svītrot minēto Noteikumu vienību vai sniegt pamatotu skaidrojumu par attiecīgās Noteikumu normas atbilstību minētā likuma 7. pantā ietvertajam pilnvarojumam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11.</w:t>
            </w:r>
            <w:r w:rsidR="00000000" w:rsidRPr="00000000" w:rsidDel="00000000">
              <w:rPr>
                <w:vertAlign w:val="superscript"/>
                <w:rtl w:val="0"/>
              </w:rPr>
              <w:t xml:space="preserve">2</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vai izmantot ražotāja vajadzībām konkrētu spiedieniekārtu un to kompleksu, kurai nav veiktas šo noteikumu 5. nodaļā minētās atbilstības novērtēšanas procedūras, ja ir apliecināta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6</w:t>
            </w:r>
            <w:r w:rsidR="00000000" w:rsidRPr="00000000" w:rsidDel="00000000">
              <w:rPr>
                <w:rtl w:val="0"/>
              </w:rPr>
              <w:t xml:space="preserve"> Tirgus uzraudzības iestāde nekavējoties informē Eiropas Komisiju un pārējās dalībvalstis par atļaujām, kas piešķirtas saskaņā ar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7</w:t>
            </w:r>
            <w:r w:rsidR="00000000" w:rsidRPr="00000000" w:rsidDel="00000000">
              <w:rPr>
                <w:rtl w:val="0"/>
              </w:rPr>
              <w:t xml:space="preserve"> Uz spiedieniekārtām un to kompleksiem, kuras atļauts laist tirgū saskaņā ar 396.</w:t>
            </w:r>
            <w:r w:rsidR="00000000" w:rsidRPr="00000000" w:rsidDel="00000000">
              <w:rPr>
                <w:vertAlign w:val="superscript"/>
                <w:rtl w:val="0"/>
              </w:rPr>
              <w:t xml:space="preserve">4</w:t>
            </w:r>
            <w:r w:rsidR="00000000" w:rsidRPr="00000000" w:rsidDel="00000000">
              <w:rPr>
                <w:rtl w:val="0"/>
              </w:rPr>
              <w:t xml:space="preserve"> punktā minēto atkāpi, norāda, ka tās ir laistas tirgū kā “krīzē būtiska prece”. Norādītā informācija ir valsts valodā, tā ir skaidra un saprotama.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8</w:t>
            </w:r>
            <w:r w:rsidR="00000000" w:rsidRPr="00000000" w:rsidDel="00000000">
              <w:rPr>
                <w:rtl w:val="0"/>
              </w:rPr>
              <w:t xml:space="preserve"> Spiedieniekārtu un to kompleksu ražotāji, kuriem tiek piemērots šo noteikumu 396.</w:t>
            </w:r>
            <w:r w:rsidR="00000000" w:rsidRPr="00000000" w:rsidDel="00000000">
              <w:rPr>
                <w:vertAlign w:val="superscript"/>
                <w:rtl w:val="0"/>
              </w:rPr>
              <w:t xml:space="preserve">4</w:t>
            </w:r>
            <w:r w:rsidR="00000000" w:rsidRPr="00000000" w:rsidDel="00000000">
              <w:rPr>
                <w:rtl w:val="0"/>
              </w:rPr>
              <w:t xml:space="preserve"> punkts, izmantojot tehnisko dokumentāciju, apliecina, ka attiecīgās spiedieniekārtas un to kompleksi atbilst visām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Tirgus uzraudzības iestāde izsniegtajā atļaujā, kas izdota pamatojoties uz 396.</w:t>
            </w:r>
            <w:r w:rsidR="00000000" w:rsidRPr="00000000" w:rsidDel="00000000">
              <w:rPr>
                <w:vertAlign w:val="superscript"/>
                <w:rtl w:val="0"/>
              </w:rPr>
              <w:t xml:space="preserve">4</w:t>
            </w:r>
            <w:r w:rsidR="00000000" w:rsidRPr="00000000" w:rsidDel="00000000">
              <w:rPr>
                <w:rtl w:val="0"/>
              </w:rPr>
              <w:t xml:space="preserve"> punktu,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1. procedūru aprakstu, ar kurām pierādīta atbilstība šo noteikumu 3. nodaļā minētajām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2. īpašās prasības attiecībā uz konkrētās spiedieniekārtas un to kompleksa izsekojamību;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3. atļaujas derīguma pēdējo dienu, kas nevar būt vēlāka par tā laikposma pēdējo dienu, ar kuru aktivizēts iekšējā tirgus ārkārtas situācijas režīms saskaņā ar Regulas Nr. 2024/2747 18.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w:t>
            </w:r>
            <w:r w:rsidR="00000000" w:rsidRPr="00000000" w:rsidDel="00000000">
              <w:rPr>
                <w:rtl w:val="0"/>
              </w:rPr>
              <w:t xml:space="preserve"> 4. īpašās prasības, kas attiecas uz vajadzību nodrošināt nepārtrauktu atbilstības novērtēšanu, kura skar konkrētās spiedieniekārtas un to kompleksu;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9 </w:t>
            </w:r>
            <w:r w:rsidR="00000000" w:rsidRPr="00000000" w:rsidDel="00000000">
              <w:rPr>
                <w:rtl w:val="0"/>
              </w:rPr>
              <w:t xml:space="preserve">5. veicamos pasākumus attiecībā uz konkrēto tirgū laisto vai ražotāja paša vajadzībām izmantoto spiedieniekārtu un to kompleksu pēc iekšējā tirgus ārkārtas situācijas režīma izbeigšanās vai deaktivizēšanas.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10</w:t>
            </w:r>
            <w:r w:rsidR="00000000" w:rsidRPr="00000000" w:rsidDel="00000000">
              <w:rPr>
                <w:rtl w:val="0"/>
              </w:rPr>
              <w:t xml:space="preserve"> Uz spiedieniekārtām un to kompleksiem, kurām piešķirta atļauja, saskaņā ar šo noteikumu 396.</w:t>
            </w:r>
            <w:r w:rsidR="00000000" w:rsidRPr="00000000" w:rsidDel="00000000">
              <w:rPr>
                <w:vertAlign w:val="superscript"/>
                <w:rtl w:val="0"/>
              </w:rPr>
              <w:t xml:space="preserve">4</w:t>
            </w:r>
            <w:r w:rsidR="00000000" w:rsidRPr="00000000" w:rsidDel="00000000">
              <w:rPr>
                <w:rtl w:val="0"/>
              </w:rPr>
              <w:t xml:space="preserve"> punktā minēto atkāpi nav CE atbilstības marķējuma.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396.</w:t>
            </w:r>
            <w:r w:rsidR="00000000" w:rsidRPr="00000000" w:rsidDel="00000000">
              <w:rPr>
                <w:vertAlign w:val="superscript"/>
                <w:rtl w:val="0"/>
              </w:rPr>
              <w:t xml:space="preserve">4</w:t>
            </w:r>
            <w:r w:rsidR="00000000" w:rsidRPr="00000000" w:rsidDel="00000000">
              <w:rPr>
                <w:rtl w:val="0"/>
              </w:rPr>
              <w:t xml:space="preserve"> un 396.</w:t>
            </w:r>
            <w:r w:rsidR="00000000" w:rsidRPr="00000000" w:rsidDel="00000000">
              <w:rPr>
                <w:vertAlign w:val="superscript"/>
                <w:rtl w:val="0"/>
              </w:rPr>
              <w:t xml:space="preserve">5</w:t>
            </w:r>
            <w:r w:rsidR="00000000" w:rsidRPr="00000000" w:rsidDel="00000000">
              <w:rPr>
                <w:rtl w:val="0"/>
              </w:rPr>
              <w:t xml:space="preserve"> punktu, ir tiesīga spiedieniekārtām un to kompleksiem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12</w:t>
            </w:r>
            <w:r w:rsidR="00000000" w:rsidRPr="00000000" w:rsidDel="00000000">
              <w:rPr>
                <w:rtl w:val="0"/>
              </w:rPr>
              <w:t xml:space="preserve"> Šo noteikumu 396.</w:t>
            </w:r>
            <w:r w:rsidR="00000000" w:rsidRPr="00000000" w:rsidDel="00000000">
              <w:rPr>
                <w:vertAlign w:val="superscript"/>
                <w:rtl w:val="0"/>
              </w:rPr>
              <w:t xml:space="preserve">4</w:t>
            </w:r>
            <w:r w:rsidR="00000000" w:rsidRPr="00000000" w:rsidDel="00000000">
              <w:rPr>
                <w:rtl w:val="0"/>
              </w:rPr>
              <w:t xml:space="preserve"> - 396.</w:t>
            </w:r>
            <w:r w:rsidR="00000000" w:rsidRPr="00000000" w:rsidDel="00000000">
              <w:rPr>
                <w:vertAlign w:val="superscript"/>
                <w:rtl w:val="0"/>
              </w:rPr>
              <w:t xml:space="preserve">5</w:t>
            </w:r>
            <w:r w:rsidR="00000000" w:rsidRPr="00000000" w:rsidDel="00000000">
              <w:rPr>
                <w:rtl w:val="0"/>
              </w:rPr>
              <w:t xml:space="preserve"> punktā minētās atļaujas piešķiršanas procedūra neietekmē šo noteikumu 5. nodaļā noteikto attiecīgo atbilstības novērtēšanas procedūru piemērošanu."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11.</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Atbilstības prezumpcija un tirgus uzraudzība spiedieniekārtām un to kompleksiem,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13</w:t>
            </w:r>
            <w:r w:rsidR="00000000" w:rsidRPr="00000000" w:rsidDel="00000000">
              <w:rPr>
                <w:rtl w:val="0"/>
              </w:rPr>
              <w:t xml:space="preserve"> Spiedieniekārtas un to kompleksi, kuras ar Eiropas Savienības tieši piemērojamiem tiesību aktiem atzītas par krīzē būtiskām precēm, uzskaitot piemērojamos standartus vai nosakot kopējas specifikācijas spiedieniekārtām un to kompleksiem,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14</w:t>
            </w:r>
            <w:r w:rsidR="00000000" w:rsidRPr="00000000" w:rsidDel="00000000">
              <w:rPr>
                <w:rtl w:val="0"/>
              </w:rPr>
              <w:t xml:space="preserve"> Ja vien nav pietiekama iemesla uzskatīt, ka spiedieniekārtas un to kompleksi, uz kurām attiecas standarti vai kopējās specifikācijas, kas minētas 396.</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spiedieniekārtās un to kompleksi, kas atbilst minētajiem standartiem vai kopējām specifikācijām un kas laistas tirgū, uzskata par atbilstošām šo noteikumu būtiskajām drošuma pamatprasībām.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spiedieniekārtām un to kompleksiem, kuras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precīzas tiesību normu redakcijas vai to izvērstu izpratni. Vēršam uzmanību, ka projekta 4. punkta (Noteikumu 396.</w:t>
            </w:r>
            <w:r w:rsidR="00000000" w:rsidRPr="00000000" w:rsidDel="00000000">
              <w:rPr>
                <w:vertAlign w:val="superscript"/>
                <w:rtl w:val="0"/>
              </w:rPr>
              <w:t xml:space="preserve">13 </w:t>
            </w:r>
            <w:r w:rsidR="00000000" w:rsidRPr="00000000" w:rsidDel="00000000">
              <w:rPr>
                <w:rtl w:val="0"/>
              </w:rPr>
              <w:t xml:space="preserve">punkts) norāde "Eiropas Komisijas īstenošanas aktos norādītie standarti vai kopējās specifikācijas" nenodrošina izpratni, kādi Eiropas Komisijas īstenošanas aktu ar to saprotami, turklāt ar īstenošanas aktiem var tikt saprastas arī direktīvas un dalībvalstīm adresēti lēmumi. Attiecīgi lūdzam atsauces uz Eiropas Savienības tiesību aktiem noformēt konkrēti un atbilstoši Ministru kabineta 2009. gada 3. februāra noteikumu Nr. 108 "Normatīvo aktu projektu sagatavošanas noteikumi"  (turpmāk - Noteikumi Nr.108) 4. nodaļai vai atsaukties uz tieši piemērojamiem Eiropas Savienības normatīvajiem aktiem, anotācijā tos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Noteikumos lietot konsekventu terminoloģiju, piemēram, attiecībā uz terminiem "būtiskas drošuma prasības" un "būtiskas drošuma pamatprasības".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Saprotams, ka Eiropas Komisijas īstenošanas akti var tikt pieņemti dažādās juridiskajās formās. Vienlaikus, lai nodrošinātu direktīvā paredzētā mehānisma korektu pārņemšanu, noteikumu projektā ir noteikts regulējums, paredzot, ka attiecīgās tiesiskās sekas iestājas, ja Eiropas Komisija saskaņā ar Eiropas Savienības tiesību aktiem ar īstenošanas aktu nosaka konkrētas preces kā krīzē būtiskas. Tādējādi tiek nodrošināta atbilstība gan direktīvas prasībām, gan juridiskās tehnikas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Papildināt ar 11.</w:t>
            </w:r>
            <w:r w:rsidR="00000000" w:rsidRPr="00000000" w:rsidDel="00000000">
              <w:rPr>
                <w:vertAlign w:val="superscript"/>
                <w:rtl w:val="0"/>
              </w:rPr>
              <w:t xml:space="preserve">3</w:t>
            </w:r>
            <w:r w:rsidR="00000000" w:rsidRPr="00000000" w:rsidDel="00000000">
              <w:rPr>
                <w:rtl w:val="0"/>
              </w:rPr>
              <w:t xml:space="preserve"> nodaļu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Atbilstības prezumpcija un tirgus uzraudzība spiedieniekārtām un to kompleksiem,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13</w:t>
            </w:r>
            <w:r w:rsidR="00000000" w:rsidRPr="00000000" w:rsidDel="00000000">
              <w:rPr>
                <w:rtl w:val="0"/>
              </w:rPr>
              <w:t xml:space="preserve"> Spiedieniekārtas un to kompleksi, kuras ar Eiropas Savienības tieši piemērojamiem tiesību aktiem atzītas par krīzē būtiskām precēm, uzskaitot piemērojamos standartus vai nosakot kopējas specifikācijas spiedieniekārtām un to kompleksiem, atbilst šo noteikumu būtiskajām drošuma prasībām, uz kurām attiecas šie standarti, kopējās specifikācijas vai to daļas. No nākamās dienas pēc iekšējā tirgus ārkārtas situācijas izbeigšanās ražotājiem vairs nav iespējams paļauties uz atbilstības prezumpciju, ko nodrošina Eiropas Komisijas īstenošanas aktos norādītie standarti vai kopējās specifikācijas.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14</w:t>
            </w:r>
            <w:r w:rsidR="00000000" w:rsidRPr="00000000" w:rsidDel="00000000">
              <w:rPr>
                <w:rtl w:val="0"/>
              </w:rPr>
              <w:t xml:space="preserve"> Ja vien nav pietiekama iemesla uzskatīt, ka spiedieniekārtas un to kompleksi, uz kurām attiecas standarti vai kopējās specifikācijas, kas minētas 396.</w:t>
            </w:r>
            <w:r w:rsidR="00000000" w:rsidRPr="00000000" w:rsidDel="00000000">
              <w:rPr>
                <w:vertAlign w:val="superscript"/>
                <w:rtl w:val="0"/>
              </w:rPr>
              <w:t xml:space="preserve">13</w:t>
            </w:r>
            <w:r w:rsidR="00000000" w:rsidRPr="00000000" w:rsidDel="00000000">
              <w:rPr>
                <w:rtl w:val="0"/>
              </w:rPr>
              <w:t xml:space="preserve"> punktā, rada risku cilvēku veselībai vai drošībai, spiedieniekārtās un to kompleksi, kas atbilst minētajiem standartiem vai kopējām specifikācijām un kas laistas tirgū, uzskata par atbilstošām šo noteikumu būtiskajām drošuma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396.</w:t>
            </w:r>
            <w:r w:rsidR="00000000" w:rsidRPr="00000000" w:rsidDel="00000000">
              <w:rPr>
                <w:vertAlign w:val="superscript"/>
                <w:rtl w:val="0"/>
              </w:rPr>
              <w:t xml:space="preserve">15</w:t>
            </w:r>
            <w:r w:rsidR="00000000" w:rsidRPr="00000000" w:rsidDel="00000000">
              <w:rPr>
                <w:rtl w:val="0"/>
              </w:rPr>
              <w:t xml:space="preserve"> Tirgus uzraudzības iestādes uzraudzību prioritāri veic tām spiedieniekārtām un to kompleksiem, kuras atzītas par krīzē būtisku preci."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5.4. apakšsadaļu, nolūkā nodrošināt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Direktīvas 2024/2749 10. panta 2. apakšpunkts (Direktīvas 2014/68 43.b pants) nesatur Komisijai adresētas tiesību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Direktīvu 2024/2749 tiek grozīta Direktīva 2014/68, attiecīgi nepieciešams precīzi atsaukties uz Eiropas Savienības tiesību normām, proti, iekavās norādīt korespondējošo tiesību normu, piemēram, šādi: 10. panta 2. apakšpunkts (Direktīvas 2014/68 43.b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Direktīvas 2024/2749 10. panta 2. punkts (Direktīvas 2014/68 43.d pants 7. punkts) pretēji anotācijas 5.4. apakšsadaļas 1. tabulā skaidrotajam attiecas ne tikai uz Komisiju, bet arī paredz pienākumu dalībvalstij informēt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atbilstoši projekta redakcijai tā 5. un 6. punkts pārņem arī Direktīvas2024/2749 11. panta 2. punktu, bet 3. punkts (Noteikumu 396.</w:t>
            </w:r>
            <w:r w:rsidR="00000000" w:rsidRPr="00000000" w:rsidDel="00000000">
              <w:rPr>
                <w:vertAlign w:val="superscript"/>
                <w:rtl w:val="0"/>
              </w:rPr>
              <w:t xml:space="preserve">6 </w:t>
            </w:r>
            <w:r w:rsidR="00000000" w:rsidRPr="00000000" w:rsidDel="00000000">
              <w:rPr>
                <w:rtl w:val="0"/>
              </w:rPr>
              <w:t xml:space="preserve">punkts) Direktīvas 2024/2749 10. panta 2. apakšpunktu (Direktīvas 2014/68 43.c panta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nepieciešams skaidrot, kā tiks nodrošināta Direktīvas 2024/2749 prasību pārņemšana pilnībā, jo projekts pārņem tikai tās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2014/68 43.b panta 1.punkts satur Komisijai adresētas tiesību normas par īstenošanas aktu izdošanu, savukārt 2.-4.punkts ir pārņemts ar noteikumu projekta 2.punktu (396.</w:t>
            </w:r>
            <w:r w:rsidR="00000000" w:rsidRPr="00000000" w:rsidDel="00000000">
              <w:rPr>
                <w:vertAlign w:val="superscript"/>
                <w:rtl w:val="0"/>
              </w:rPr>
              <w:t xml:space="preserve">1</w:t>
            </w:r>
            <w:r w:rsidR="00000000" w:rsidRPr="00000000" w:rsidDel="00000000">
              <w:rPr>
                <w:rtl w:val="0"/>
              </w:rPr>
              <w:t xml:space="preserve">; 396.</w:t>
            </w:r>
            <w:r w:rsidR="00000000" w:rsidRPr="00000000" w:rsidDel="00000000">
              <w:rPr>
                <w:vertAlign w:val="superscript"/>
                <w:rtl w:val="0"/>
              </w:rPr>
              <w:t xml:space="preserve">2</w:t>
            </w:r>
            <w:r w:rsidR="00000000" w:rsidRPr="00000000" w:rsidDel="00000000">
              <w:rPr>
                <w:rtl w:val="0"/>
              </w:rPr>
              <w:t xml:space="preserve"> un 396.</w:t>
            </w:r>
            <w:r w:rsidR="00000000" w:rsidRPr="00000000" w:rsidDel="00000000">
              <w:rPr>
                <w:vertAlign w:val="superscript"/>
                <w:rtl w:val="0"/>
              </w:rPr>
              <w:t xml:space="preserve">3</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26-TA-331</w:t>
    </w:r>
    <w:r>
      <w:br/>
    </w:r>
    <w:r w:rsidR="00000000" w:rsidRPr="00000000" w:rsidDel="00000000">
      <w:rPr>
        <w:rtl w:val="0"/>
      </w:rPr>
      <w:t xml:space="preserve">29.04.2026. 10.11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26-TA-331</w:t>
    </w:r>
    <w:r>
      <w:br/>
    </w:r>
    <w:r w:rsidR="00000000" w:rsidRPr="00000000" w:rsidDel="00000000">
      <w:rPr>
        <w:rtl w:val="0"/>
      </w:rPr>
      <w:t xml:space="preserve">29.04.2026. 10.11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Izziņa_26-TA-331.docx</dc:title>
</cp:coreProperties>
</file>

<file path=docProps/custom.xml><?xml version="1.0" encoding="utf-8"?>
<Properties xmlns="http://schemas.openxmlformats.org/officeDocument/2006/custom-properties" xmlns:vt="http://schemas.openxmlformats.org/officeDocument/2006/docPropsVTypes"/>
</file>