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15:16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minētos nosacījumus par komercdarbības atbalstu projekta iesniedzējam, kas projektā iekļautajā objektā veic vai pēc projekta īstenošanas plāno veikt saimniecisko darbību, par projektā minētajām izmaksām sniedz saskaņā ar Komisijas 2023. gada 13. decembra Regulu (ES) 2023/2831 par Līguma par Eiropas Savienības darbību 107. un 108. panta piemērošanu de minimis atbalstam (turpmāk – regula 2023/2831) un ievērojot to, ka finansējuma saņēmēji un sadarbības partneri var būt valsts budžeta iestādes, lūdzam noteikumu projekta anotācijā sniegt plašāku skaidrojumu par de minimis atbalsta piešķiršanas un uzskaites kārtību valsts budžeta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2026. gada 13. februārī iesniedza iebildumā izteikto jautājumu kā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Ministru kabineta 2025. gada 27. maija noteikumu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 (turpmāk – MK noteikumi Nr. 318) 29. punktam, </w:t>
            </w:r>
            <w:r w:rsidR="00000000" w:rsidRPr="00000000" w:rsidDel="00000000">
              <w:rPr>
                <w:i w:val="1"/>
                <w:rtl w:val="0"/>
              </w:rPr>
              <w:t xml:space="preserve">de minimis</w:t>
            </w:r>
            <w:r w:rsidR="00000000" w:rsidRPr="00000000" w:rsidDel="00000000">
              <w:rPr>
                <w:rtl w:val="0"/>
              </w:rPr>
              <w:t xml:space="preserve"> atbalstu piemēro projekta iesniedzējam vai projekta sadarbības partnerim, kas projektā iekļautajā objektā veic vai pēc projekta īstenošanas plāno veikt saimniecisko darbību. Vienā projektā var būt iekļautas vairākas iesaistītās puses (t.i. projekta iesniedzējs, sadarbības partneris (-i)) un dažādi objekti, t.sk. gan tādi objekti, kuros veic vai plāno veikt saimniecisko darbību, gan tādi objekti, kuros neveic saimniecisko darbību. Šādos gadījumos </w:t>
            </w:r>
            <w:r w:rsidR="00000000" w:rsidRPr="00000000" w:rsidDel="00000000">
              <w:rPr>
                <w:i w:val="1"/>
                <w:rtl w:val="0"/>
              </w:rPr>
              <w:t xml:space="preserve">de minimis </w:t>
            </w:r>
            <w:r w:rsidR="00000000" w:rsidRPr="00000000" w:rsidDel="00000000">
              <w:rPr>
                <w:rtl w:val="0"/>
              </w:rPr>
              <w:t xml:space="preserve">atbalsta saņēmējs ir tas projekta partneris (projekta iesniedzējs vai sadarbības partneris) un tikai par to objektu, kurā veic vai plāno veikt saimniecisko darbību, kā arī pie projekta iesnieguma tiek veikts atsevišķs izmaksu aprēķins par</w:t>
            </w:r>
            <w:r w:rsidR="00000000" w:rsidRPr="00000000" w:rsidDel="00000000">
              <w:rPr>
                <w:i w:val="1"/>
                <w:rtl w:val="0"/>
              </w:rPr>
              <w:t xml:space="preserve"> de minimis</w:t>
            </w:r>
            <w:r w:rsidR="00000000" w:rsidRPr="00000000" w:rsidDel="00000000">
              <w:rPr>
                <w:rtl w:val="0"/>
              </w:rPr>
              <w:t xml:space="preserve"> apjomu konkrētajā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w:t>
            </w:r>
            <w:r w:rsidR="00000000" w:rsidRPr="00000000" w:rsidDel="00000000">
              <w:rPr>
                <w:i w:val="1"/>
                <w:rtl w:val="0"/>
              </w:rPr>
              <w:t xml:space="preserve">de minimis</w:t>
            </w:r>
            <w:r w:rsidR="00000000" w:rsidRPr="00000000" w:rsidDel="00000000">
              <w:rPr>
                <w:rtl w:val="0"/>
              </w:rPr>
              <w:t xml:space="preserve"> apmērs atbalsta saņēmējam (projekta iesniedzējam vai sadarbības partnerim) tiek rēķināts viena vienota uzņēmuma līmenī pēdējo trīs gadu periodā no </w:t>
            </w:r>
            <w:r w:rsidR="00000000" w:rsidRPr="00000000" w:rsidDel="00000000">
              <w:rPr>
                <w:i w:val="1"/>
                <w:rtl w:val="0"/>
              </w:rPr>
              <w:t xml:space="preserve">de minimis</w:t>
            </w:r>
            <w:r w:rsidR="00000000" w:rsidRPr="00000000" w:rsidDel="00000000">
              <w:rPr>
                <w:rtl w:val="0"/>
              </w:rPr>
              <w:t xml:space="preserve"> atbalsta piešķiršanas dienas un nevar pārsniegt 300 000 EUR. Ar trīs gadu periodu saprot laika periodu no konkrēta datuma, kad piešķirts pēdējais atbalsts līdz konkrētam datumam, kas ir jaunā piešķiramā atbalsta datums, piemēram, ja jaunā atbalsta piešķiršanas datums ir 2025. gada 15. septembris, trīs gadu periods būs skaitāms no 2022. gada 15.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projekta iesniegumu KPVIS, projekta iesnieguma sadaļā “Pielikumi” pievieno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no </w:t>
            </w:r>
            <w:r w:rsidR="00000000" w:rsidRPr="00000000" w:rsidDel="00000000">
              <w:rPr>
                <w:i w:val="1"/>
                <w:rtl w:val="0"/>
              </w:rPr>
              <w:t xml:space="preserve">De minimis</w:t>
            </w:r>
            <w:r w:rsidR="00000000" w:rsidRPr="00000000" w:rsidDel="00000000">
              <w:rPr>
                <w:rtl w:val="0"/>
              </w:rPr>
              <w:t xml:space="preserve"> atbalsta uzskaites sistēmas vai projekta iesnieguma sadaļā “Projekta īstenošanas vieta” pie attiecīga objekta projekta īstenošanas vietas apraksta norāda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par </w:t>
            </w:r>
            <w:r w:rsidR="00000000" w:rsidRPr="00000000" w:rsidDel="00000000">
              <w:rPr>
                <w:i w:val="1"/>
                <w:rtl w:val="0"/>
              </w:rPr>
              <w:t xml:space="preserve">de minimis</w:t>
            </w:r>
            <w:r w:rsidR="00000000" w:rsidRPr="00000000" w:rsidDel="00000000">
              <w:rPr>
                <w:rtl w:val="0"/>
              </w:rPr>
              <w:t xml:space="preserve"> atbalsta piešķiršanu ir pieejama Finanšu ministrijas tīmekļa vietnē https://www.fm.gov.lv/lv/skaidrojosie-materiali, kur pieejami šādi materiāli, piemēram, “Rokasgrāmata </w:t>
            </w:r>
            <w:r w:rsidR="00000000" w:rsidRPr="00000000" w:rsidDel="00000000">
              <w:rPr>
                <w:i w:val="1"/>
                <w:rtl w:val="0"/>
              </w:rPr>
              <w:t xml:space="preserve">de minimis</w:t>
            </w:r>
            <w:r w:rsidR="00000000" w:rsidRPr="00000000" w:rsidDel="00000000">
              <w:rPr>
                <w:rtl w:val="0"/>
              </w:rPr>
              <w:t xml:space="preserve"> atbalsta piešķiršanai”, “Vadlīnijas </w:t>
            </w:r>
            <w:r w:rsidR="00000000" w:rsidRPr="00000000" w:rsidDel="00000000">
              <w:rPr>
                <w:i w:val="1"/>
                <w:rtl w:val="0"/>
              </w:rPr>
              <w:t xml:space="preserve">de minimis</w:t>
            </w:r>
            <w:r w:rsidR="00000000" w:rsidRPr="00000000" w:rsidDel="00000000">
              <w:rPr>
                <w:rtl w:val="0"/>
              </w:rPr>
              <w:t xml:space="preserve"> atbalsta sniedzējiem”, “Biežāk uzdotie jautājumi un atbildes par </w:t>
            </w:r>
            <w:r w:rsidR="00000000" w:rsidRPr="00000000" w:rsidDel="00000000">
              <w:rPr>
                <w:i w:val="1"/>
                <w:rtl w:val="0"/>
              </w:rPr>
              <w:t xml:space="preserve">de minimis</w:t>
            </w:r>
            <w:r w:rsidR="00000000" w:rsidRPr="00000000" w:rsidDel="00000000">
              <w:rPr>
                <w:rtl w:val="0"/>
              </w:rPr>
              <w:t xml:space="preserve">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Kohēzijas politikas fondu vadības informācijas sistēmas datiem (uz 2026. gada janvāra beigām) 5.2.1.1. pasākumā izsludinātajā atlasē, kas noslēdzās 2025. gada 31. decembrī, kā rezultātā atlasē ir izveidojies projektiem nepiesaistītais Eiropas Reģionālās attīstības fonda finansējums 2,55 milj. euro, ko veido neiesniegto objektu finansējums un ietaupījums iesniegtajos projektos, attiecīgi projektu iesniegumu atlases ietvaros tiek plānots papildu uzsaukums, kuru projektu iesniedzējiem būs iespēja izmantot, t.sk. iesaistot projektos sadarbības partnerus, kas ļaus īstenot papildu projektus par vismaz 65 objektu pielāgošanu III kategorijas patvertņu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projekta anotācijā iekļauto informāciju par plānoto papildu projektu iesniegumu uzsaukumu un vismaz 65 papildu objektu pielāgošanu (III kategorijas patvertnēm), organizējot papildu atlasi, </w:t>
            </w:r>
            <w:r w:rsidR="00000000" w:rsidRPr="00000000" w:rsidDel="00000000">
              <w:rPr>
                <w:b w:val="1"/>
                <w:u w:val="single"/>
                <w:rtl w:val="0"/>
              </w:rPr>
              <w:t xml:space="preserve">lūdzam sniegt papildu informāciju par turpmāk piemērojamo objektu atlases kārtību papildu atlases ietvaros, proti, kā tiks noteikts objektu skaits katrai pašvaldībai, kas plānota papildu uzsaukuma ietvaros</w:t>
            </w:r>
            <w:r w:rsidR="00000000" w:rsidRPr="00000000" w:rsidDel="00000000">
              <w:rPr>
                <w:rtl w:val="0"/>
              </w:rPr>
              <w:t xml:space="preserve">, ņemot vērā, ka 5.2.1.1. pasākumā tiek piemērota ierobežota projektu iesniegumu atlase un ir apstiprināti objektu saraksti ar noteiktām adresēm katrai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pieredzi objektu atlasē 2025. gada ietvaros,</w:t>
            </w:r>
            <w:r w:rsidR="00000000" w:rsidRPr="00000000" w:rsidDel="00000000">
              <w:rPr>
                <w:b w:val="1"/>
                <w:u w:val="single"/>
                <w:rtl w:val="0"/>
              </w:rPr>
              <w:t xml:space="preserve"> lūdzam sniegt informāciju, vai pašvaldībām tiks noteikti konkrēti objekti, kas jāiekļauj projekta iesniegumā, vai arī pašvaldībām būs iespēja noteikt tādus objektus, kas atbilst nosacījumiem, bet, balstoties uz nepieciešamību un civilās aizsardzības vajadzībām, ir pielāgojami civilās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iesniegumu atlases ietvaros tiek plānots papildu uzsaukums pēc grozījumu veikšanas Ministru kabineta 2025.gada 3.jūnija rīkojumā Nr. 316 “Par civilās aizsardzības mērķiem pielāgojamajiem un aprīkojamajiem objektiem (patvertnēm)”, kurus sagatavos un virzīs saskaņošanai iesaistītajām pusēm (tostarp pašvaldību organizācijām) Iekšlietu ministrija. Attiecīgi rīkojuma grozījumu anotācijā tiks sniegta detalizētāka informācija par papildu objektu iekļaušanas kārtību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par plānoto projektu iesniegumu atlases uzsaukuma procesu t.i. vai tas plānots atbilstoši Iekšlietu ministrijas izstrādātajam 2025.gada 3.jūnija Ministru kabineta (turpmāk – MK) rīkojumam Nr. 316 “Par civilās aizsardzības mērķiem pielāgojamajiem un aprīkojamajiem objektiem (patvertnēm)” (turpmāk - rīkojums) ir noteiktajai kārtībai, vai arī plānots virzīt izmaiņas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“Pašreizējā situācija, problēmas un risinājumi” ar informāciju vai ierosinātajiem grozījumiem ir ietekme uz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vai izstrādātie grozījumi nav uzskatāmi par būtiskiem, tas ir tādi, kas ietekmē darbības veidu, mērķus vai īstenošanas nosacījumus, tādējādi traucējot tās sākotnējo mērķu sasniegšanu. Tāpat, tā kā ar noteikumu projektu noteikumi tiek papildināti ar sadarbības partneru regulējumu un projekta iesniegumu atlase ir noslēgusies, lūdzam anotācijas ietvaros ietvert skaidrojumu,  kā tiks izvērtēti sadarbības partneri atbilstoši Eiropas Savienības fondu prasībām, jo šobrīd projekta iesniegumu nolikums neparedz nosacījumus attiecībā uz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anotāciju ar informāciju vai civiltiesiskā līguma vai vienošanās par projekta īstenošanu būs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sadarbības partneru atbilstība tiks vērtēta pret MK noteikumu nosacījumiem, tajā skaitā atbilstību MK noteikumu 44. punktā noteiktajam par ieguldījumiem infrastruktūrā, kad finansējuma saņēmējs iesniegs vienošanās grozījumus Centrālajai finanšu un līgumu aģentūrai, kuros tiks pamatota nepieciešamība sadarbības partnera iekļaušanai projekta mērķa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minētos nosacījumus par komercdarbības atbalstu projekta iesniedzējam, kas projektā iekļautajā objektā veic vai pēc projekta īstenošanas plāno veikt saimniecisko darbību, par projektā minētajām izmaksām sniedz saskaņā ar Komisijas 2023. gada 13. decembra Regulu (ES) 2023/2831 par Līguma par Eiropas Savienības darbību 107. un 108. panta piemērošanu de minimis atbalstam (turpmāk – regula 2023/2831) un ievērojot to, ka finansējuma saņēmēji un sadarbības partneri var būt valsts budžeta iestādes, lūdzam noteikumu projekta anotācijā sniegt plašāku skaidrojumu par de minimis atbalsta piešķiršanas un uzskaites kārtību valsts budžeta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Projekta iesniedzējs, slēdzot sadarbības līgumu, var piesaistīt sadarbības partnerus. Sadarbības līgumā iekļauj informāciju atbilstoši normatīvajiem aktiem par kārtību, kādā Eiropas Savienības fondu vadībā iesaistītās institūcijas nodrošina šo fondu ieviešanu Eiropas Savienības kohēzijas politikas programmas 2021.–2027. gadam plānošanas periodā, kā arī nosaka finansējuma saņēmēja un sadarbības partnera sadarbības nosacījumus, pienākumus un tiesības, projekta mērķu un rādītāju savstarpējās sasniegšanas dalījumu un citus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2023. gada 13. jūlija noteikumu Nr.408 “Kārtība, kādā Eiropas Savienības fondu vadībā iesaistītās institūcijas nodrošina šo fondu ieviešanu 2021.–2027. gada plānošanas periodā” (turpmāk - MK noteikumi Nt.408) 3.1. apakšpunkta izriet, ka finansējuma saņēmējs, saglabājot atbildību par projekta īstenošanu, mērķu sasniegšanu, izdevumu attiecināmību, kā arī maksājumu veikšanu un iepirkuma procedūras veikšanu, var projekta īstenošanā piesaistīt sadarbības partneri, ja sadarbības partneris atbilst prasībām, kas noteiktas normatīvajā aktā par specifiskā atbalsta mērķa īstenošanu. Tādējādi, lūdzam noteikumu projektu papildināt ar skaidru regulējumu, tieši kādi subjekti būs sadarbības partneri, ja tie tiks piesaistīti, līdzīgi kā noteikumu noteikumu 20.punktā attiecībā uz projekta iesniedzēju. Tāpat vēršam uzmanību, ka Ministru kabineta noteikumos par specifisko atbalsta mērķis nav jādublē MK noteikumu Nr.408 6.punktā noteiktais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20.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var pielāgot tikai tādus objektus III kategorijas patvertņu ierīkošanai, kas iekļauti Ministru kabineta 2025.gada 3.jūnija rīkojumā Nr. 316 “Par civilās aizsardzības mērķiem pielāgojamajiem un aprīkojamajiem objektiem (patvertnēm)”, un vienlaikus projekta iesniedzējam, projektā iesaistot sadarbības partneri, patvertnes pielāgošanai, ir jānodrošina, ka projekta ieguldījumi tiek veikti, ņemot vērā īpašumtiesību nosacījumus, kas noteikti šo noteikumu 44.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Projekta iesniedzējs, slēdzot sadarbības līgumu, var piesaistīt sadarbības partneri – valsts tiešās pārvaldes iestādi, pašvaldību vai tās izveidotu iestādi, valsts vai pašvaldības kapitālsabiedrību vai valsts zinātnisko institūciju – Ministru kabineta rīkojumā ietverto objektu pielāgošanai III kategorijas patvertņu ierīkošanai, ievērojot šo noteikumu 44. punktu. Sadarbības līgumā iekļauj informāciju atbilstoši normatīvajiem aktiem par kārtību, kādā Eiropas Savienības fondu vadībā iesaistītās institūcijas nodrošina šo fondu ieviešanu Eiropas Savienības kohēzijas politikas programmas 2021.–2027. gadam plānošanas periodā, kā arī nosaka finansējuma saņēmēja un sadarbības partnera sadarbības nosacījumus, projekta mērķu un rādītāju savstarpējās sasniegšanas dalījumu un citus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tiešās attiecināmās izmaksas, kas ir tieši saistītas ar projekta īstenošanu un nepieciešamas telpu pārbūvei vai atjaunošanai un aprīkošanai atbilstoši III kategorijas patvertnes funkcionālajām prasībām,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24.,25. un 26.punktā)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 un MK noteikumu 26.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tiešās attiecināmās izmaksas, kas ir tieši saistītas ar projekta īstenošanu un nepieciešamas telpu pārbūvei vai atjaunošanai un aprīkošanai atbilstoši III kategorijas patvertnes funkcionālajām prasībām,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w:t>
            </w:r>
            <w:r w:rsidR="00000000" w:rsidRPr="00000000" w:rsidDel="00000000">
              <w:rPr>
                <w:i w:val="1"/>
                <w:rtl w:val="0"/>
              </w:rPr>
              <w:t xml:space="preserve">de minimis</w:t>
            </w:r>
            <w:r w:rsidR="00000000" w:rsidRPr="00000000" w:rsidDel="00000000">
              <w:rPr>
                <w:rtl w:val="0"/>
              </w:rPr>
              <w:t xml:space="preserve"> atbalstu piešķir, ievērojot regulas </w:t>
            </w:r>
            <w:r w:rsidR="00000000" w:rsidRPr="00000000" w:rsidDel="00000000">
              <w:rPr>
                <w:rtl w:val="0"/>
              </w:rPr>
              <w:t xml:space="preserve">2023/2831</w:t>
            </w:r>
            <w:r w:rsidR="00000000" w:rsidRPr="00000000" w:rsidDel="00000000">
              <w:rPr>
                <w:rtl w:val="0"/>
              </w:rPr>
              <w:t xml:space="preserve"> 1. panta 1. punktā minētos nozaru un darbības ierobežojumus. Ja komersants vienlaikus darbojas vienā vai vairākās nozarēs vai veic citas darbības, kas neietilpst regulas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skaidru un vienotu terminoloģiju, un, ņemot vērā, ka MK noteikumu 29.1. apakšpunktā noteiktais nosacījums attiecas uz projekta iesniedzēju un sadarbības partneri, lūdzam, pirmkārt, MK noteikumu 29.1. apakšpunktā vārdu "komersants" aizstāt ar "projekta iesniedzējs un sadarbības partneris". Otrkārt, pēc analoģijas lūdzam precizēt arī MK noteikumu 29.2. apakšpunktu, jo šajā punktā noteiktais nosacījums tiek vērtēts vēl pirms projekta iesniedzējam vai sadarbības partnerim tiek piešķirts komercdarbības atbalsts, tādējādi termina "atbalsta saņēmējs" lietošana šajā gadījumā nav atbilstoša. Treškārt, lai izvairītos no interpretācijas iespējas, ka attiecībā uz sadarbības partneri vēl tiek vērtēts, vai tiek/netiek piešķirts de minimis atbalsts, lūdzam no MK noteikumu 29. panta ievaddaļas svītrot vārdus un iekavas "(ja attiecināms)", jo MK noteikumi nosaka, ka gan projekta iesniedzējam, gan sadarbības partnerim tiks piešķirts de minimis atbalsts, ja tas projektā iekļautajā objektā veic vai pēc projekta īstenošanas plāno veikt saimniecisko darbību. Ceturtkārt, ņemot vērā, ka pasākuma ietvaros tiek sniegts atbalsts ar saimniecisku darbību nesaistītiem projektiem, lūdzam papildināt MK noteikumus ar normu, kas nosaka, ka finansējuma saņēmējs un sadarbības partneris nodrošinās atsevišķa darījumu ieņēmumu un izdevumu grāmatvedības uzskaiti, kā arī darbību un ar to īstenošanu saistīto finanšu plūsmu nodalīšanu, lai saimnieciska rakstura darbības negūtu labumu no publiskajiem līdzekļiem, kas piešķirti ar saimniecisku darbību nesaistītām darbībām (piedāvājam ar papildus teikumu papildināt MK noteikumu 29.1. apakšpunktu), kā arī, piektkārt, ņemot vērā to, ka MK noteikumu ietvaros tiek paredzēta iespēja piesaistīt sadarbības partnerus un tiem tiek sniegts atbalsts, tad lūdzam MK noteikumu 40. punktā noteikto pienākumu attiecināt arī uz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MK noteikumu sākotnējā anotācijā ir skaidrots, ka “Pasākuma ietvaros atbalsts tiek sniegts ar saimniecisko darbību nesaistītiem projektiem un projektiem, kas ir saistīti ar saimniecisku darbību, kurai sniegtais atbalsts ir kvalificējams kā komercdarbības atbalsts”, proti, ka tikai gadījumā, kad vienlaikus izpildās visas valsts atbalsta pazīmes, kas uzskaitītas arī Komercdarbības atbalsta kontroles likuma 5.pantā, tiktu piemērots de minimis atbalsts, aicinām pārskatīt MK noteikumus, jo šobrīd tie ir stingrāki. Piedāvājam, tostarp, precizēt MK noteikumu 29. punkta ievaddaļu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Komercdarbības atbalstu projekta iesniedzējam un sadarbības partnerim, kas projektā iekļautajā objektā veic vai pēc projekta īstenošanas plāno veikt saimniecisko darbību, kurai sniegtais atbalsts ir kvalificējams kā komercdarbības atbalsts, par šo noteikumu 24. punktā minētajām izmaksām sniedz saskaņā ar Komisijas 2023. gada 13. decembra Regulu (ES) 2023/2831 par Līguma par Eiropas Savienības darbību 107. un 108. panta piemērošanu de minimis atbalstam (turpmāk – regula​ 2023/2831),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28. un 29. punktu, 29.1. un 29.2. apakšpunktu, un 40. punktu, kā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administratīvā sloga visām iesaistītajām pusēm (projektu iesniedzējiem, finansējuma saņēmējiem, projektu uzraugiem) mazināšanas nolūkā MK noteikumi neparedz papildinošo saimniecisko darbību. Šajā pasākumā atbalsts tiek sniegts infrastruktūrai (objektiem), kurā tiek veiktas pārvaldes funkcijas vai pildīti pārvaldes uzdevumi, attiecīgi jebkurai saimnieciskai darbībai, kas nav pārvaldes funkcija vai uzdevums, vai arī parastais papildpakalpojums, piemēram, ēdināšanas pakalpojumi ēkā, kurā tiek īstenotas pārvaldes funkcijas vai pildīti pārvaldes uzdevumi, nodarbinātajiem, piešķirams </w:t>
            </w:r>
            <w:r w:rsidR="00000000" w:rsidRPr="00000000" w:rsidDel="00000000">
              <w:rPr>
                <w:i w:val="1"/>
                <w:rtl w:val="0"/>
              </w:rPr>
              <w:t xml:space="preserve">de minimis</w:t>
            </w:r>
            <w:r w:rsidR="00000000" w:rsidRPr="00000000" w:rsidDel="00000000">
              <w:rPr>
                <w:rtl w:val="0"/>
              </w:rPr>
              <w:t xml:space="preserve"> atbalsts. </w:t>
            </w:r>
            <w:r w:rsidR="00000000" w:rsidRPr="00000000" w:rsidDel="00000000">
              <w:rPr>
                <w:i w:val="1"/>
                <w:rtl w:val="0"/>
              </w:rPr>
              <w:t xml:space="preserve">De minimis</w:t>
            </w:r>
            <w:r w:rsidR="00000000" w:rsidRPr="00000000" w:rsidDel="00000000">
              <w:rPr>
                <w:rtl w:val="0"/>
              </w:rPr>
              <w:t xml:space="preserve"> atbalsta piešķiršana saimnieciskai darbībai ir </w:t>
            </w:r>
            <w:r w:rsidR="00000000" w:rsidRPr="00000000" w:rsidDel="00000000">
              <w:rPr>
                <w:i w:val="1"/>
                <w:rtl w:val="0"/>
              </w:rPr>
              <w:t xml:space="preserve">mazāk </w:t>
            </w:r>
            <w:r w:rsidR="00000000" w:rsidRPr="00000000" w:rsidDel="00000000">
              <w:rPr>
                <w:rtl w:val="0"/>
              </w:rPr>
              <w:t xml:space="preserve">birokrātiska un nodrošina procesā iesaistīto dalībnieku resursu mazāku un ilglaicīgi efektīvāku izmantošanu, kā arī mazina nelikumīga valsts atbalsta risku. Ar parastajiem papildpakalpojumiem šo noteikumu izpratnē saprot, piemēram, ēdināšanas pakalpojumus ēkā nodarbinātajiem un apmeklētājiem, kuri saņem pārvaldes funkciju un uzdevumu izpildes ietvaros sniegtos pakalpojumus. Attiecīgi šādus ēdināšanas pakalpojumus pamatā izmanto ierobežots lietotāju loks – tie, kas ir tieši saistīti ar konkrētās infrastruktūras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papildināt noteikumu projekta 29.1. apakšpunktu ar nosacījumu, ka finansējuma saņēmējs un sadarbības partneris nodrošinās atsevišķa darījumu ieņēmumu un izdevumu grāmatvedības uzskaiti, kā arī darbību un ar to īstenošanu saistīto finanšu plūsmu nodalīšanu, lai saimnieciska rakstura darbības negūtu labumu no publiskajiem līdzekļiem, paskaidrojam, ka esošā noteikumu projekta redakcija jau nodrošina regulas nr. 2023/2831 1. panta 1. un 2. punkta izpildi, jo īpaši ņemot vērā, ka projektu iesniedzēji un sadarbības partneri darbojas valsts varas īstenošanas jomā (pārvaldes funkcijas un pārvaldes uzdevumi). Savukārt, </w:t>
            </w:r>
            <w:r w:rsidR="00000000" w:rsidRPr="00000000" w:rsidDel="00000000">
              <w:rPr>
                <w:i w:val="1"/>
                <w:rtl w:val="0"/>
              </w:rPr>
              <w:t xml:space="preserve">Eiropas Savienības fondu 2021.—2027. gada plānošanas perioda vadības likuma</w:t>
            </w:r>
            <w:r w:rsidR="00000000" w:rsidRPr="00000000" w:rsidDel="00000000">
              <w:rPr>
                <w:rtl w:val="0"/>
              </w:rPr>
              <w:t xml:space="preserve"> 18. panta pirmās daļas 7. punkts nosaka, ka finansējuma saņēmējam ir pienākums nodrošināt atsevišķu grāmatvedības uzskaiti par katra projekta izdevumiem vai atbilstošu uzskaites kodu sistēmu attiecībā uz visiem ar projektu saistītajiem darījumiem. Kārtība, kādā budžeta iestādes veic saimnieciskās darbības ieņēmumu uzskaiti ir noteikta citos normatīvajos aktos. Ņemot vērā iepriekš minēto, priekšlikums papildināt noteikumu 29.1. apakšpunktu radītu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w:t>
            </w:r>
            <w:r w:rsidR="00000000" w:rsidRPr="00000000" w:rsidDel="00000000">
              <w:rPr>
                <w:i w:val="1"/>
                <w:rtl w:val="0"/>
              </w:rPr>
              <w:t xml:space="preserve">de minimis</w:t>
            </w:r>
            <w:r w:rsidR="00000000" w:rsidRPr="00000000" w:rsidDel="00000000">
              <w:rPr>
                <w:rtl w:val="0"/>
              </w:rPr>
              <w:t xml:space="preserve"> atbalstu piešķir, ievērojot regulas </w:t>
            </w:r>
            <w:r w:rsidR="00000000" w:rsidRPr="00000000" w:rsidDel="00000000">
              <w:rPr>
                <w:rtl w:val="0"/>
              </w:rPr>
              <w:t xml:space="preserve">2023/2831</w:t>
            </w:r>
            <w:r w:rsidR="00000000" w:rsidRPr="00000000" w:rsidDel="00000000">
              <w:rPr>
                <w:rtl w:val="0"/>
              </w:rPr>
              <w:t xml:space="preserve"> 1. panta 1. punktā minētos nozaru un darbības ierobežojumus. Ja projekta iesniedzējs un sadarbības partneris vienlaikus darbojas vienā vai vairākās nozarēs vai veic citas darbības, kas neietilpst regulas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nodrošina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pantu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Nr.318 42.4. apakšpunktā ietvertās atsauces uz Eiropas Parlamenta un Padomes 2024. gada 23. septembra Regulas (ES, Euratom) 2024/2509 par finanšu noteikumiem, ko piemēro Savienības vispārējam budžetam (pārstrādātā redakcija)  61. pantu pamatotību, jo skaidrojam, ka minētais regulējums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42.4.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Grozījumi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piemērojami vienādi visiem projektiem, kas iesniegti, sākot no 2025. gada 11. jūnija.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ietvaros ietvertajai tiesību normai ir jābūt skaidrai un nepārprotamai, lūdzam precizēt noteikumu projekta 17.punktā izteikto 46.punktu vai to skaidrot ņemot vērā, ka kā piemēram grozījumi, kas skar sadarbības partnerus ir ietverti arī citos punktos, kā piemēram izteiktajā MK noteikumu Nr.318 29.punktā, 42. punktā un 44.punktā.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MK noteikumu 46.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Grozījumi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kā arī </w:t>
            </w:r>
            <w:r w:rsidR="00000000" w:rsidRPr="00000000" w:rsidDel="00000000">
              <w:rPr>
                <w:rtl w:val="0"/>
              </w:rPr>
              <w:t xml:space="preserve">29.1.</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piemērojami projektu iesniegumiem, kas iesniegti, sākot no 2025. gada 11. jūnija.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26-TA-247</w:t>
    </w:r>
    <w:r>
      <w:br/>
    </w:r>
    <w:r w:rsidR="00000000" w:rsidRPr="00000000" w:rsidDel="00000000">
      <w:rPr>
        <w:rtl w:val="0"/>
      </w:rPr>
      <w:t xml:space="preserve">10.03.2026. 11.09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26-TA-247</w:t>
    </w:r>
    <w:r>
      <w:br/>
    </w:r>
    <w:r w:rsidR="00000000" w:rsidRPr="00000000" w:rsidDel="00000000">
      <w:rPr>
        <w:rtl w:val="0"/>
      </w:rPr>
      <w:t xml:space="preserve">10.03.2026. 11.09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Izziņa_26-TA-247.docx</dc:title>
</cp:coreProperties>
</file>

<file path=docProps/custom.xml><?xml version="1.0" encoding="utf-8"?>
<Properties xmlns="http://schemas.openxmlformats.org/officeDocument/2006/custom-properties" xmlns:vt="http://schemas.openxmlformats.org/officeDocument/2006/docPropsVTypes"/>
</file>