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24-TA-3290: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16. janvāra noteikumos Nr. 51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(24.08.2024.)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 ar transportmijas punkta un dispečerpunkta izbūvi saistītu kontakttīklu izbūves, pārbūves un atjaunošanas izmaksas, kā arī saistītu elektroapgādes sistēmu – kabeļu trašu un apakšstaciju – izbūves, pārbūves un atjaunošanas izmaksas, tostarp saistībā ar jaudas palielināšanu, lai nodrošinātu to funkcionēšanu;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brīža MKN redakcija nepieļauj Finansējuma saņēmējam būvdarbu vajadzībām paša iepirkto materiālu attiecināšanu, ierosinām veikt MKN projekta 29.12. punkta papildinājumu, lai būtu iespējams projekta “7.tramvaja līnijas pagarinājuma izbūve” budžetā un darbībās iekļaut Finansējuma saņēmēja t.i. “Rīgas satiksme” pašu veikto darbu - kontakttīkla infrastruktūras - izbūvei nepieciešamo materiālu iegādi (skatīt piedāvāto 29.12.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sniedzam plašāku skaidrojumu par tramvaja un trolejbusa kontakttīkla izbūves specifiku, kā dēļ “Rīgas satiksme” attiecīgos darbus veic pašu spēkiem, tostarp nodrošinot atbilstošu materiālu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“Rīgas satiksme” sabiedriskā transporta infrastruktūras izveides nodrošināšanai ne visiem būvdarbiem piesaista ārpakalpojumu, bet konkrētus infrastruktūras izbūves darbus, pamatojoties uz Sabiedrisko pakalpojumu sniedzēju iepirkumu likuma 10. panta nosacījumiem veic paši, proti, attiecīgajā gadījumā tramvaja un trolejbusa kontakttīkla uzkarsistēmas izbūves darbus, tostarp rīkojot iepirkumus atbilstošu uzkarsistēmas materiālu piegāžu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“Rīgas satiksme” rīcībā ir tehniskais nodrošinājums, atbilstoši apmācīti, kvalificēti un pieredzējuši speciālisti, tādējādi ir iespējams šos darbus veikt ievērojami produktīvāk, kvalitatīvāk un lētāk, kā arī iegādāties darbiem nepieciešamos atbilstošos materiālus izdevīgāk, nekā tas būtu izmantojot ārpakalpojumu, kas savā piedāvājumā iekļauj peļņas daļu gan par tehnisko nodrošinājumu, gan par darbinieku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apstākli, ka “Rīgas satiksme” paši organizē uzkarsistēmas izbūvei nepieciešamo materiālu iegādi, tad iepirkuma ietvaros iegādātajiem materiāliem “Rīgas satiksme” uztur arī noliktavu ar kontakttīkla uzturēšanai un tekošo darbu veikšanai nepieciešamajām detaļām, kas nozīmē, ka uzņēmums ir elastīgs būvniecības procesā, ja gadījumā atklāsies kādi apstākļi, kuru dēļ būs nepieciešams papildu starpposmi pārbūves procesā, Rīgas satiksmei” attiecīgi ir gan materiālie, gan cilvēkresursi, gan tehniskais nodrošinājums, atbilstoša pieredze, kā arī tehniski drošas iespējas izpildīt darbus tā, lai nodrošinātu darbu izpildes ātrumu un kvalitāti, kā arī kopējās izmaksas būtu zemākas, nekā šiem darbiem tostarp materiālu iegādei piesaistot ārpakalpojumu. Projekta ietvaros “Rīgas satiksme” plāno, ka ar kontakttīkla uzkarsistēmas pārbūves darbu veikšanu saistītās darba izmaksas tiks segtas no pašu līdzekļiem, neiekļaujot izmaksas projekta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29.12. ar tramvaja un trolejbusa līniju pagarinājumu (tostarp transportmijas punkta un dispečerpunkta) izbūvi saistītu kontakttīkla materiālu iegādes un kontakttīklu izbūves, pārbūves un atjaunošanas izmaksas, kā arī saistītu elektroapgādes sistēmu – kabeļu trašu un apakšstaciju – izbūves, pārbūves un atjaunošanas izmaksas, tostarp saistībā ar jaudas palielināšanu, lai nodrošinātu to funkcionēšanu.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17.01.2025. saņemta vēstule (e-pasts) no Rīgas un Pierīgas pašvaldību apvienības "Rīgas Metropole" ar lūgums mainīt no "iebildums" un "priekšlikums". Pievienots kā ārpus TAP saņemts atzinums.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 ar tramvaja un trolejbusa līniju pagarinājumu (tostarp transportmijas punkta un dispečerpunkta) izbūvi saistītu kontakttīkla materiālu iegādes un kontakttīklu izbūves, pārbūves un atjaunošanas izmaksas, kā arī saistītu elektroapgādes sistēmu – kabeļu trašu un apakšstaciju – izbūves, pārbūves un atjaunošanas izmaksas, tostarp saistībā ar jaudas palielināšanu, lai nodrošinātu to funkcionēšanu;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"Pašreizējā situācija, problēmas un risinājumi", ar detalizētāku informāciju par pašreizējo situāciju 1.1.1.2.i.2, 1.1.1.2.i.3.pasākumos, t.sk., pēc būtības skaidrojot finansējuma samazinājuma apsvērumus, sākotnēji plānotā Rīgas valstspilsētas pašvaldības projekta neīstenošanas iemeslu, mērķim, kādam finansējums tiks pārdalīts, lai būtu skaidrs pamatojums konkrēto noteikumu grozīšanai.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6. punktā norādīt gan investīcijas pasākuma īstenošanas kopējo finansējumu, gan tā sadalījumu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norādīt, kā tiek aprēķināta finansiālā ietekme uz pašvaldību budžetiem pa gadiem, ievērojot, ka gadījumā, ja investīcijas ietvaros finansējums tiek piešķirts pašvaldības kapitālsabiedrībai, tad attiecīgās PVN izmaksas nav jānorāda pie ietekmes uz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sadaļā precizēt gadus, jo kā kārtējais gads jānorāda 2025. 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punktā “Cita informācija” norādīt, ka nepieciešamais Atveseļošanas fonda finansējums investīcijas pasākuma īstenošanai tiks nodrošināts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1.1.1.2.i.2.saistītā pasākuma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(turpmāk - Ministru kabineta kārtības rullis) 55.punktam atbildīgā ministrija, virzot projektu saskaņošanai, nosaka atzinuma sniegšanas termiņu vispārējā kārtībā – no 10 darbdienām, steidzamības kārtībā – līdz trim darbdienām. Steidzamības kārtību var piemērot tikai izņēmuma gadījumā, ja jautājumu nepieciešams </w:t>
            </w:r>
            <w:r w:rsidR="00000000" w:rsidRPr="00000000" w:rsidDel="00000000">
              <w:rPr>
                <w:u w:val="single"/>
                <w:rtl w:val="0"/>
              </w:rPr>
              <w:t xml:space="preserve">risināt nekavējoties saistībā ar tādu valstij nelabvēlīgu seku iestāšanos, kas skar būtiskas sabiedrības intereses vai valsts starptautiskās, finanšu, ekonomiskās vai drošības intereses</w:t>
            </w:r>
            <w:r w:rsidR="00000000" w:rsidRPr="00000000" w:rsidDel="00000000">
              <w:rPr>
                <w:rtl w:val="0"/>
              </w:rPr>
              <w:t xml:space="preserve">. Steidzamība </w:t>
            </w:r>
            <w:r w:rsidR="00000000" w:rsidRPr="00000000" w:rsidDel="00000000">
              <w:rPr>
                <w:u w:val="single"/>
                <w:rtl w:val="0"/>
              </w:rPr>
              <w:t xml:space="preserve">jāpamato pēc būtības, norādot konkrētās nelabvēlīgās sekas</w:t>
            </w:r>
            <w:r w:rsidR="00000000" w:rsidRPr="00000000" w:rsidDel="00000000">
              <w:rPr>
                <w:rtl w:val="0"/>
              </w:rPr>
              <w:t xml:space="preserve">. Par steidzamības pamatu netiek uzskatīts iepriekš laikus zināma uzdevuma izpildes termiņa kavējums. Attiecīgi aicinām precizēt steidzamības pamatojumu, sniedzot skaidrojumu atbilstoši Ministru kabineta kārtības ruļļa 55.2. apakšpunktam. Ja atbilstošu skaidrojumu nav iespējams sniegt, aicinām virzīt projektu saskaņošanai vispārējā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noteikumu projekta anotācijā sniegt skaidrojumu par katra grozījuma nepieciešamību un mērķi. Proti, lūdzam neaprobežoties ar vispārīgām norādēm (piemēram: "</w:t>
            </w:r>
            <w:r w:rsidR="00000000" w:rsidRPr="00000000" w:rsidDel="00000000">
              <w:rPr>
                <w:i w:val="1"/>
                <w:rtl w:val="0"/>
              </w:rPr>
              <w:t xml:space="preserve">Nepieciešams precizēt [..] noteikumus [..] atbilstoši Ministru kabineta [..] rīkojumam [..].</w:t>
            </w:r>
            <w:r w:rsidR="00000000" w:rsidRPr="00000000" w:rsidDel="00000000">
              <w:rPr>
                <w:rtl w:val="0"/>
              </w:rPr>
              <w:t xml:space="preserve">"), bet tā vietā skaidrot problemātiku, kas pamato veikt konkrēto grozījumu un pamatojumu, kādēļ izraudzītais risinājums ir nepieciešams. Vienlaikus aicinām anotācijas 1.3.sadaļā ietvert atsauces uz noteikumu projekta punktiem, kuros tiek veikti grozījumi, lai anotācijā sniegtie skaidrojumi būtu skaidri identificējami.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1.1.1.2.i.2.saistītā pasākuma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komercdarbības atbalsts netiek sniegts finansējuma saņēmējam, uz kuru attiecas līdzekļu atgūšanas rīkojums saskaņā ar </w:t>
            </w:r>
            <w:r w:rsidR="00000000" w:rsidRPr="00000000" w:rsidDel="00000000">
              <w:rPr>
                <w:rtl w:val="0"/>
              </w:rPr>
              <w:t xml:space="preserve">regulas Nr. 651/2014</w:t>
            </w:r>
            <w:r w:rsidR="00000000" w:rsidRPr="00000000" w:rsidDel="00000000">
              <w:rPr>
                <w:rtl w:val="0"/>
              </w:rPr>
              <w:t xml:space="preserve"> 1. panta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regulas Nr.651/2014 1.panta 4.punkta a) apakšpunkta un 4.panta 1.punkta nosacījumi ir jāvērtē/jāpiemēro uzņēmuma grupas līmenī, jo Komisijas regulas Nr.651/2014 angliskajā versijā nosacījumi, kas ir attiecināmi uz “undertaking”, ir jāpārbauda/jāpiemēro uzņēmuma grupas līmenī. Ņemot vērā iepriekš minēto, lūdzam precizēt noteikumu projekta 44.2. un 44.3.punktu tā, lai nodrošinātu, ka finansējuma saņēmējs tiek vērtēts grupas līmenī, ņemot vērā visus ar to saistītos uzņēmumus (lūdzam pēc analoģijas skatīt noteikumu 20.punkta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44.2. un 44.3. apakšpunkti.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komercdarbības atbalsts netiek sniegts finansējuma saņēmējam, uz kuru attiecas līdzekļu atgūšanas rīkojums saskaņā ar </w:t>
            </w:r>
            <w:r w:rsidR="00000000" w:rsidRPr="00000000" w:rsidDel="00000000">
              <w:rPr>
                <w:rtl w:val="0"/>
              </w:rPr>
              <w:t xml:space="preserve">regulas Nr. 651/2014</w:t>
            </w:r>
            <w:r w:rsidR="00000000" w:rsidRPr="00000000" w:rsidDel="00000000">
              <w:rPr>
                <w:rtl w:val="0"/>
              </w:rPr>
              <w:t xml:space="preserve"> 1. panta 4. punktu. Finansējuma saņēmējs tiek vērtēts uzņēmuma grupas līmenī, ņemot vērā visus ar to saistītos uzņēmumus.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24-TA-3290</w:t>
    </w:r>
    <w:r>
      <w:br/>
    </w:r>
    <w:r w:rsidR="00000000" w:rsidRPr="00000000" w:rsidDel="00000000">
      <w:rPr>
        <w:rtl w:val="0"/>
      </w:rPr>
      <w:t xml:space="preserve">05.02.2025. 17.03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24-TA-3290</w:t>
    </w:r>
    <w:r>
      <w:br/>
    </w:r>
    <w:r w:rsidR="00000000" w:rsidRPr="00000000" w:rsidDel="00000000">
      <w:rPr>
        <w:rtl w:val="0"/>
      </w:rPr>
      <w:t xml:space="preserve">05.02.2025. 17.03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Izziņa_24-TA-3290.docx</dc:title>
</cp:coreProperties>
</file>

<file path=docProps/custom.xml><?xml version="1.0" encoding="utf-8"?>
<Properties xmlns="http://schemas.openxmlformats.org/officeDocument/2006/custom-properties" xmlns:vt="http://schemas.openxmlformats.org/officeDocument/2006/docPropsVTypes"/>
</file>