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7F2F" w:rsidRDefault="00637F2F" w:rsidP="00637F2F">
      <w:pPr>
        <w:outlineLvl w:val="0"/>
        <w:rPr>
          <w:lang w:val="en-US"/>
        </w:rPr>
      </w:pPr>
      <w:r>
        <w:rPr>
          <w:b/>
          <w:bCs/>
          <w:lang w:val="en-US"/>
        </w:rPr>
        <w:t>From:</w:t>
      </w:r>
      <w:r>
        <w:rPr>
          <w:lang w:val="en-US"/>
        </w:rPr>
        <w:t xml:space="preserve"> Juta </w:t>
      </w:r>
      <w:proofErr w:type="spellStart"/>
      <w:r>
        <w:rPr>
          <w:lang w:val="en-US"/>
        </w:rPr>
        <w:t>Ķupe</w:t>
      </w:r>
      <w:proofErr w:type="spellEnd"/>
      <w:r>
        <w:rPr>
          <w:lang w:val="en-US"/>
        </w:rPr>
        <w:t xml:space="preserve"> &lt;</w:t>
      </w:r>
      <w:hyperlink r:id="rId4" w:history="1">
        <w:r>
          <w:rPr>
            <w:rStyle w:val="Hyperlink"/>
            <w:lang w:val="en-US"/>
          </w:rPr>
          <w:t>Juta.Kupe@tm.gov.lv</w:t>
        </w:r>
      </w:hyperlink>
      <w:r>
        <w:rPr>
          <w:lang w:val="en-US"/>
        </w:rPr>
        <w:t xml:space="preserve">&gt; </w:t>
      </w:r>
      <w:r>
        <w:rPr>
          <w:lang w:val="en-US"/>
        </w:rPr>
        <w:br/>
      </w:r>
      <w:r>
        <w:rPr>
          <w:b/>
          <w:bCs/>
          <w:lang w:val="en-US"/>
        </w:rPr>
        <w:t>Sent:</w:t>
      </w:r>
      <w:r>
        <w:rPr>
          <w:lang w:val="en-US"/>
        </w:rPr>
        <w:t xml:space="preserve"> Thursday, July 22, 2021 4:30 PM</w:t>
      </w:r>
      <w:r>
        <w:rPr>
          <w:lang w:val="en-US"/>
        </w:rPr>
        <w:br/>
      </w:r>
      <w:r>
        <w:rPr>
          <w:b/>
          <w:bCs/>
          <w:lang w:val="en-US"/>
        </w:rPr>
        <w:t>To:</w:t>
      </w:r>
      <w:r>
        <w:rPr>
          <w:lang w:val="en-US"/>
        </w:rPr>
        <w:t xml:space="preserve"> ZM &lt;</w:t>
      </w:r>
      <w:hyperlink r:id="rId5" w:history="1">
        <w:r>
          <w:rPr>
            <w:rStyle w:val="Hyperlink"/>
            <w:lang w:val="en-US"/>
          </w:rPr>
          <w:t>pasts@zm.gov.lv</w:t>
        </w:r>
      </w:hyperlink>
      <w:r>
        <w:rPr>
          <w:lang w:val="en-US"/>
        </w:rPr>
        <w:t>&gt;; Inese Bārtule &lt;</w:t>
      </w:r>
      <w:hyperlink r:id="rId6" w:history="1">
        <w:r>
          <w:rPr>
            <w:rStyle w:val="Hyperlink"/>
            <w:lang w:val="en-US"/>
          </w:rPr>
          <w:t>Inese.Bartule@zm.gov.lv</w:t>
        </w:r>
      </w:hyperlink>
      <w:r>
        <w:rPr>
          <w:lang w:val="en-US"/>
        </w:rPr>
        <w:t>&gt;</w:t>
      </w:r>
      <w:r>
        <w:rPr>
          <w:lang w:val="en-US"/>
        </w:rPr>
        <w:br/>
      </w:r>
      <w:r>
        <w:rPr>
          <w:b/>
          <w:bCs/>
          <w:lang w:val="en-US"/>
        </w:rPr>
        <w:t>Cc:</w:t>
      </w:r>
      <w:r>
        <w:rPr>
          <w:lang w:val="en-US"/>
        </w:rPr>
        <w:t xml:space="preserve"> TM KANCELEJA &lt;</w:t>
      </w:r>
      <w:hyperlink r:id="rId7" w:history="1">
        <w:r>
          <w:rPr>
            <w:rStyle w:val="Hyperlink"/>
            <w:lang w:val="en-US"/>
          </w:rPr>
          <w:t>pasts@tm.gov.lv</w:t>
        </w:r>
      </w:hyperlink>
      <w:r>
        <w:rPr>
          <w:lang w:val="en-US"/>
        </w:rPr>
        <w:t xml:space="preserve">&gt;; </w:t>
      </w:r>
      <w:proofErr w:type="spellStart"/>
      <w:r>
        <w:rPr>
          <w:lang w:val="en-US"/>
        </w:rPr>
        <w:t>Sandis</w:t>
      </w:r>
      <w:proofErr w:type="spellEnd"/>
      <w:r>
        <w:rPr>
          <w:lang w:val="en-US"/>
        </w:rPr>
        <w:t xml:space="preserve"> </w:t>
      </w:r>
      <w:proofErr w:type="spellStart"/>
      <w:r>
        <w:rPr>
          <w:lang w:val="en-US"/>
        </w:rPr>
        <w:t>Vilcāns</w:t>
      </w:r>
      <w:proofErr w:type="spellEnd"/>
      <w:r>
        <w:rPr>
          <w:lang w:val="en-US"/>
        </w:rPr>
        <w:t xml:space="preserve"> &lt;</w:t>
      </w:r>
      <w:hyperlink r:id="rId8" w:history="1">
        <w:r>
          <w:rPr>
            <w:rStyle w:val="Hyperlink"/>
            <w:lang w:val="en-US"/>
          </w:rPr>
          <w:t>Sandis.Vilcans@tm.gov.lv</w:t>
        </w:r>
      </w:hyperlink>
      <w:r>
        <w:rPr>
          <w:lang w:val="en-US"/>
        </w:rPr>
        <w:t>&gt;</w:t>
      </w:r>
      <w:r>
        <w:rPr>
          <w:lang w:val="en-US"/>
        </w:rPr>
        <w:br/>
      </w:r>
      <w:r>
        <w:rPr>
          <w:b/>
          <w:bCs/>
          <w:lang w:val="en-US"/>
        </w:rPr>
        <w:t>Subject:</w:t>
      </w:r>
      <w:r>
        <w:rPr>
          <w:lang w:val="en-US"/>
        </w:rPr>
        <w:t xml:space="preserve"> </w:t>
      </w:r>
      <w:proofErr w:type="spellStart"/>
      <w:r>
        <w:rPr>
          <w:lang w:val="en-US"/>
        </w:rPr>
        <w:t>Pārs</w:t>
      </w:r>
      <w:proofErr w:type="spellEnd"/>
      <w:r>
        <w:rPr>
          <w:lang w:val="en-US"/>
        </w:rPr>
        <w:t xml:space="preserve">.: 5 </w:t>
      </w:r>
      <w:proofErr w:type="spellStart"/>
      <w:r>
        <w:rPr>
          <w:lang w:val="en-US"/>
        </w:rPr>
        <w:t>dienu</w:t>
      </w:r>
      <w:proofErr w:type="spellEnd"/>
      <w:r>
        <w:rPr>
          <w:lang w:val="en-US"/>
        </w:rPr>
        <w:t xml:space="preserve"> </w:t>
      </w:r>
      <w:proofErr w:type="spellStart"/>
      <w:r>
        <w:rPr>
          <w:lang w:val="en-US"/>
        </w:rPr>
        <w:t>elektroniskai</w:t>
      </w:r>
      <w:proofErr w:type="spellEnd"/>
      <w:r>
        <w:rPr>
          <w:lang w:val="en-US"/>
        </w:rPr>
        <w:t xml:space="preserve"> </w:t>
      </w:r>
      <w:proofErr w:type="spellStart"/>
      <w:r>
        <w:rPr>
          <w:lang w:val="en-US"/>
        </w:rPr>
        <w:t>saskaņošanai</w:t>
      </w:r>
      <w:proofErr w:type="spellEnd"/>
      <w:r>
        <w:rPr>
          <w:lang w:val="en-US"/>
        </w:rPr>
        <w:t xml:space="preserve"> (VSS-580)</w:t>
      </w:r>
    </w:p>
    <w:p w:rsidR="00637F2F" w:rsidRDefault="00637F2F" w:rsidP="00637F2F"/>
    <w:p w:rsidR="00637F2F" w:rsidRDefault="00637F2F" w:rsidP="00637F2F">
      <w:pPr>
        <w:rPr>
          <w:color w:val="000000"/>
          <w:sz w:val="24"/>
          <w:szCs w:val="24"/>
        </w:rPr>
      </w:pPr>
      <w:r>
        <w:rPr>
          <w:rFonts w:ascii="Times New Roman" w:hAnsi="Times New Roman" w:cs="Times New Roman"/>
          <w:color w:val="000000"/>
          <w:sz w:val="24"/>
          <w:szCs w:val="24"/>
          <w:shd w:val="clear" w:color="auto" w:fill="FFFFFF"/>
        </w:rPr>
        <w:t>Sveicināti!</w:t>
      </w:r>
      <w:r>
        <w:rPr>
          <w:color w:val="000000"/>
          <w:sz w:val="24"/>
          <w:szCs w:val="24"/>
        </w:rPr>
        <w:t xml:space="preserve"> </w:t>
      </w:r>
    </w:p>
    <w:p w:rsidR="00637F2F" w:rsidRDefault="00637F2F" w:rsidP="00637F2F">
      <w:pPr>
        <w:shd w:val="clear" w:color="auto" w:fill="FFFFFF"/>
        <w:rPr>
          <w:color w:val="000000"/>
          <w:sz w:val="24"/>
          <w:szCs w:val="24"/>
        </w:rPr>
      </w:pPr>
    </w:p>
    <w:p w:rsidR="00637F2F" w:rsidRDefault="00637F2F" w:rsidP="00637F2F">
      <w:pPr>
        <w:shd w:val="clear" w:color="auto" w:fill="FFFFFF"/>
        <w:rPr>
          <w:color w:val="000000"/>
          <w:sz w:val="24"/>
          <w:szCs w:val="24"/>
        </w:rPr>
      </w:pPr>
      <w:r>
        <w:rPr>
          <w:rFonts w:ascii="Times New Roman" w:hAnsi="Times New Roman" w:cs="Times New Roman"/>
          <w:color w:val="000000"/>
          <w:sz w:val="24"/>
          <w:szCs w:val="24"/>
          <w:shd w:val="clear" w:color="auto" w:fill="FFFFFF"/>
        </w:rPr>
        <w:t>Tieslietu ministrija ir izskatījusi 2021. gada 15. jūlijā saņemto Zemkopības ministrijas precizēto </w:t>
      </w:r>
      <w:r>
        <w:rPr>
          <w:rFonts w:ascii="Times New Roman" w:hAnsi="Times New Roman" w:cs="Times New Roman"/>
          <w:color w:val="000000"/>
          <w:sz w:val="24"/>
          <w:szCs w:val="24"/>
        </w:rPr>
        <w:t>Ministru kabineta noteikumu projektu "Grozījumi Ministru kabineta 2015. gada 22. decembra noteikumos Nr. 799 "Licencētās makšķerēšanas, vēžošanas un zemūdens medību kārtība"" (VSS-580) (turpmāk - projekts), </w:t>
      </w:r>
      <w:r>
        <w:rPr>
          <w:rFonts w:ascii="Times New Roman" w:hAnsi="Times New Roman" w:cs="Times New Roman"/>
          <w:color w:val="000000"/>
          <w:sz w:val="24"/>
          <w:szCs w:val="24"/>
          <w:bdr w:val="none" w:sz="0" w:space="0" w:color="auto" w:frame="1"/>
        </w:rPr>
        <w:t>tā anotāciju un izziņu par atzinumos sniegtajiem iebildumiem un atbalsta to tālāku virzību</w:t>
      </w:r>
      <w:r>
        <w:rPr>
          <w:rFonts w:ascii="Times New Roman" w:hAnsi="Times New Roman" w:cs="Times New Roman"/>
          <w:color w:val="000000"/>
          <w:sz w:val="24"/>
          <w:szCs w:val="24"/>
          <w:bdr w:val="none" w:sz="0" w:space="0" w:color="auto" w:frame="1"/>
          <w:shd w:val="clear" w:color="auto" w:fill="FFFFFF"/>
        </w:rPr>
        <w:t>, izsakot šādus iebildumus:</w:t>
      </w:r>
    </w:p>
    <w:p w:rsidR="00637F2F" w:rsidRDefault="00637F2F" w:rsidP="00637F2F">
      <w:pPr>
        <w:shd w:val="clear" w:color="auto" w:fill="FFFFFF"/>
        <w:rPr>
          <w:color w:val="000000"/>
          <w:sz w:val="24"/>
          <w:szCs w:val="24"/>
        </w:rPr>
      </w:pPr>
      <w:r>
        <w:rPr>
          <w:rFonts w:ascii="Times New Roman" w:hAnsi="Times New Roman" w:cs="Times New Roman"/>
          <w:color w:val="000000"/>
          <w:sz w:val="24"/>
          <w:szCs w:val="24"/>
        </w:rPr>
        <w:t>1. Projekta 3. punktā paredzēts, ka organizētājam ir pienākums "reģistrēt personas, kas ir pārkāpušas nolikumā noteikto lomu uzskaites kārtību, un brīdināt attiecīgo personu par loma pārskata neiesniegšanu, nosūtot paziņojumu uz licencē norādīto elektronisko pastu un tajā informējot par loma pārskata iesniegšanas galīgo termiņu, kas nav īsāks par piecām dienām un nepārsniedz divas nedēļas no pieprasījuma saņemšanas dienas. Ja persona noteiktajā termiņā loma pārskatu neiesniedz, tai tiek liegts uz vienu gadu izmantot licencētās makšķerēšanas, vēžošanas un zemūdens medību tiesības attiecīgajā ūdenstilpē, ievērojot Zvejniecības likuma 30.panta pirmajā daļā noteikto." Organizētājs ir vietējā pašvaldība vai tās pilnvarota persona, bet privātos ūdeņos, kuros zvejas tiesības nepieder valstij, – privāto ūdeņu īpašnieks vai tā pilnvarota persona (projekta 1. punkts).  </w:t>
      </w:r>
    </w:p>
    <w:p w:rsidR="00637F2F" w:rsidRPr="00246B78" w:rsidRDefault="00637F2F" w:rsidP="00637F2F">
      <w:pPr>
        <w:shd w:val="clear" w:color="auto" w:fill="FFFFFF"/>
        <w:rPr>
          <w:color w:val="000000"/>
          <w:sz w:val="24"/>
          <w:szCs w:val="24"/>
        </w:rPr>
      </w:pPr>
      <w:r>
        <w:rPr>
          <w:rFonts w:ascii="Times New Roman" w:hAnsi="Times New Roman" w:cs="Times New Roman"/>
          <w:color w:val="000000"/>
          <w:sz w:val="24"/>
          <w:szCs w:val="24"/>
        </w:rPr>
        <w:t xml:space="preserve">Savukārt Zvejniecības likuma 30. panta pirmā daļa noteic administratīvo atbildību par </w:t>
      </w:r>
      <w:r w:rsidRPr="00246B78">
        <w:rPr>
          <w:rFonts w:ascii="Times New Roman" w:hAnsi="Times New Roman" w:cs="Times New Roman"/>
          <w:color w:val="000000"/>
          <w:sz w:val="24"/>
          <w:szCs w:val="24"/>
        </w:rPr>
        <w:t>makšķerēšanas, vēžošanas un zemūdens medību noteikumu vai licencētās makšķerēšanas, vēžošanas un zemūdens medību noteikumu pārkāpšanu. Šāda pārkāpuma gadījumā piemēro brīdinājumu vai naudas sodu no trim līdz septiņdesmit naudas soda vienībām, aizliedzot izmantot makšķerēšanas, vēžošanas un zemūdens medību tiesības uz laiku līdz vienam gadam vai bez tā.</w:t>
      </w:r>
    </w:p>
    <w:p w:rsidR="00637F2F" w:rsidRPr="00246B78" w:rsidRDefault="00637F2F" w:rsidP="00637F2F">
      <w:pPr>
        <w:shd w:val="clear" w:color="auto" w:fill="FFFFFF"/>
        <w:rPr>
          <w:color w:val="000000"/>
          <w:sz w:val="24"/>
          <w:szCs w:val="24"/>
        </w:rPr>
      </w:pPr>
      <w:r w:rsidRPr="00246B78">
        <w:rPr>
          <w:rFonts w:ascii="Times New Roman" w:hAnsi="Times New Roman" w:cs="Times New Roman"/>
          <w:color w:val="000000"/>
          <w:sz w:val="24"/>
          <w:szCs w:val="24"/>
        </w:rPr>
        <w:t>Kā norādīts Tieslietu ministrijas iepriekšējā atzinumā, tad Zvejniecības likuma 30. pantā jau ir paredzēta administratīvā atbildība zivju resursu aizsardzības un izmantošanas jomā. Ārpus šā regulējuma citas sodoša rakstura sankcijas nav paredzamas. Tāpat Ministru kabineta noteikumos kā tādos vispār nav pieļaujams regulēt ne administratīvos sodus, ne ci</w:t>
      </w:r>
      <w:bookmarkStart w:id="0" w:name="_GoBack"/>
      <w:bookmarkEnd w:id="0"/>
      <w:r w:rsidRPr="00246B78">
        <w:rPr>
          <w:rFonts w:ascii="Times New Roman" w:hAnsi="Times New Roman" w:cs="Times New Roman"/>
          <w:color w:val="000000"/>
          <w:sz w:val="24"/>
          <w:szCs w:val="24"/>
        </w:rPr>
        <w:t>ta veida sodoša rakstura administratīvas sankcijas. Tas attiecas arī uz spēkā esošo Ministru kabineta 2015. gada 22. decembra noteikumu Nr. 799 "Licencētās makšķerēšanas, vēžošanas un zemūdens medību kārtība" 8.11. apakšpunkta redakciju. Projektā un grozāmajos Ministru kabineta noteikumos šādi licences neizsniegšanas gadījumi nav iekļaujami. </w:t>
      </w:r>
    </w:p>
    <w:p w:rsidR="00637F2F" w:rsidRPr="00246B78" w:rsidRDefault="00637F2F" w:rsidP="00637F2F">
      <w:pPr>
        <w:shd w:val="clear" w:color="auto" w:fill="FFFFFF"/>
        <w:rPr>
          <w:color w:val="000000"/>
          <w:sz w:val="24"/>
          <w:szCs w:val="24"/>
        </w:rPr>
      </w:pPr>
      <w:r w:rsidRPr="00246B78">
        <w:rPr>
          <w:rFonts w:ascii="Times New Roman" w:hAnsi="Times New Roman" w:cs="Times New Roman"/>
          <w:color w:val="000000"/>
          <w:sz w:val="24"/>
          <w:szCs w:val="24"/>
        </w:rPr>
        <w:t>Nav skaidra projekta 3. punktā ietvertās atsauces ("ievērojot Zvejniecības likuma 30. panta pirmajā daļā noteikto") nozīme. Ja šajā gadījumā projekta mērķis ir paredzēt nepieciešamību veikt administratīvā pārkāpuma procesu un piemērot noteikta apmēra papildsodu, tad arī šāds regulējums projektā un vispār Ministru kabineta noteikumos nav iekļaujams. Pārkāpumi un piemērojamie sodi ir nosakāmi tikai likumā.</w:t>
      </w:r>
      <w:r w:rsidRPr="00246B78">
        <w:rPr>
          <w:color w:val="000000"/>
          <w:sz w:val="24"/>
          <w:szCs w:val="24"/>
        </w:rPr>
        <w:t> </w:t>
      </w:r>
    </w:p>
    <w:p w:rsidR="00637F2F" w:rsidRPr="00246B78" w:rsidRDefault="00637F2F" w:rsidP="00637F2F">
      <w:pPr>
        <w:shd w:val="clear" w:color="auto" w:fill="FFFFFF"/>
        <w:rPr>
          <w:color w:val="000000"/>
          <w:sz w:val="24"/>
          <w:szCs w:val="24"/>
        </w:rPr>
      </w:pPr>
      <w:r w:rsidRPr="00246B78">
        <w:rPr>
          <w:rFonts w:ascii="Times New Roman" w:hAnsi="Times New Roman" w:cs="Times New Roman"/>
          <w:color w:val="000000"/>
          <w:sz w:val="24"/>
          <w:szCs w:val="24"/>
        </w:rPr>
        <w:t>Lūdzam precizēt projektu un tā anotāciju. Ja pilnvarojums to pieļauj, tad projektā varētu paredzēt "atgādinājumu" (šobrīd nav skaidrs šā dokumenta raksturs, proti, vai tas ir administratīvais akts) vai citus administratīvi tiesiskus pasākumus, taču jebkurā gadījumā projektā nav paredzama iespēja neizsniegt (anulēt vai tamlīdzīgi) licenci pārkāpuma gadījumā un attiecīgi novēršamas arī spēkā esošā regulējuma nepilnības.</w:t>
      </w:r>
      <w:r w:rsidRPr="00246B78">
        <w:rPr>
          <w:color w:val="000000"/>
          <w:sz w:val="24"/>
          <w:szCs w:val="24"/>
        </w:rPr>
        <w:t> </w:t>
      </w:r>
    </w:p>
    <w:p w:rsidR="00637F2F" w:rsidRDefault="00637F2F" w:rsidP="00637F2F">
      <w:pPr>
        <w:shd w:val="clear" w:color="auto" w:fill="FFFFFF"/>
        <w:rPr>
          <w:color w:val="000000"/>
          <w:sz w:val="24"/>
          <w:szCs w:val="24"/>
        </w:rPr>
      </w:pPr>
      <w:r w:rsidRPr="00246B78">
        <w:rPr>
          <w:rFonts w:ascii="Times New Roman" w:hAnsi="Times New Roman" w:cs="Times New Roman"/>
          <w:color w:val="000000"/>
          <w:sz w:val="24"/>
          <w:szCs w:val="24"/>
        </w:rPr>
        <w:lastRenderedPageBreak/>
        <w:t>2. Projekta 4.punktā izteiktais noteikumu 8.13.apakšpunkts joprojām ir neskaidrs. Proti, no tā redakcijas izriet, ka jānodrošina attiecīgās informācijas tulkojums angļu un krievu valodā, vai citu Latvijas kaimiņvalstu valodās. Proti, ir variants, ka</w:t>
      </w:r>
      <w:r>
        <w:rPr>
          <w:rFonts w:ascii="Times New Roman" w:hAnsi="Times New Roman" w:cs="Times New Roman"/>
          <w:color w:val="000000"/>
          <w:sz w:val="24"/>
          <w:szCs w:val="24"/>
        </w:rPr>
        <w:t xml:space="preserve"> informācija ir tulkota angļu un krievu valodā, vai otrs variants - tikai kādā no kaimiņvalstu valodām. Lūdzam izvērtēt, vai šāds bija tiesību normā ietvertā regulējuma mērķis, un nepieciešamības gadījumā to precizēt.</w:t>
      </w:r>
    </w:p>
    <w:p w:rsidR="00637F2F" w:rsidRDefault="00637F2F" w:rsidP="00637F2F">
      <w:pPr>
        <w:shd w:val="clear" w:color="auto" w:fill="FFFFFF"/>
        <w:rPr>
          <w:color w:val="000000"/>
          <w:sz w:val="24"/>
          <w:szCs w:val="24"/>
        </w:rPr>
      </w:pPr>
      <w:r>
        <w:rPr>
          <w:rFonts w:ascii="Times New Roman" w:hAnsi="Times New Roman" w:cs="Times New Roman"/>
          <w:color w:val="000000"/>
          <w:sz w:val="24"/>
          <w:szCs w:val="24"/>
        </w:rPr>
        <w:t>3. Ja tiek gatavoti grozījumi normatīvajā aktā, tad anotācijā ir jāapraksta katra grozījumu saturiskā bloka mērķis un būtība. Tāpat ir jānorāda, kādi elementi, salīdzinot ar iepriekšējo normatīvo regulējumu, iekļauti no jauna, kādas ir galvenās atšķirības, salīdzinot ar iepriekšējo normatīvo regulējumu (</w:t>
      </w:r>
      <w:r>
        <w:rPr>
          <w:rFonts w:ascii="Times New Roman" w:hAnsi="Times New Roman" w:cs="Times New Roman"/>
          <w:i/>
          <w:iCs/>
          <w:color w:val="000000"/>
          <w:sz w:val="24"/>
          <w:szCs w:val="24"/>
        </w:rPr>
        <w:t xml:space="preserve">Smiltēna A., </w:t>
      </w:r>
      <w:proofErr w:type="spellStart"/>
      <w:r>
        <w:rPr>
          <w:rFonts w:ascii="Times New Roman" w:hAnsi="Times New Roman" w:cs="Times New Roman"/>
          <w:i/>
          <w:iCs/>
          <w:color w:val="000000"/>
          <w:sz w:val="24"/>
          <w:szCs w:val="24"/>
        </w:rPr>
        <w:t>Bloma</w:t>
      </w:r>
      <w:proofErr w:type="spellEnd"/>
      <w:r>
        <w:rPr>
          <w:rFonts w:ascii="Times New Roman" w:hAnsi="Times New Roman" w:cs="Times New Roman"/>
          <w:i/>
          <w:iCs/>
          <w:color w:val="000000"/>
          <w:sz w:val="24"/>
          <w:szCs w:val="24"/>
        </w:rPr>
        <w:t xml:space="preserve"> I. Tiesību akta projekta ietekmes sākotnējā izvērtēšana. [</w:t>
      </w:r>
      <w:proofErr w:type="spellStart"/>
      <w:r>
        <w:rPr>
          <w:rFonts w:ascii="Times New Roman" w:hAnsi="Times New Roman" w:cs="Times New Roman"/>
          <w:i/>
          <w:iCs/>
          <w:color w:val="000000"/>
          <w:sz w:val="24"/>
          <w:szCs w:val="24"/>
        </w:rPr>
        <w:t>B.v</w:t>
      </w:r>
      <w:proofErr w:type="spellEnd"/>
      <w:r>
        <w:rPr>
          <w:rFonts w:ascii="Times New Roman" w:hAnsi="Times New Roman" w:cs="Times New Roman"/>
          <w:i/>
          <w:iCs/>
          <w:color w:val="000000"/>
          <w:sz w:val="24"/>
          <w:szCs w:val="24"/>
        </w:rPr>
        <w:t>.]: Valsts kanceleja, 2014, 17. lpp.</w:t>
      </w:r>
      <w:r>
        <w:rPr>
          <w:rFonts w:ascii="Times New Roman" w:hAnsi="Times New Roman" w:cs="Times New Roman"/>
          <w:color w:val="000000"/>
          <w:sz w:val="24"/>
          <w:szCs w:val="24"/>
        </w:rPr>
        <w:t>). Projekta anotācijā pamatā ir atspoguļots projektā iekļautais regulējums, neskaidrojot ne grozījumu mērķi, ne tā būtību, ne arī norādot atšķirības no spēkā esošā regulējuma. Tas attiecas gan uz projekta 3. punktā, gan arī uz daļu citos punktos paredzēto regulējumu. Arī vispārīgas atsauces uz Zvejniecības likuma normām vai to izmaiņām pašas par sevi neko nepaskaidro. Projekta anotācijas lasītājam būs jāanalizē norādītās normas un jācenšas atklāt, kāda bijuši projekta sagatavotāju mērķi, iekļaujot attiecīgās norādes. Tāda pieeja neatbilst projekta anotācijas lomai un sagatavošanas prasībām. </w:t>
      </w:r>
    </w:p>
    <w:p w:rsidR="00637F2F" w:rsidRDefault="00637F2F" w:rsidP="00637F2F">
      <w:pPr>
        <w:shd w:val="clear" w:color="auto" w:fill="FFFFFF"/>
        <w:jc w:val="both"/>
        <w:rPr>
          <w:color w:val="000000"/>
          <w:sz w:val="24"/>
          <w:szCs w:val="24"/>
        </w:rPr>
      </w:pPr>
      <w:r>
        <w:rPr>
          <w:rFonts w:ascii="Times New Roman" w:hAnsi="Times New Roman" w:cs="Times New Roman"/>
          <w:color w:val="000000"/>
          <w:sz w:val="24"/>
          <w:szCs w:val="24"/>
        </w:rPr>
        <w:t>  </w:t>
      </w:r>
    </w:p>
    <w:p w:rsidR="00637F2F" w:rsidRDefault="00637F2F" w:rsidP="00637F2F">
      <w:pPr>
        <w:shd w:val="clear" w:color="auto" w:fill="FFFFFF"/>
        <w:jc w:val="both"/>
        <w:rPr>
          <w:color w:val="000000"/>
          <w:sz w:val="24"/>
          <w:szCs w:val="24"/>
        </w:rPr>
      </w:pPr>
      <w:r>
        <w:rPr>
          <w:rFonts w:ascii="Times New Roman" w:hAnsi="Times New Roman" w:cs="Times New Roman"/>
          <w:i/>
          <w:iCs/>
          <w:color w:val="000000"/>
          <w:sz w:val="24"/>
          <w:szCs w:val="24"/>
        </w:rPr>
        <w:t>Viedokli sagatavoja:</w:t>
      </w:r>
    </w:p>
    <w:p w:rsidR="00637F2F" w:rsidRDefault="00637F2F" w:rsidP="00637F2F">
      <w:pPr>
        <w:shd w:val="clear" w:color="auto" w:fill="FFFFFF"/>
        <w:jc w:val="both"/>
        <w:rPr>
          <w:color w:val="000000"/>
          <w:sz w:val="24"/>
          <w:szCs w:val="24"/>
        </w:rPr>
      </w:pPr>
      <w:r>
        <w:rPr>
          <w:rFonts w:ascii="Times New Roman" w:hAnsi="Times New Roman" w:cs="Times New Roman"/>
          <w:i/>
          <w:iCs/>
          <w:color w:val="000000"/>
          <w:sz w:val="24"/>
          <w:szCs w:val="24"/>
        </w:rPr>
        <w:t>Valststiesību departamenta Administratīvās atbildības politikas nodaļas jurists </w:t>
      </w:r>
      <w:r>
        <w:rPr>
          <w:rFonts w:ascii="Times New Roman" w:hAnsi="Times New Roman" w:cs="Times New Roman"/>
          <w:b/>
          <w:bCs/>
          <w:i/>
          <w:iCs/>
          <w:color w:val="000000"/>
          <w:sz w:val="24"/>
          <w:szCs w:val="24"/>
        </w:rPr>
        <w:t>Sandis Vilcāns</w:t>
      </w:r>
      <w:r>
        <w:rPr>
          <w:rFonts w:ascii="Times New Roman" w:hAnsi="Times New Roman" w:cs="Times New Roman"/>
          <w:i/>
          <w:iCs/>
          <w:color w:val="000000"/>
          <w:sz w:val="24"/>
          <w:szCs w:val="24"/>
        </w:rPr>
        <w:t xml:space="preserve"> un Valststiesību departamenta Administratīvo tiesību nodaļas juriste </w:t>
      </w:r>
      <w:r>
        <w:rPr>
          <w:rFonts w:ascii="Times New Roman" w:hAnsi="Times New Roman" w:cs="Times New Roman"/>
          <w:b/>
          <w:bCs/>
          <w:i/>
          <w:iCs/>
          <w:color w:val="000000"/>
          <w:sz w:val="24"/>
          <w:szCs w:val="24"/>
        </w:rPr>
        <w:t xml:space="preserve">Juta </w:t>
      </w:r>
      <w:proofErr w:type="spellStart"/>
      <w:r>
        <w:rPr>
          <w:rFonts w:ascii="Times New Roman" w:hAnsi="Times New Roman" w:cs="Times New Roman"/>
          <w:b/>
          <w:bCs/>
          <w:i/>
          <w:iCs/>
          <w:color w:val="000000"/>
          <w:sz w:val="24"/>
          <w:szCs w:val="24"/>
        </w:rPr>
        <w:t>Ķupe</w:t>
      </w:r>
      <w:proofErr w:type="spellEnd"/>
      <w:r>
        <w:rPr>
          <w:rFonts w:ascii="Times New Roman" w:hAnsi="Times New Roman" w:cs="Times New Roman"/>
          <w:i/>
          <w:iCs/>
          <w:color w:val="000000"/>
          <w:sz w:val="24"/>
          <w:szCs w:val="24"/>
        </w:rPr>
        <w:t>.</w:t>
      </w:r>
    </w:p>
    <w:p w:rsidR="00637F2F" w:rsidRDefault="00637F2F" w:rsidP="00637F2F">
      <w:pPr>
        <w:shd w:val="clear" w:color="auto" w:fill="FFFFFF"/>
        <w:jc w:val="both"/>
        <w:rPr>
          <w:color w:val="000000"/>
          <w:sz w:val="24"/>
          <w:szCs w:val="24"/>
        </w:rPr>
      </w:pPr>
      <w:r>
        <w:rPr>
          <w:rFonts w:ascii="Times New Roman" w:hAnsi="Times New Roman" w:cs="Times New Roman"/>
          <w:color w:val="000000"/>
          <w:sz w:val="24"/>
          <w:szCs w:val="24"/>
        </w:rPr>
        <w:t> </w:t>
      </w:r>
    </w:p>
    <w:p w:rsidR="00637F2F" w:rsidRDefault="00637F2F" w:rsidP="00637F2F">
      <w:pPr>
        <w:pStyle w:val="NormalWeb"/>
        <w:shd w:val="clear" w:color="auto" w:fill="FFFFFF"/>
        <w:rPr>
          <w:color w:val="000000"/>
          <w:sz w:val="24"/>
          <w:szCs w:val="24"/>
        </w:rPr>
      </w:pPr>
      <w:r>
        <w:rPr>
          <w:rFonts w:ascii="Times New Roman" w:hAnsi="Times New Roman" w:cs="Times New Roman"/>
          <w:b/>
          <w:bCs/>
          <w:i/>
          <w:iCs/>
          <w:color w:val="000000"/>
          <w:sz w:val="24"/>
          <w:szCs w:val="24"/>
          <w:shd w:val="clear" w:color="auto" w:fill="FFFFFF"/>
        </w:rPr>
        <w:t>Ar cieņu</w:t>
      </w:r>
    </w:p>
    <w:p w:rsidR="00637F2F" w:rsidRDefault="00637F2F" w:rsidP="00637F2F">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 xml:space="preserve">Juta </w:t>
      </w:r>
      <w:proofErr w:type="spellStart"/>
      <w:r>
        <w:rPr>
          <w:rFonts w:ascii="Times New Roman" w:hAnsi="Times New Roman" w:cs="Times New Roman"/>
          <w:b/>
          <w:bCs/>
          <w:i/>
          <w:iCs/>
          <w:color w:val="000000"/>
          <w:sz w:val="24"/>
          <w:szCs w:val="24"/>
          <w:shd w:val="clear" w:color="auto" w:fill="FFFFFF"/>
        </w:rPr>
        <w:t>Ķupe</w:t>
      </w:r>
      <w:proofErr w:type="spellEnd"/>
    </w:p>
    <w:p w:rsidR="00637F2F" w:rsidRDefault="00637F2F" w:rsidP="00637F2F">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Tieslietu ministrijas</w:t>
      </w:r>
      <w:r>
        <w:rPr>
          <w:rFonts w:ascii="Times New Roman" w:hAnsi="Times New Roman" w:cs="Times New Roman"/>
          <w:b/>
          <w:bCs/>
          <w:i/>
          <w:iCs/>
          <w:color w:val="000000"/>
          <w:sz w:val="20"/>
          <w:szCs w:val="20"/>
        </w:rPr>
        <w:br/>
      </w:r>
      <w:r>
        <w:rPr>
          <w:rFonts w:ascii="Times New Roman" w:hAnsi="Times New Roman" w:cs="Times New Roman"/>
          <w:b/>
          <w:bCs/>
          <w:i/>
          <w:iCs/>
          <w:color w:val="000000"/>
          <w:sz w:val="24"/>
          <w:szCs w:val="24"/>
          <w:shd w:val="clear" w:color="auto" w:fill="FFFFFF"/>
        </w:rPr>
        <w:t>Valststiesību departamenta</w:t>
      </w:r>
    </w:p>
    <w:p w:rsidR="00637F2F" w:rsidRDefault="00637F2F" w:rsidP="00637F2F">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Administratīvo tiesību nodaļas juriste</w:t>
      </w:r>
    </w:p>
    <w:p w:rsidR="00637F2F" w:rsidRDefault="00637F2F" w:rsidP="00637F2F">
      <w:pPr>
        <w:pStyle w:val="NormalWeb"/>
        <w:shd w:val="clear" w:color="auto" w:fill="FFFFFF"/>
        <w:rPr>
          <w:color w:val="002060"/>
        </w:rPr>
      </w:pPr>
      <w:r>
        <w:rPr>
          <w:rFonts w:ascii="Times New Roman" w:hAnsi="Times New Roman" w:cs="Times New Roman"/>
          <w:b/>
          <w:bCs/>
          <w:i/>
          <w:iCs/>
          <w:color w:val="000000"/>
          <w:sz w:val="24"/>
          <w:szCs w:val="24"/>
          <w:shd w:val="clear" w:color="auto" w:fill="FFFFFF"/>
        </w:rPr>
        <w:t>Tālr. 67036937</w:t>
      </w:r>
      <w:r>
        <w:rPr>
          <w:rFonts w:ascii="Times New Roman" w:hAnsi="Times New Roman" w:cs="Times New Roman"/>
          <w:i/>
          <w:iCs/>
          <w:color w:val="000000"/>
          <w:sz w:val="20"/>
          <w:szCs w:val="20"/>
        </w:rPr>
        <w:br/>
      </w:r>
      <w:r>
        <w:rPr>
          <w:rFonts w:ascii="Times New Roman" w:hAnsi="Times New Roman" w:cs="Times New Roman"/>
          <w:b/>
          <w:bCs/>
          <w:i/>
          <w:iCs/>
          <w:color w:val="000000"/>
          <w:sz w:val="24"/>
          <w:szCs w:val="24"/>
        </w:rPr>
        <w:t>E-pasts: </w:t>
      </w:r>
      <w:hyperlink r:id="rId9" w:tgtFrame="_blank" w:history="1">
        <w:r>
          <w:rPr>
            <w:rStyle w:val="Hyperlink"/>
            <w:rFonts w:ascii="Times New Roman" w:hAnsi="Times New Roman" w:cs="Times New Roman"/>
            <w:b/>
            <w:bCs/>
            <w:i/>
            <w:iCs/>
            <w:sz w:val="24"/>
            <w:szCs w:val="24"/>
          </w:rPr>
          <w:t>Juta.Kupe@tm.gov.lv</w:t>
        </w:r>
      </w:hyperlink>
    </w:p>
    <w:p w:rsidR="00637F2F" w:rsidRDefault="00637F2F" w:rsidP="00637F2F">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247775" cy="981075"/>
            <wp:effectExtent l="0" t="0" r="9525" b="9525"/>
            <wp:wrapSquare wrapText="bothSides"/>
            <wp:docPr id="2" name="Picture 2" descr="f419bc57-9eb2-430c-a815-4715662a7c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419bc57-9eb2-430c-a815-4715662a7c4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pic:spPr>
                </pic:pic>
              </a:graphicData>
            </a:graphic>
            <wp14:sizeRelH relativeFrom="page">
              <wp14:pctWidth>0</wp14:pctWidth>
            </wp14:sizeRelH>
            <wp14:sizeRelV relativeFrom="page">
              <wp14:pctHeight>0</wp14:pctHeight>
            </wp14:sizeRelV>
          </wp:anchor>
        </w:drawing>
      </w:r>
    </w:p>
    <w:p w:rsidR="00637F2F" w:rsidRDefault="00637F2F" w:rsidP="00637F2F"/>
    <w:p w:rsidR="00637F2F" w:rsidRDefault="00637F2F" w:rsidP="00637F2F"/>
    <w:p w:rsidR="00637F2F" w:rsidRDefault="00637F2F" w:rsidP="00637F2F"/>
    <w:p w:rsidR="00637F2F" w:rsidRDefault="00637F2F" w:rsidP="00637F2F"/>
    <w:p w:rsidR="00637F2F" w:rsidRDefault="00637F2F" w:rsidP="00637F2F"/>
    <w:p w:rsidR="00637F2F" w:rsidRDefault="00637F2F" w:rsidP="00637F2F">
      <w:r>
        <w:rPr>
          <w:b/>
          <w:bCs/>
          <w:i/>
          <w:iCs/>
          <w:noProof/>
          <w:color w:val="002060"/>
        </w:rPr>
        <w:drawing>
          <wp:inline distT="0" distB="0" distL="0" distR="0">
            <wp:extent cx="1466850" cy="812165"/>
            <wp:effectExtent l="0" t="0" r="0" b="6985"/>
            <wp:docPr id="1" name="Picture 1" descr="cid:b4f5590f-ad29-4333-88b2-2ce152905f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b4f5590f-ad29-4333-88b2-2ce152905f9a"/>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66850" cy="812165"/>
                    </a:xfrm>
                    <a:prstGeom prst="rect">
                      <a:avLst/>
                    </a:prstGeom>
                    <a:noFill/>
                    <a:ln>
                      <a:noFill/>
                    </a:ln>
                  </pic:spPr>
                </pic:pic>
              </a:graphicData>
            </a:graphic>
          </wp:inline>
        </w:drawing>
      </w:r>
    </w:p>
    <w:p w:rsidR="00B24FC7" w:rsidRPr="00637F2F" w:rsidRDefault="00B24FC7" w:rsidP="00637F2F"/>
    <w:sectPr w:rsidR="00B24FC7" w:rsidRPr="00637F2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2A"/>
    <w:rsid w:val="00246B78"/>
    <w:rsid w:val="00637F2F"/>
    <w:rsid w:val="0084392A"/>
    <w:rsid w:val="00B24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54A12-77E6-4FBB-AB7F-8BAE2038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92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392A"/>
    <w:rPr>
      <w:color w:val="0563C1"/>
      <w:u w:val="single"/>
    </w:rPr>
  </w:style>
  <w:style w:type="paragraph" w:styleId="NormalWeb">
    <w:name w:val="Normal (Web)"/>
    <w:basedOn w:val="Normal"/>
    <w:uiPriority w:val="99"/>
    <w:semiHidden/>
    <w:unhideWhenUsed/>
    <w:rsid w:val="00637F2F"/>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637F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F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737337">
      <w:bodyDiv w:val="1"/>
      <w:marLeft w:val="0"/>
      <w:marRight w:val="0"/>
      <w:marTop w:val="0"/>
      <w:marBottom w:val="0"/>
      <w:divBdr>
        <w:top w:val="none" w:sz="0" w:space="0" w:color="auto"/>
        <w:left w:val="none" w:sz="0" w:space="0" w:color="auto"/>
        <w:bottom w:val="none" w:sz="0" w:space="0" w:color="auto"/>
        <w:right w:val="none" w:sz="0" w:space="0" w:color="auto"/>
      </w:divBdr>
    </w:div>
    <w:div w:id="17485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is.Vilcans@t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asts@tm.gov.lv" TargetMode="External"/><Relationship Id="rId12" Type="http://schemas.openxmlformats.org/officeDocument/2006/relationships/image" Target="cid:b4f5590f-ad29-4333-88b2-2ce152905f9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ese.Bartule@zm.gov.lv" TargetMode="External"/><Relationship Id="rId11" Type="http://schemas.openxmlformats.org/officeDocument/2006/relationships/image" Target="media/image2.png"/><Relationship Id="rId5" Type="http://schemas.openxmlformats.org/officeDocument/2006/relationships/hyperlink" Target="mailto:pasts@zm.gov.lv" TargetMode="External"/><Relationship Id="rId10" Type="http://schemas.openxmlformats.org/officeDocument/2006/relationships/image" Target="media/image1.png"/><Relationship Id="rId4" Type="http://schemas.openxmlformats.org/officeDocument/2006/relationships/hyperlink" Target="mailto:Juta.Kupe@tm.gov.lv" TargetMode="External"/><Relationship Id="rId9" Type="http://schemas.openxmlformats.org/officeDocument/2006/relationships/hyperlink" Target="mailto:Ksenija.Vitola@t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3624</Words>
  <Characters>2067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Bārtule</dc:creator>
  <cp:keywords/>
  <dc:description/>
  <cp:lastModifiedBy>Inese Bārtule</cp:lastModifiedBy>
  <cp:revision>3</cp:revision>
  <dcterms:created xsi:type="dcterms:W3CDTF">2021-07-23T05:38:00Z</dcterms:created>
  <dcterms:modified xsi:type="dcterms:W3CDTF">2021-07-27T10:36:00Z</dcterms:modified>
</cp:coreProperties>
</file>