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4. decembra noteikumos Nr. 750 "Kārtība, kādā civilās aviācijas lidlauku izmanto militārās aviācijas gaisa kuģi un militārās aviācijas lidlauku – civilās aviācijas gaisa kuģi"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mērķgrupu uzskaitījumu un ietekmes izvērtējumu, jo regulējums skars dažādu veidu "mācību organizācijas", gaisa kuģu ekspluatantus, lidlaukus, kā arī apmācāmās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valsts aģentūras “Civilās aviācijas aģentūra” apstiprinātām mācību organizācijām un sertificētiem gaisa kuģu ekspluatantiem, kuri pilotu mācību lidojumu ietvarā vēlēsies izmantot militāro lidlauku “Lielvārde”. Šobrīd valsts aģentūras “Civilās aviācijas aģentūra” uzraudzībā ir 6 apstiprinātās mācību organizācijas (https://www.caa.gov.lv/lv/pilotu-macibu-organizacijas-un-fstd-operatori-0 ) un 4 gaisa kuģu ekspluatanti (https://www.caa.gov.lv/lv/gaisa-kuga-ekspluatanti ). Apmācāmās personas nav šā projekta sabiedrības mērķgrupa, jo fiziskās personas pašas par sevi neizvēlas lidlauku mācību lidojumu veikšanai. Apstiprinot attiecīgas apstiprinātās mācību organizācijas mācību kursa programmu, tajā tiek iekļauti lidlauki, kuros ir atļauts veikt mācību lidojumus. Apmācamās personas ir pakļautas apstiprinātās mācību organizācijas mācību kursa programmai, līdz ar to viņu mācību lidojumi tiek veikti uz tiem lidlaukiem, kas ir iekļauti mācību kursa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attiecībā uz minētajām sabiedrības mērķgrupām nemainās, jo netiek mainīti to līdzšinējie pienākumi un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militāro lidlauku izmantošana būs par maksu vai bez maksas. Ja par maksu, tad kur tā būs noteikta un kāda tā būs. Lūdzam vērtēt, vai saistībā ar šo aspektu nav nepieciešami citi grozījumi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sekojošu redakciju: "Militāro lidlauku izmantošana būs par maksu, balstoties uz lidlauka izmantošanas cenrādi. Tādējādi vienlaikus ar noteikumu projektu ir izstrādāts noteikumu projekts “Nacionālo bruņoto spēku militārā lidlauka “Lielvārde” maksas pakalpojumu cenrādis” (22-TA-389), kurā ir noteikts militārā lidlauka "Lielvārde" cenrādis." Ņemot vērā abu projektu sasaisti, tiek noteikta nepieciešamība abus projektus skatīt kā saistītus vienā Ministru kabineta sēdē un noteikt kopīgu spēkā stāšanās datumu - 2022. gada 1. jūniju. Vienlalikus ir papildināta anotācijas 4.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un arī projekts paredz virkni atbilstības nosacījumus regulējumam, kas izriet no dažādām regulām civilās aviācijas jomā. Ievērojot minēto, lūdzam atkārtoti vērtēt, vai projekts neparedz tiesību normas, kas paredz atbilstības nodrošināšanu Latvijas Republikas starptautiskajām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papildināta ar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Nr.2018/1139 2.panta trešā punkta b) apakšpunktā noteikts, ka šo regulu nepiemēro lidlaukiem vai to daļām, ko kontrolē un ekspluatē bruņotie spēki. Līdz ar to arī citu civilo aviāciju regulējošu Īstenošanas regulu, kas ir gan Regula Nr.965/2012, gan Regula Nr.1178/2011, prasības nav piemērojamas attiecībā uz militārajiem lidlaukiem. Taču, ja civilmilitārās sadarbības nolūkā militārais lidlauks vēlas sniegt pakalpojumu civilās aviācijas pakalpojuma ņēmējam, tad militārajam lidlaukam ir jāievēro civilās aviācijas tiesiskais regulējums tik tālu, cik tas attiecas uz sniedzamo pakalpojumu. Līdz ar to tas ir noregulējams katras dalībvalsts nacionālajā līmenī, atrunājot, kuras civilo aviāciju regulējošās tiesību normas ir jāizpilda militārajam pakalpojumu 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vienlaikus tiek paredzēts, ka mācību organizācija un gaisa kuģa ekspluatants, kas izmantos militāro lidlauku mācību lidojumu veikšanai, slēdz līgumu ar Nacionālajiem bruņotajiem spēkiem par militārā lidlauka vai tās daļas izmantošanu, </w:t>
            </w:r>
            <w:r w:rsidR="00000000" w:rsidRPr="00000000" w:rsidDel="00000000">
              <w:rPr>
                <w:u w:val="single"/>
                <w:rtl w:val="0"/>
              </w:rPr>
              <w:t xml:space="preserve">līgumā iekļaujot</w:t>
            </w:r>
            <w:r w:rsidR="00000000" w:rsidRPr="00000000" w:rsidDel="00000000">
              <w:rPr>
                <w:rtl w:val="0"/>
              </w:rPr>
              <w:t xml:space="preserve"> </w:t>
            </w:r>
            <w:r w:rsidR="00000000" w:rsidRPr="00000000" w:rsidDel="00000000">
              <w:rPr>
                <w:u w:val="single"/>
                <w:rtl w:val="0"/>
              </w:rPr>
              <w:t xml:space="preserve">informāciju</w:t>
            </w:r>
            <w:r w:rsidR="00000000" w:rsidRPr="00000000" w:rsidDel="00000000">
              <w:rPr>
                <w:rtl w:val="0"/>
              </w:rPr>
              <w:t xml:space="preserve"> par precīzi noteiktu mācību lidojumu veidu, mācību lidojumiem izmantojamajiem gaisa kuģiem, kā arī </w:t>
            </w:r>
            <w:r w:rsidR="00000000" w:rsidRPr="00000000" w:rsidDel="00000000">
              <w:rPr>
                <w:u w:val="single"/>
                <w:rtl w:val="0"/>
              </w:rPr>
              <w:t xml:space="preserve">piekļuves tiesībām Civilās aviācijas aģentūras un Transporta nelaimes gadījumu un incidentu izmeklēšanas biroja amatpersonām savu tiešo darba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ir nepieciešama šāda īpaša vienošanās par tiesību izmantošanu valsts pārvaldes kompetences īstenošanai, vai nepietiek ar jau normatīvajos aktos noteikto kompetenci. No regulējuma un skaidrojuma nav skaidrs, kādas piekļuves tiesības (piekļuve kam?) tiek regulētas un konkrēti kādas kompetences ietvaros tiesības tiek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 sadaļā "Risinājuma apraksts" otrā rindkopa tiek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paredzēts, ka apstiprinātā mācību organizācija un gaisa kuģa ekspluatants, kas izmantos militāro lidlauku mācību lidojumu veikšanai, slēdz līgumu ar Nacionālajiem bruņotajiem spēkiem par militārā lidlauka vai tās daļas izmantošanu. Šāda līguma nepieciešamība ir tādēļ, lai izvērtētu, vai attiecīgā mācību lidojumu veidam un lidojumā izmantojamajam gaisa kuģa tipam, militārais lidlauks vai tā daļa ir piemērojams. Jo atkarībā no mācību lidojuma veida un izmantojamā gaisa kuģa tipa, var mainīties piemērojamās prasības. Apstiprinātam mācību organizācijām viena no pamata prasībām ir nodrošināt civilās aviācijas kompetentai iestādei piekļuvi tās ekspluatācijā esošajiem gaisa kuģiem, infrastruktūrai utt."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uzskaitot noteikumu terminā "mācību organizācija" konkrēta veida mācību organizācijas, </w:t>
            </w:r>
            <w:r w:rsidR="00000000" w:rsidRPr="00000000" w:rsidDel="00000000">
              <w:rPr>
                <w:u w:val="single"/>
                <w:rtl w:val="0"/>
              </w:rPr>
              <w:t xml:space="preserve">visām potenciālajām</w:t>
            </w:r>
            <w:r w:rsidR="00000000" w:rsidRPr="00000000" w:rsidDel="00000000">
              <w:rPr>
                <w:rtl w:val="0"/>
              </w:rPr>
              <w:t xml:space="preserve"> mācību organizācijām tiek sniegtas vienlīdzīgas iespējas apmācībām izmantot militāros lidlaukus. Ja nē, lūdzam īsumā skaidrot, kāpēc nē un kāpēc šādas iespējas būs tikai konkrēta veida mācību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noteiktais termins "mācību organizācija" ir precizēts uz "apstiprinātā mācību organizācija", nosakot, ka tā ir  Komisijas 2011. gada 3. novembra Regulas (ES) Nr. 1178/2011, ar ko nosaka tehniskās prasības un administratīvās procedūras attiecībā uz civilās aviācijas gaisa kuģa apkalpi atbilstīgi Eiropas Parlamenta un Padomes Regulai (EK) Nr. 216/2008 2.panta 16.punktā minētā apstiprinātā mācību organizācija, kuru sertificējusi valsts aģentūra “Civilās aviācijas aģentūra”. Līdz ar to Noteikumu projekts attiecas uz tām valsts aģentūras “Civilās aviācijas aģentūras” apstiprinātām mācību organizācijām un sertificētiem gaisa kuģu ekspluatantiem, kuri pilotu mācību lidojumu ietvarā vēlēsies izmantot militāro lidlauku “Lielvarde”. Šobrīd valsts aģentūras “Civilās aviācijas aģentūras” uzraudzībā ir 6 apstiprinātās mācību organizācijas (https://www.caa.gov.lv/lv/pilotu-macibu-organizacijas-un-fstd-operatori-0 ) un 4 gaisa kuģu ekspluatanti (https://www.caa.gov.lv/lv/gaisa-kuga-ekspluatanti ).  Apstiprinot attiecīgas apstiprinātās mācību organizācijas mācību kursa programmu, tajā tiek iekļauti lidlauki, kuros ir atļauti veikt mācību lidojumus.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Mācību organizācija – fiziskā un juridiskā persona un iestāde, kura saskaņā ar Ministru kabineta 2020.gada 9.jūnija noteikumiem Nr.373 “Kārtība, kādā sertificē civilās aviācijas gaisa kuģu lidojumu apkalpes locekļu apmācību sniedzējus” ir sertificēta kā apstiprinātā, deklarētā vai nacionālā mācību organizācija.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termina "Mācību organizācija" rakstību un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MK not. Nr.108) 121.punkts noteic, ka noteikumu projektā terminus skaidro, lai konkretizētu terminā izteiktā jēdziena izpratnes robežas, ja termins nav skaidrots vai lietots augstāka juridiskā spēka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Sertifikācijas subjekti un to sertificēšanās pienākums noteikts tieši piemērojamā Komisijas 2011. gada 3. novembra </w:t>
            </w:r>
            <w:r w:rsidR="00000000" w:rsidRPr="00000000" w:rsidDel="00000000">
              <w:rPr>
                <w:b w:val="1"/>
                <w:rtl w:val="0"/>
              </w:rPr>
              <w:t xml:space="preserve">Regulā (ES)</w:t>
            </w:r>
            <w:r w:rsidR="00000000" w:rsidRPr="00000000" w:rsidDel="00000000">
              <w:rPr>
                <w:rtl w:val="0"/>
              </w:rPr>
              <w:t xml:space="preserve"> </w:t>
            </w:r>
            <w:r w:rsidR="00000000" w:rsidRPr="00000000" w:rsidDel="00000000">
              <w:rPr>
                <w:b w:val="1"/>
                <w:rtl w:val="0"/>
              </w:rPr>
              <w:t xml:space="preserve">Nr. 1178/2011</w:t>
            </w:r>
            <w:r w:rsidR="00000000" w:rsidRPr="00000000" w:rsidDel="00000000">
              <w:rPr>
                <w:rtl w:val="0"/>
              </w:rPr>
              <w:t xml:space="preserve">, ar ko nosaka tehniskās prasības un administratīvās procedūras attiecībā uz civilās aviācijas gaisa kuģa apkalpi atbilstīgi Eiropas Parlamenta un Padomes Regulai (EK) Nr. 216/2008 (turpmāk - Regula 1178/2011) (</w:t>
            </w:r>
            <w:r w:rsidR="00000000" w:rsidRPr="00000000" w:rsidDel="00000000">
              <w:rPr>
                <w:i w:val="1"/>
                <w:rtl w:val="0"/>
              </w:rPr>
              <w:t xml:space="preserve">konsolidētā redakcija https://eur-lex.europa.eu/legal-content/LV/TXT/?uri=CELEX%3A02011R1178-20220131</w:t>
            </w:r>
            <w:r w:rsidR="00000000" w:rsidRPr="00000000" w:rsidDel="00000000">
              <w:rPr>
                <w:rtl w:val="0"/>
              </w:rPr>
              <w:t xml:space="preserve">) un protams, Eiropas Parlamenta un Padomes 2018. gada 4. jūlija </w:t>
            </w:r>
            <w:r w:rsidR="00000000" w:rsidRPr="00000000" w:rsidDel="00000000">
              <w:rPr>
                <w:b w:val="1"/>
                <w:rtl w:val="0"/>
              </w:rPr>
              <w:t xml:space="preserve">Regulā (ES) 2018/1139</w:t>
            </w:r>
            <w:r w:rsidR="00000000" w:rsidRPr="00000000" w:rsidDel="00000000">
              <w:rPr>
                <w:rtl w:val="0"/>
              </w:rPr>
              <w:t xml:space="preserve">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(turpmāk - Regula 2018/1139) (</w:t>
            </w:r>
            <w:r w:rsidR="00000000" w:rsidRPr="00000000" w:rsidDel="00000000">
              <w:rPr>
                <w:i w:val="1"/>
                <w:rtl w:val="0"/>
              </w:rPr>
              <w:t xml:space="preserve">konsolidētā redakcija https://eur-lex.europa.eu/legal-content/LV/TXT/?uri=CELEX%3A02018R1139-20210725</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9. jūnija noteikumu Nr. 373 "Kārtība, kādā sertificē civilās aviācijas gaisa kuģu lidojumu apkalpes locekļu apmācību sniedzējus" (turpmāk - MK not. Nr.373) 2.punktā ir norādīts, ka noteikumos lietotie termini atbilst terminiem, kas lietoti jau iepriekš minētajos Eiropas Savienības tiesību aktos, proti, tieši piemērojamās regulās.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 Nr.373 4.punkts noteic:</w:t>
            </w:r>
            <w:r w:rsidR="00000000" w:rsidRPr="00000000" w:rsidDel="00000000">
              <w:rPr>
                <w:i w:val="1"/>
                <w:rtl w:val="0"/>
              </w:rPr>
              <w:t xml:space="preserve"> "Civilās aviācijas aģentūra:</w:t>
            </w:r>
            <w:r w:rsidR="00000000" w:rsidRPr="00000000" w:rsidDel="00000000">
              <w:rPr>
                <w:i w:val="1"/>
                <w:rtl w:val="0"/>
              </w:rPr>
              <w:t xml:space="preserve">4.1. sertificē regulas Nr. 1178/2011 10.a. panta 1. punkta pirmajā daļā minētās organizācijas </w:t>
            </w:r>
            <w:r w:rsidR="00000000" w:rsidRPr="00000000" w:rsidDel="00000000">
              <w:rPr>
                <w:i w:val="1"/>
                <w:u w:val="single"/>
                <w:rtl w:val="0"/>
              </w:rPr>
              <w:t xml:space="preserve">(turpmāk – apstiprinātā mācību organizācija)</w:t>
            </w:r>
            <w:r w:rsidR="00000000" w:rsidRPr="00000000" w:rsidDel="00000000">
              <w:rPr>
                <w:i w:val="1"/>
                <w:rtl w:val="0"/>
              </w:rPr>
              <w:t xml:space="preserve">;</w:t>
            </w:r>
            <w:r w:rsidR="00000000" w:rsidRPr="00000000" w:rsidDel="00000000">
              <w:rPr>
                <w:i w:val="1"/>
                <w:rtl w:val="0"/>
              </w:rPr>
              <w:t xml:space="preserve">4.2. sertificē regulas Nr. 1178/2011 10.a. panta 1. punkta otrajā daļā minētās deklarētās mācību organizācijas </w:t>
            </w:r>
            <w:r w:rsidR="00000000" w:rsidRPr="00000000" w:rsidDel="00000000">
              <w:rPr>
                <w:i w:val="1"/>
                <w:u w:val="single"/>
                <w:rtl w:val="0"/>
              </w:rPr>
              <w:t xml:space="preserve">(turpmāk – deklarētā mācību organizācija)</w:t>
            </w:r>
            <w:r w:rsidR="00000000" w:rsidRPr="00000000" w:rsidDel="00000000">
              <w:rPr>
                <w:i w:val="1"/>
                <w:rtl w:val="0"/>
              </w:rPr>
              <w:t xml:space="preserve">, izsniedzot apliecinājumu par deklarētās mācību organizācijas deklarācijas pieņemšanu;</w:t>
            </w:r>
            <w:r w:rsidR="00000000" w:rsidRPr="00000000" w:rsidDel="00000000">
              <w:rPr>
                <w:b w:val="1"/>
                <w:i w:val="1"/>
                <w:rtl w:val="0"/>
              </w:rPr>
              <w:t xml:space="preserve">4.3. </w:t>
            </w:r>
            <w:r w:rsidR="00000000" w:rsidRPr="00000000" w:rsidDel="00000000">
              <w:rPr>
                <w:i w:val="1"/>
                <w:rtl w:val="0"/>
              </w:rPr>
              <w:t xml:space="preserve">sertificē nacionālās mācību organizācijas, kuras vēlas sagatavot lidojumu apkalpes locekļus amatierpilota apliecības vai tādas kvalifikācijas iegūšanai, kas dod tiesības veikt lidojumus ar regulas Nr. 2018/1139 I pielikumā minētajiem gaisa kuģiem </w:t>
            </w:r>
            <w:r w:rsidR="00000000" w:rsidRPr="00000000" w:rsidDel="00000000">
              <w:rPr>
                <w:i w:val="1"/>
                <w:u w:val="single"/>
                <w:rtl w:val="0"/>
              </w:rPr>
              <w:t xml:space="preserve">(turpmāk – nacionālā mācību organizācija)</w:t>
            </w:r>
            <w:r w:rsidR="00000000" w:rsidRPr="00000000" w:rsidDel="00000000">
              <w:rPr>
                <w:i w:val="1"/>
                <w:rtl w:val="0"/>
              </w:rPr>
              <w:t xml:space="preserve">, izsniedzot apliecinājumu par nacionālās mācību organizācijas deklarācijas pieņemšanu, kā arī apstiprina attiecīgās nacionālās mācību organizācijas mācību kursa programmas;.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citētā regulējuma izriet, ka  vārdi "apstiprinātā, deklarētā vai nacionālā mācību organizācija" ir MK not. Nr.373 4.punkta teksta vārdkopu saīsinājumi, kas veidoti atbilstoši MK not. Nr.108 124. un 43.punktam, lai uzlabotu noteikumu teksta uztveramību un skaidrību, taču </w:t>
            </w:r>
            <w:r w:rsidR="00000000" w:rsidRPr="00000000" w:rsidDel="00000000">
              <w:rPr>
                <w:u w:val="single"/>
                <w:rtl w:val="0"/>
              </w:rPr>
              <w:t xml:space="preserve">nav uztverami kā patstāvīgi termini</w:t>
            </w:r>
            <w:r w:rsidR="00000000" w:rsidRPr="00000000" w:rsidDel="00000000">
              <w:rPr>
                <w:rtl w:val="0"/>
              </w:rPr>
              <w:t xml:space="preserve">, ko izmantot ārpus MK not. Nr.373 regulējuma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vēršam uzmanību, ka Regulas 1178/2011 2.panta 16. un 24.punktā ietvertas šādas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“apstiprināta mācību organizācija (ATO)” ir organizācija, kas, pamatojoties uz apstiprinājumu, kurš izdots saskaņā ar 10.a panta 1. punkta pirmo daļu, ir tiesīga apmācīt pilotus; 24) “deklarētā mācību organizācija (DTO)” ir organizācija, kas, pamatojoties uz deklarāciju, kura sniegta saskaņā ar 10.a panta 1. punkta otro daļu, ir tiesīga apmācīt pilotus;"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 "nacionālā mācību organizācija" Regulā 1178/2011 netiek atrunāta.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termina "mācību organizācija" skaidrojumu, ņemot vērā Regulā 1178/2011</w:t>
            </w:r>
            <w:r w:rsidR="00000000" w:rsidRPr="00000000" w:rsidDel="00000000">
              <w:rPr>
                <w:b w:val="1"/>
                <w:rtl w:val="0"/>
              </w:rPr>
              <w:t xml:space="preserve"> </w:t>
            </w:r>
            <w:r w:rsidR="00000000" w:rsidRPr="00000000" w:rsidDel="00000000">
              <w:rPr>
                <w:rtl w:val="0"/>
              </w:rPr>
              <w:t xml:space="preserve">un Regulā  2018/1139 lietoto regulējumu un terminoloģiju un ņemot vērā to, ka definīcija "nacionālā mācību organizācija" nav nostiprināta regulā un nav skaidrs tās tvērums.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termina rakstību ar lielo burtu, ņemot vērā to, ka turpmāk tekstā tas tiek lietots ar mazo burtu un arī citi termini tiek rakstīti ar mazo burtu.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neatsaukties uz konkrētu normatīvo aktu, ja regulējuma atsauci iespējams izteikt vispārīgāk, proti, atbilstoši MK not. Nr.108 137.punktā noteikto, ka noteikumu projektā, ja nepieciešams, raksta atsauci, kas norāda uz normatīvajiem aktiem noteiktā jomā, kā arī skaidrojuma beigās likt semikolu.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punkts tiek izteikts sekojošā redakcijā: "Apstiprinātā mācību organizācija – Komisijas 2011. gada 3. novembra Regulas (ES) Nr. 1178/2011, ar ko nosaka tehniskās prasības un administratīvās procedūras attiecībā uz civilās aviācijas gaisa kuģa apkalpi atbilstīgi Eiropas Parlamenta un Padomes Regulai (EK) Nr. 216/2008 (turpmāk – Regula Nr.1178/2011) 2.panta 16.punktā minētā apstiprinātā mācību organizācija, kuru sertificējusi valsts aģentūra “Civilās aviācijas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apstiprinātā mācību organizācija – Komisijas 2011. gada 3. novembra Regulas (ES) Nr. 1178/2011, ar ko nosaka tehniskās prasības un administratīvās procedūras attiecībā uz civilās aviācijas gaisa kuģa apkalpi atbilstīgi Eiropas Parlamenta un Padomes Regulai (EK) Nr. 216/2008 (turpmāk – Regula Nr.1178/2011) 2. panta 16. punktā minētā apstiprinātā mācību organizācija, kuru sertificējusi valsts aģentūra "Civilās aviācijas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Lidojumu organizators ne vēlāk kā 48 stundas pirms militārās aviācijas gaisa kuģa lidojuma iesniedz civilās aviācijas lidlauka administrācijai pieteikumu (</w:t>
            </w:r>
            <w:r w:rsidR="00000000" w:rsidRPr="00000000" w:rsidDel="00000000">
              <w:rPr>
                <w:rtl w:val="0"/>
              </w:rPr>
              <w:t xml:space="preserve">pielikums</w:t>
            </w:r>
            <w:r w:rsidR="00000000" w:rsidRPr="00000000" w:rsidDel="00000000">
              <w:rPr>
                <w:rtl w:val="0"/>
              </w:rPr>
              <w:t xml:space="preserve">),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Valsts iestāžu juridisko dienestu vadītāju 14.11.2019. sanāksmē nolemto (protokols Nr. 3 2. §), lūdzam izvērtēt iespēju projektā noteikt tikai pieteikuma veidlapā iekļaujamās informācijas saturu un apjomu, savukārt pieteikuma veidlapas dizainu un formu kā ilustratīvu materiālu publicēt institūcijas tīmekļvietnē vai vietnē, kur piedāvā e-pakalpojumu, ņemot par piemēru Komerclikumā ietverto regulējumu attiecībā uz Uzņēmumu reģistra veidlapām.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šo risinājumu attiecībā uz MK not. Nr. 750 6. punktā un pielikumā ietverto pieteikuma veidlapu, ņemot vērā to, ka šo veidlapu esat pievienojuši kā atsevišķu datni (*docx), bez atbilstošas strukturēšanas.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prasītu papildināt projektu ar vismaz diviem punktiem. Viens - veidlapā iekļaujamās informācijas saturs, apjoms, teksta valodas u.c., bet otrs - kur veidlapa pieejama un kam to ir pienākums izstrādāt, uzturēt aktuālu u.c.. Tāpat būtu projekta 6.punktā svītrojama atsauce uz pielikumu un svītrojams pats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papildus skatīt Ministru kabineta 2017. gada 6. jūnija noteikumu Nr. 313 "Traktortehnikas, tās piekabes, maināmās velkamās iekārtas un maināmā tehnoloģiskā agregāta reģistrācijas kārtība" 83.</w:t>
            </w:r>
            <w:r w:rsidR="00000000" w:rsidRPr="00000000" w:rsidDel="00000000">
              <w:rPr>
                <w:vertAlign w:val="superscript"/>
                <w:rtl w:val="0"/>
              </w:rPr>
              <w:t xml:space="preserve">2</w:t>
            </w:r>
            <w:r w:rsidR="00000000" w:rsidRPr="00000000" w:rsidDel="00000000">
              <w:rPr>
                <w:rtl w:val="0"/>
              </w:rPr>
              <w:t xml:space="preserve"> 2. apakšpunktu un 83.</w:t>
            </w:r>
            <w:r w:rsidR="00000000" w:rsidRPr="00000000" w:rsidDel="00000000">
              <w:rPr>
                <w:vertAlign w:val="superscript"/>
                <w:rtl w:val="0"/>
              </w:rPr>
              <w:t xml:space="preserve">5</w:t>
            </w:r>
            <w:r w:rsidR="00000000" w:rsidRPr="00000000" w:rsidDel="00000000">
              <w:rPr>
                <w:rtl w:val="0"/>
              </w:rPr>
              <w:t xml:space="preserve"> punktu vai Ministru kabineta 2021. gada 1. jūnija noteikumu Nr. 352 "Latvijas Goda ģimenes apliecības programmas īstenošanas kārtība" 3.6.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14. jūlija noteikumu Nr. 445 "Kārtība, kādā iestādes ievieto informāciju internetā" 8.punkts noteic, ja iestāde oficiālajā tīmekļvietnē vai mobilajā lietotnē publicē veidlapas, tās tiek veidotas vismaz datņu formātā, kas nodrošina iespēju veidlapu lejupielādēt no tīmekļvietnes, aizpildīt un saglabāt bez ierobežojumiem. Iestāde nodrošina skaidrojumu par veidlapu aizpildīšanu.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augstākminētais risinājums netiek atbalstīts, lūdzam nodrošināt projekta pielikuma - pieteikuma veidlapas strukturēšanu TAP portāla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starpinstitūciju sanāksmē par iebilduma atsaukšanu.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Lidojumu organizators ne vēlāk kā 48 stundas pirms militārās aviācijas gaisa kuģa lidojuma iesniedz civilās aviācijas lidlauka administrācijai pieteikumu (</w:t>
            </w:r>
            <w:r w:rsidR="00000000" w:rsidRPr="00000000" w:rsidDel="00000000">
              <w:rPr>
                <w:rtl w:val="0"/>
              </w:rPr>
              <w:t xml:space="preserve">pielikums</w:t>
            </w:r>
            <w:r w:rsidR="00000000" w:rsidRPr="00000000" w:rsidDel="00000000">
              <w:rPr>
                <w:rtl w:val="0"/>
              </w:rPr>
              <w:t xml:space="preserve">), 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4</w:t>
            </w:r>
            <w:r w:rsidR="00000000" w:rsidRPr="00000000" w:rsidDel="00000000">
              <w:rPr>
                <w:rtl w:val="0"/>
              </w:rPr>
              <w:t xml:space="preserve"> Nacionālie bruņotie spēki, mācību organizācija un gaisa kuģa ekspluatants veic militārā lidlauka atbilstības novērtējumu civilās aviācijas gaisa kuģu mācību lidojumu veikšanai. Šādam atbilstības novērtējumam ir jābūt dokumentētam un pēc pieprasījuma jāiesniedz valsts aģentūrai “Civilās aviācijas aģentūra” civilās aviācijas uzraudzības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pirmā teikuma un anotācijas nav skaidri saprotams, kas veic militārā lidlauka atbilstības novērtējumu civilās aviācijas gaisa kuģu mācību lidojumu veikšanai. Lūdzam vērtēt, kāda ir lidlauka atbildība nodrošinot drošu atbilstošu pakalpojumu. Lūdzam skaidrot, no kāda normatīvā regulējuma atbilstības novērtējuma nepieciešamība izriet, kas šādus atbilstības novērtējumus veic un cik tas maksā, kā arī, vai vērtētājam būs pieeja atbilstības novērtējumam nepieciešamajai informācijai, kas ir lidlauka rīcībā.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"Risinājuma apraksts" 4. rindkopa tiek izteikta jaunā redakcijā: “Ar grozījumiem tiek paredzēts, ka Nacionālie bruņotie spēki, apstiprinātā mācību organizācija un gaisa kuģa ekspluatants veic militārā lidlauka atbilstības novērtējumu, tas ir, vai militārās aviācijas lidlauks atbilst noteikumu 21.</w:t>
            </w:r>
            <w:r w:rsidR="00000000" w:rsidRPr="00000000" w:rsidDel="00000000">
              <w:rPr>
                <w:vertAlign w:val="superscript"/>
                <w:rtl w:val="0"/>
              </w:rPr>
              <w:t xml:space="preserve">1</w:t>
            </w:r>
            <w:r w:rsidR="00000000" w:rsidRPr="00000000" w:rsidDel="00000000">
              <w:rPr>
                <w:rtl w:val="0"/>
              </w:rPr>
              <w:t xml:space="preserve"> punktā minēto tiesību aktu prasībām,  civilās aviācijas gaisa kuģu mācību lidojumu veikšanai. Atbilstības  novērtējums tiek noformēts kā dokuments  kontrolkartes formātā, kurā ir norādīta konkrēta tiesību akta prasība un  tai pretim katra no līgumslēdzēju pusēm (Nacionālie bruņotie spēki no vienas puses, apstiprinātā mācību organizācija vai gaisa kuģa ekspluatants puses) atzīmē vai prasība tiek izpildīta vai netiek, vajadzības gadījumā pievienojot pušu komentārus. Atbilstības novērtējumu paraksta abas līgumslēdzēju puses.   Šādam atbilstības novērtējumam ir jābūt dokumentētam un pēc pieprasījuma jāiesniedz valsts aģentūrai “Civilās aviācijas aģentūra” civilās aviācijas uzraudzības nodrošināšanai. Valsts aģentūras “Civilās aviācijas aģentūra” uzdevums nav vērtēt militārā lidlauka atbilstību, bet gan vai apstiprinātā mācību organizācija vai gaisa kuģa ekspluatants, veicot tam apstiprinātos mācību lidojumus, tos izpilda atbilstoši civilās aviācijas tiesību aktu prasībām. Savukārt apstiprinātā mācību organizācija vai gaisa kuģa ekspluatants  var izpildīt mācību lidojumus atbilstoši noteiktajām prasībām, ja lidlauks vai tā daļa, ko izmanto mācību lidojumiem, atbilst civilās aviācijas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w:t>
            </w:r>
            <w:r w:rsidR="00000000" w:rsidRPr="00000000" w:rsidDel="00000000">
              <w:rPr>
                <w:vertAlign w:val="superscript"/>
                <w:rtl w:val="0"/>
              </w:rPr>
              <w:t xml:space="preserve">4 </w:t>
            </w:r>
            <w:r w:rsidR="00000000" w:rsidRPr="00000000" w:rsidDel="00000000">
              <w:rPr>
                <w:rtl w:val="0"/>
              </w:rPr>
              <w:t xml:space="preserve"> punkts tiek izteikts sekojošā redakcijā: "Nacionālie bruņotie spēki, apstiprinātā mācību organizācija un gaisa kuģa ekspluatants veic militārā lidlauka atbilstības novērtējumu civilās aviācijas gaisa kuģu mācību lidojumu veikšanai. Šādam atbilstības novērtējumam ir jābūt dokumentētam un pēc pieprasījuma jāiesniedz valsts aģentūrai “Civilās aviācijas aģentūra” civilās aviācijas uzraudzības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4</w:t>
            </w:r>
            <w:r w:rsidR="00000000" w:rsidRPr="00000000" w:rsidDel="00000000">
              <w:rPr>
                <w:rtl w:val="0"/>
              </w:rPr>
              <w:t xml:space="preserve"> Nacionālie bruņotie spēki, apstiprinātā mācību organizācija un gaisa kuģa ekspluatants veic militārā lidlauka atbilstības novērtējumu civilās aviācijas gaisa kuģu mācību lidojumu veikšanai. Šādu atbilstības novērtējumu dokumentē un pēc pieprasījuma iesniedz valsts aģentūrai "Civilās aviācijas aģentūra" civilās aviācijas uzraudzības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lidlauka "Lielvārde" rakstību, jo nosaukumā ir kļūda.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teikumā "Saskaņā ar Aizsardzības ministrijas un Satiksmes ministrijas 2006. gada 21. maija sadarbības līguma Nr. C-162/AM/2006 3.1. apakšpunktu, Satiksmes ministrijas Aviācijas nozares padomes 2014. gada 20. augusta sēdes protokola Nr.2 2. punktu un Satiksmes ministrijas 2014. gada 22. oktobra vēstulē Nr. 14-04/4372 "Par Lielvārdes lidlauka izmantošanas perspektīvām" pausto, tika izveidota Aizsardzības ministrijas un Satiksmes ministrijas, kā arī to padotībā esošo institūciju ekspertu darba grupa, kuras uzdevums bija veikt visaptverošu analīzi, aplūkojot un izanalizējot iespēju nākotnē izmantot militāro lidlauku "Lielvārde" kā civilās aviācijas ekspluatantu." vārdus "kā civilās aviācijas ekspluatantu", jo šāds termins nepastāv.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"Pašreizējā situācija" pirmais teikums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Aizsardzības ministrijas un Satiksmes ministrijas 2006. gada 21. maija sadarbības līguma Nr. C-162/AM/2006 3.1. apakšpunktu, Satiksmes ministrijas Aviācijas nozares padomes 2014. gada 20. augusta sēdes protokola Nr.2 2. punktu un Satiksmes ministrijas 2014. gada 22. oktobra vēstulē Nr. 14-04/4372 "Par Lielvārdes lidlauka izmantošanas perspektīvām" pausto, tika izveidota Aizsardzības ministrijas un Satiksmes ministrijas, kā arī to padotībā esošo institūciju ekspertu darba grupa, kuras uzdevums bija veikt visaptverošu analīzi, aplūkojot un izanalizējot iespēju nākotnē izmantot militāro lidlauku "Lielvārde" civilās aviācijas gaisa kuģu mācību lidojumu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teikumā "Lai arī Ministru kabineta 2018. gada 4. decembra noteikumi Nr. 750 "Kārtība, kādā civilās aviācijas lidlauku izmanto militārās aviācijas gaisa kuģi un militārās aviācijas lidlauku – civilās aviācijas gaisa kuģi" (turpmāk - noteikumi) nosaka militārās aviācijas lidlauku izmantošanas nosacījumus civilās aviācijas gaisa kuģu vajadzībām, tie attiecas tikai uz standarta</w:t>
            </w:r>
            <w:r w:rsidR="00000000" w:rsidRPr="00000000" w:rsidDel="00000000">
              <w:rPr>
                <w:b w:val="1"/>
                <w:rtl w:val="0"/>
              </w:rPr>
              <w:t xml:space="preserve"> </w:t>
            </w:r>
            <w:r w:rsidR="00000000" w:rsidRPr="00000000" w:rsidDel="00000000">
              <w:rPr>
                <w:rtl w:val="0"/>
              </w:rPr>
              <w:t xml:space="preserve">gaisa pārvadājumiem." vārdu "standarta", jo termins "standarta gaisa pārvadājumi" nepastāv.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"Problēmas apraksts"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ceturtajā ceturksnī Aizsardzības ministrija organizēja vairākas starpinstitūciju sanāksmes, lai pārrunātu turpmāko sadarbību un iespējas militārā lidlauka “Lielvārde” izmantošanā, piesaistot arī pārstāvjus no akciju sabiedrības “Air Baltic Corporation”. Sanāksmēs tika pārrunāta iespēja izmantot militāro lidlauku “Lielvārde” pilotu mācību lidojumu veikšanai, ko atbalstīja gan akciju sabiedrība “Air Baltic Corporation”, gan aizsardzības resors. Vienlaikus tika konstatēts, ka Ministru kabineta 2018. gada 4. decembra noteikumu  Nr. 750 "Kārtība, kādā civilās aviācijas lidlauku izmanto militārās aviācijas gaisa kuģi un militārās aviācijas lidlauku – civilās aviācijas gaisa kuģi" (turpmāk - noteikumi) III nodaļā noteiktais tiesiskais regulējums nav piemērojams attiecībā uz civilās aviācijas gaisa kuģu mācību lidojumiem, bet gan attiecas tikai uz gaisa pārvadājumiem. Līdz ar to noteikumu III nodaļu ir nepieciešams papildināt ar tiesību normām, kas nosaka saskaņā ar kādām prasībām militārais lidlauks var tikts izmantots arī pilotu mācību lidojumiem."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projekta anotācijas tekstā lietot vienotu terminu "mācību lidojumi".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Apstiprinātā mācību organizācija – Komisijas 2011. gada 3. novembra Regulas (ES) Nr. 1178/2011, ar ko nosaka tehniskās prasības un administratīvās procedūras attiecībā uz civilās aviācijas gaisa kuģa apkalpi atbilstīgi Eiropas Parlamenta un Padomes Regulai (EK) Nr. 216/2008 (turpmāk – Regula Nr.1178/2011) 2. panta 16. punktā minētā apstiprinātā mācību organizācija, kuru sertificējusi valsts aģentūra "Civilās aviācijas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apakšpunkta tekstā pirmoreiz lietoto vārdu "</w:t>
            </w:r>
            <w:r w:rsidR="00000000" w:rsidRPr="00000000" w:rsidDel="00000000">
              <w:rPr>
                <w:u w:val="single"/>
                <w:rtl w:val="0"/>
              </w:rPr>
              <w:t xml:space="preserve">A</w:t>
            </w:r>
            <w:r w:rsidR="00000000" w:rsidRPr="00000000" w:rsidDel="00000000">
              <w:rPr>
                <w:rtl w:val="0"/>
              </w:rPr>
              <w:t xml:space="preserve">pstiprinātā" rakstīt ar mazo burtu, jo arī noteikumu citi termini tiek lietoti ar mazo burtu, kā arī aicinām apakšpunkta teksta beigās likt semikolu, jo terminu uzskaitījums turpinās.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apstiprinātā mācību organizācija – Komisijas 2011. gada 3. novembra Regulas (ES) Nr. 1178/2011, ar ko nosaka tehniskās prasības un administratīvās procedūras attiecībā uz civilās aviācijas gaisa kuģa apkalpi atbilstīgi Eiropas Parlamenta un Padomes Regulai (EK) Nr. 216/2008 (turpmāk – Regula Nr.1178/2011) 2. panta 16. punktā minētā apstiprinātā mācību organizācija, kuru sertificējusi valsts aģentūra "Civilās aviācijas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Civilās aviācijas gaisa kuģi militārās aviācijas lidlaukus var izmantot mācību lidojumu veikšanai, ja militārās aviācijas lidlauki vai to daļas, ko izmanto šādu mācību lidojumu veikšanai, atbilst šo noteikumu 21. punktā noteiktajiem civilās aviācijas gaisa kuģu ekspluatācijas noteikumiem un Komisijas 2011. gada 3. novembra Regulas (ES) Nr. 1178/2011, ar ko nosaka tehniskās prasības un administratīvās procedūras attiecībā uz civilās aviācijas gaisa kuģa apkalpi atbilstīgi Eiropas Parlamenta un Padomes Regulai (EK) Nr. 216/2008 VII pielikuma ORA.GEN.140; ORA.GEN.215 un ORA.ATO.140 punkta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teikuma beigās ielikt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jau likuma "Par aviāciju" 29. pantā un arī šajos noteikumos nav ievērota konsekvence likumā nostiprinātā termina "militārais lidlauks" lietojums, tiek lietots arī "militārais aviācijas lidlauks" ar tādu pašu nozīmi. Aicinām saprast, kāds tad būtu pareizais termins un tādu arī lietot.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Civilās aviācijas gaisa kuģi militārās aviācijas lidlaukus var izmantot mācību lidojumu veikšanai, ja militārās aviācijas lidlauki vai to daļas, ko izmanto šādu mācību lidojumu veikšanai, atbilst šo noteikumu 21. punktā noteiktajiem civilās aviācijas gaisa kuģu ekspluatācijas noteikumiem un Regulas Nr. 1178/2011 VII pielikuma ORA.GEN.140, ORA.GEN.215 un ORA.ATO.140 punkta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Mācību organizācija un gaisa kuģa ekspluatants, kas izmantos militāro lidlauku mācību lidojumu veikšanai, slēdz līgumu ar Nacionālajiem bruņotajiem spēkiem par militārā lidlauka vai tās daļas izmantošanu. Līgumā ir jābūt iekļautai šādai informācijai: precīzi noteiktam mācību lidojumu veidam, mācību lidojumiem izmantojamie gaisa kuģi, piekļuves tiesībām Civilās aviācijas aģentūras un Transporta nelaimes gadījumu un incidentu izmeklēšanas biroja amatpersonām savu tiešo darba pienākumu pildīšanai.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šādas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ierosinām punkta pirmajā teikumā aizstāt vārdu "tās"ar vārdu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vairās no vajadzības izteiksmes lietošanas, jo normatīvajā aktā noteiktās prasības jāievēro neatkarīgi no tā, vai tajā lietota vajadzības izteiksme. Tāpēc ierosinām precizēt punkta otrajā teikumā vārdu "jābūt" izsakot darbības vārdu īstenības izteiksmes tagadnes trešajā personā (t. i., vispārinātas personas formā) - piem., "līgumā iekļauj..". Minētais attiecināms arī uz projekta 21.</w:t>
            </w:r>
            <w:r w:rsidR="00000000" w:rsidRPr="00000000" w:rsidDel="00000000">
              <w:rPr>
                <w:vertAlign w:val="superscript"/>
                <w:rtl w:val="0"/>
              </w:rPr>
              <w:t xml:space="preserve">4</w:t>
            </w:r>
            <w:r w:rsidR="00000000" w:rsidRPr="00000000" w:rsidDel="00000000">
              <w:rPr>
                <w:rtl w:val="0"/>
              </w:rPr>
              <w:t xml:space="preserve">punkta otrā teikuma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punkta otrajā teikumā nepieciešams precizēt iestādes nosaukumu - 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precizēts un izteitks sekojošā redakcijā: "Mācību organizācija un gaisa kuģa ekspluatants, kas izmantos militāro lidlauku mācību lidojumu veikšanai, slēdz līgumu ar Nacionālajiem bruņotajiem spēkiem par militārā lidlauka vai tā daļas izmantošanu. Līgumā iekļauj šādu informāciju: mācību lidojumu veids, mācību lidojumiem izmantojamie gaisa kuģi (tips, reģistrācijas Nr.), apliecinājumu par Regulas Nr.1178/2011 VII pielikuma ORA.GEN.140 punkta prasību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Apstiprinātā mācību organizācija un gaisa kuģa ekspluatants, kas izmantos militāro lidlauku mācību lidojumu veikšanai, slēdz līgumu ar Nacionālajiem bruņotajiem spēkiem par militārā lidlauka vai tā daļas izmantošanu. Līgumā iekļauj  informāciju par mācību lidojumu veidu, mācību lidojumiem izmantojamiem gaisa kuģiem (tips, reģistrācijas numurs), personām, kas mācību lidojumiem izmantos gaisa kuģi, un apliecinājumu par Regulas Nr. 1178/2011 VII pielikuma ORA.GEN.140 punkta prasību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Mācību organizācija un gaisa kuģa ekspluatants, kas izmantos militāro lidlauku mācību lidojumu veikšanai, slēdz līgumu ar Nacionālajiem bruņotajiem spēkiem par militārā lidlauka vai tās daļas izmantošanu. Līgumā ir jābūt iekļautai šādai informācijai: precīzi noteiktam mācību lidojumu veidam, mācību lidojumiem izmantojamie gaisa kuģi, piekļuves tiesībām Civilās aviācijas aģentūras un Transporta nelaimes gadījumu un incidentu izmeklēšanas biroja amatpersonām savu tiešo darba pienākumu pildīšanai.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likumā "Par aviāciju" (21-TA-1339) 6.panta ceturtā daļa tiek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Aviācijas departamenta, Civilās aviācijas aģentūras un Transporta nelaimes gadījumu un incidentu izmeklēšanas biroja darbiniekam, pildot dienesta pienākumus, ir tiesības netraucēti iekļūt visos civilās aviācijas objektos, kas atrodas Latvijas Republikas teritorijā un militārās aviācijas lidlaukos vai to daļās, kuras tiek izmantotas civilās aviācijas gaisa kuģu lidojumiem."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ministrijas ieskatā līgumā nav jāietver prasība par piekļuvi Civilās aviācijas aģentūras un Transporta nelaimes gadījumu un incidentu izmeklēšanas biroja amatpersonām, jo tā būs noteikta likumā "Par aviāciju".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Apstiprinātā mācību organizācija un gaisa kuģa ekspluatants, kas izmantos militāro lidlauku mācību lidojumu veikšanai, slēdz līgumu ar Nacionālajiem bruņotajiem spēkiem par militārā lidlauka vai tā daļas izmantošanu. Līgumā iekļauj  informāciju par mācību lidojumu veidu, mācību lidojumiem izmantojamiem gaisa kuģiem (tips, reģistrācijas numurs), personām, kas mācību lidojumiem izmantos gaisa kuģi, un apliecinājumu par Regulas Nr. 1178/2011 VII pielikuma ORA.GEN.140 punkta prasību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5</w:t>
            </w:r>
            <w:r w:rsidR="00000000" w:rsidRPr="00000000" w:rsidDel="00000000">
              <w:rPr>
                <w:rtl w:val="0"/>
              </w:rPr>
              <w:t xml:space="preserve"> Apkalpojot civilās aviācijas gaisa kuģus, kas izmanto militāros lidlaukus, tiek piemērotas aviodrošības prasības, kas noteiktas Eiropas Parlamenta un Padomes regulā (EK) Nr. 300/2008 (2008. gada 11. marts) par kopīgiem noteikumiem civilās aviācijas drošības jomā un ar ko atceļ Regulu (EK) Nr. 2320/2002,  Komisijas īstenošanas regulā (ES) 2015/1998 (2015. gada 5. novembris), ar ko nosaka sīki izstrādātus pasākumus kopīgu pamatstandartu īstenošanai aviācijas drošības jomā un Komisijas Regulā (ES) Nr. 1254/2009 (2009. gada 18. decembris), ar ko nosaka kritērijus, lai ļautu dalībvalstīm atkāpties no kopējiem pamatstandartiem civilās aviācijas drošības jomā un pieņemt alternatīvus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regulu nosaukumu (datumu) rakstību līdzīgi kā citos noteikumu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5</w:t>
            </w:r>
            <w:r w:rsidR="00000000" w:rsidRPr="00000000" w:rsidDel="00000000">
              <w:rPr>
                <w:rtl w:val="0"/>
              </w:rPr>
              <w:t xml:space="preserve"> Apkalpojot civilās aviācijas gaisa kuģus, kas izmanto militāros lidlaukus, tiek piemērotas aviodrošības prasības, kas noteiktas Eiropas Parlamenta un Padomes 2008. gada 11. marta regulā (EK) Nr. 300/2008 par kopīgiem noteikumiem civilās aviācijas drošības jomā un ar ko atceļ Regulu (EK) Nr. 2320/2002,  Komisijas 2015. gada 5. novembra īstenošanas regulā (ES) Nr. 2015/1998, ar ko nosaka sīki izstrādātus pasākumus kopīgu pamatstandartu īstenošanai aviācijas drošības jomā un Komisijas 2009. gada 18. decembra Regulā (ES) Nr. 1254/2009, ar ko nosaka kritērijus, lai ļautu dalībvalstīm atkāpties no kopējiem pamatstandartiem civilās aviācijas drošības jomā un pieņemt alternatīvus drošības pasākumus.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Noslēguma jautājums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militāro lidlauku izmantošana civilās aviācijas gaisa kuģu mācību lidojumiem būs par maksu, balstoties uz lidlauka izmantošanas cenrādi. Tādējādi vienlaikus ar noteikumu projektu ir izstrādāts noteikumu projekts “Nacionālo bruņoto spēku militārā lidlauka “Lielvārde” maksas pakalpojumu cenrādis” (22-TA-389), kurā ir noteikts militārā lidlauka "Lielvārde" cenrādis. Ņemot vērā abu projektu sasaisti, tiek noteikta nepieciešamība abus projektus skatīt kā saistītus vienā Ministru kabineta sēdē un noteikt kopīgu spēkā stāšanās datumu - 2022. gada 1. jūniju.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papildināt noteikumu IV nodaļu ar 23.</w:t>
            </w:r>
            <w:r w:rsidR="00000000" w:rsidRPr="00000000" w:rsidDel="00000000">
              <w:rPr>
                <w:vertAlign w:val="superscript"/>
                <w:rtl w:val="0"/>
              </w:rPr>
              <w:t xml:space="preserve">1</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Grozījumi šo noteikumu [uzskaitīt punktus un apakšpunktus]. punktā (apakšpunktā) stājas spēkā 2022.gada 1.jūnijā", vienlaikus izsakot IV nodaļas nosaukumu šādā redakcijā "IV. Noslēguma </w:t>
            </w:r>
            <w:r w:rsidR="00000000" w:rsidRPr="00000000" w:rsidDel="00000000">
              <w:rPr>
                <w:u w:val="single"/>
                <w:rtl w:val="0"/>
              </w:rPr>
              <w:t xml:space="preserve">jautājumi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saistītajā projektā būtu jāparedz, ka noteikumi stājas spēkā 2022.gada 1.jūnijā.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jaunu  - noteikumu IV nodaļas 24.</w:t>
            </w:r>
            <w:r w:rsidR="00000000" w:rsidRPr="00000000" w:rsidDel="00000000">
              <w:rPr>
                <w:vertAlign w:val="superscript"/>
                <w:rtl w:val="0"/>
              </w:rPr>
              <w:t xml:space="preserve">1</w:t>
            </w:r>
            <w:r w:rsidR="00000000" w:rsidRPr="00000000" w:rsidDel="00000000">
              <w:rPr>
                <w:rtl w:val="0"/>
              </w:rPr>
              <w:t xml:space="preserve"> punktu  -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šo noteikumu 2.1.</w:t>
            </w:r>
            <w:r w:rsidR="00000000" w:rsidRPr="00000000" w:rsidDel="00000000">
              <w:rPr>
                <w:vertAlign w:val="superscript"/>
                <w:rtl w:val="0"/>
              </w:rPr>
              <w:t xml:space="preserve">1</w:t>
            </w:r>
            <w:r w:rsidR="00000000" w:rsidRPr="00000000" w:rsidDel="00000000">
              <w:rPr>
                <w:rtl w:val="0"/>
              </w:rPr>
              <w:t xml:space="preserve">, 21.</w:t>
            </w:r>
            <w:r w:rsidR="00000000" w:rsidRPr="00000000" w:rsidDel="00000000">
              <w:rPr>
                <w:vertAlign w:val="superscript"/>
                <w:rtl w:val="0"/>
              </w:rPr>
              <w:t xml:space="preserve">1</w:t>
            </w:r>
            <w:r w:rsidR="00000000" w:rsidRPr="00000000" w:rsidDel="00000000">
              <w:rPr>
                <w:rtl w:val="0"/>
              </w:rPr>
              <w:t xml:space="preserve">, 21.</w:t>
            </w:r>
            <w:r w:rsidR="00000000" w:rsidRPr="00000000" w:rsidDel="00000000">
              <w:rPr>
                <w:vertAlign w:val="superscript"/>
                <w:rtl w:val="0"/>
              </w:rPr>
              <w:t xml:space="preserve">2</w:t>
            </w:r>
            <w:r w:rsidR="00000000" w:rsidRPr="00000000" w:rsidDel="00000000">
              <w:rPr>
                <w:rtl w:val="0"/>
              </w:rPr>
              <w:t xml:space="preserve">, 21.</w:t>
            </w:r>
            <w:r w:rsidR="00000000" w:rsidRPr="00000000" w:rsidDel="00000000">
              <w:rPr>
                <w:vertAlign w:val="superscript"/>
                <w:rtl w:val="0"/>
              </w:rPr>
              <w:t xml:space="preserve">3</w:t>
            </w:r>
            <w:r w:rsidR="00000000" w:rsidRPr="00000000" w:rsidDel="00000000">
              <w:rPr>
                <w:rtl w:val="0"/>
              </w:rPr>
              <w:t xml:space="preserve">, 21.</w:t>
            </w:r>
            <w:r w:rsidR="00000000" w:rsidRPr="00000000" w:rsidDel="00000000">
              <w:rPr>
                <w:vertAlign w:val="superscript"/>
                <w:rtl w:val="0"/>
              </w:rPr>
              <w:t xml:space="preserve">4</w:t>
            </w:r>
            <w:r w:rsidR="00000000" w:rsidRPr="00000000" w:rsidDel="00000000">
              <w:rPr>
                <w:rtl w:val="0"/>
              </w:rPr>
              <w:t xml:space="preserve"> un 21.</w:t>
            </w:r>
            <w:r w:rsidR="00000000" w:rsidRPr="00000000" w:rsidDel="00000000">
              <w:rPr>
                <w:vertAlign w:val="superscript"/>
                <w:rtl w:val="0"/>
              </w:rPr>
              <w:t xml:space="preserve">5</w:t>
            </w:r>
            <w:r w:rsidR="00000000" w:rsidRPr="00000000" w:rsidDel="00000000">
              <w:rPr>
                <w:rtl w:val="0"/>
              </w:rPr>
              <w:t xml:space="preserve"> punktā (apakšpunktā) stājas spēkā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Noslēguma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Grozījumi šo noteikumu 2.1.</w:t>
            </w:r>
            <w:r w:rsidR="00000000" w:rsidRPr="00000000" w:rsidDel="00000000">
              <w:rPr>
                <w:vertAlign w:val="superscript"/>
                <w:rtl w:val="0"/>
              </w:rPr>
              <w:t xml:space="preserve">1</w:t>
            </w:r>
            <w:r w:rsidR="00000000" w:rsidRPr="00000000" w:rsidDel="00000000">
              <w:rPr>
                <w:rtl w:val="0"/>
              </w:rPr>
              <w:t xml:space="preserve">, 21.</w:t>
            </w:r>
            <w:r w:rsidR="00000000" w:rsidRPr="00000000" w:rsidDel="00000000">
              <w:rPr>
                <w:vertAlign w:val="superscript"/>
                <w:rtl w:val="0"/>
              </w:rPr>
              <w:t xml:space="preserve">1</w:t>
            </w:r>
            <w:r w:rsidR="00000000" w:rsidRPr="00000000" w:rsidDel="00000000">
              <w:rPr>
                <w:rtl w:val="0"/>
              </w:rPr>
              <w:t xml:space="preserve">, 21.</w:t>
            </w:r>
            <w:r w:rsidR="00000000" w:rsidRPr="00000000" w:rsidDel="00000000">
              <w:rPr>
                <w:vertAlign w:val="superscript"/>
                <w:rtl w:val="0"/>
              </w:rPr>
              <w:t xml:space="preserve">2</w:t>
            </w:r>
            <w:r w:rsidR="00000000" w:rsidRPr="00000000" w:rsidDel="00000000">
              <w:rPr>
                <w:rtl w:val="0"/>
              </w:rPr>
              <w:t xml:space="preserve">, 21.</w:t>
            </w:r>
            <w:r w:rsidR="00000000" w:rsidRPr="00000000" w:rsidDel="00000000">
              <w:rPr>
                <w:vertAlign w:val="superscript"/>
                <w:rtl w:val="0"/>
              </w:rPr>
              <w:t xml:space="preserve">3</w:t>
            </w:r>
            <w:r w:rsidR="00000000" w:rsidRPr="00000000" w:rsidDel="00000000">
              <w:rPr>
                <w:rtl w:val="0"/>
              </w:rPr>
              <w:t xml:space="preserve">, 21.</w:t>
            </w:r>
            <w:r w:rsidR="00000000" w:rsidRPr="00000000" w:rsidDel="00000000">
              <w:rPr>
                <w:vertAlign w:val="superscript"/>
                <w:rtl w:val="0"/>
              </w:rPr>
              <w:t xml:space="preserve">4</w:t>
            </w:r>
            <w:r w:rsidR="00000000" w:rsidRPr="00000000" w:rsidDel="00000000">
              <w:rPr>
                <w:rtl w:val="0"/>
              </w:rPr>
              <w:t xml:space="preserve"> un 21.</w:t>
            </w:r>
            <w:r w:rsidR="00000000" w:rsidRPr="00000000" w:rsidDel="00000000">
              <w:rPr>
                <w:vertAlign w:val="superscript"/>
                <w:rtl w:val="0"/>
              </w:rPr>
              <w:t xml:space="preserve">5</w:t>
            </w:r>
            <w:r w:rsidR="00000000" w:rsidRPr="00000000" w:rsidDel="00000000">
              <w:rPr>
                <w:rtl w:val="0"/>
              </w:rPr>
              <w:t xml:space="preserve"> punktā (apakšpunktā) stājas spēkā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Noslēguma jautājumi papildināmi ar 23.</w:t>
            </w:r>
            <w:r w:rsidR="00000000" w:rsidRPr="00000000" w:rsidDel="00000000">
              <w:rPr>
                <w:vertAlign w:val="superscript"/>
                <w:rtl w:val="0"/>
              </w:rPr>
              <w:t xml:space="preserve">1</w:t>
            </w:r>
            <w:r w:rsidR="00000000" w:rsidRPr="00000000" w:rsidDel="00000000">
              <w:rPr>
                <w:rtl w:val="0"/>
              </w:rPr>
              <w:t xml:space="preserve">punktu nevis 24.1.apakšpunktu.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Noslēguma jautājumi sākas ar 24. punktu un tehniskās nepilnības TAP portālā, ka nav iespējams dotajā brīdī 24 punktam pievienot prim punktu, minētais punkts tiek izteikts kā jauns - 25.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Grozījumi šo noteikumu 2.1.</w:t>
            </w:r>
            <w:r w:rsidR="00000000" w:rsidRPr="00000000" w:rsidDel="00000000">
              <w:rPr>
                <w:vertAlign w:val="superscript"/>
                <w:rtl w:val="0"/>
              </w:rPr>
              <w:t xml:space="preserve">1</w:t>
            </w:r>
            <w:r w:rsidR="00000000" w:rsidRPr="00000000" w:rsidDel="00000000">
              <w:rPr>
                <w:rtl w:val="0"/>
              </w:rPr>
              <w:t xml:space="preserve">, 21.</w:t>
            </w:r>
            <w:r w:rsidR="00000000" w:rsidRPr="00000000" w:rsidDel="00000000">
              <w:rPr>
                <w:vertAlign w:val="superscript"/>
                <w:rtl w:val="0"/>
              </w:rPr>
              <w:t xml:space="preserve">1</w:t>
            </w:r>
            <w:r w:rsidR="00000000" w:rsidRPr="00000000" w:rsidDel="00000000">
              <w:rPr>
                <w:rtl w:val="0"/>
              </w:rPr>
              <w:t xml:space="preserve">, 21.</w:t>
            </w:r>
            <w:r w:rsidR="00000000" w:rsidRPr="00000000" w:rsidDel="00000000">
              <w:rPr>
                <w:vertAlign w:val="superscript"/>
                <w:rtl w:val="0"/>
              </w:rPr>
              <w:t xml:space="preserve">2</w:t>
            </w:r>
            <w:r w:rsidR="00000000" w:rsidRPr="00000000" w:rsidDel="00000000">
              <w:rPr>
                <w:rtl w:val="0"/>
              </w:rPr>
              <w:t xml:space="preserve">, 21.</w:t>
            </w:r>
            <w:r w:rsidR="00000000" w:rsidRPr="00000000" w:rsidDel="00000000">
              <w:rPr>
                <w:vertAlign w:val="superscript"/>
                <w:rtl w:val="0"/>
              </w:rPr>
              <w:t xml:space="preserve">3</w:t>
            </w:r>
            <w:r w:rsidR="00000000" w:rsidRPr="00000000" w:rsidDel="00000000">
              <w:rPr>
                <w:rtl w:val="0"/>
              </w:rPr>
              <w:t xml:space="preserve">, 21.</w:t>
            </w:r>
            <w:r w:rsidR="00000000" w:rsidRPr="00000000" w:rsidDel="00000000">
              <w:rPr>
                <w:vertAlign w:val="superscript"/>
                <w:rtl w:val="0"/>
              </w:rPr>
              <w:t xml:space="preserve">4</w:t>
            </w:r>
            <w:r w:rsidR="00000000" w:rsidRPr="00000000" w:rsidDel="00000000">
              <w:rPr>
                <w:rtl w:val="0"/>
              </w:rPr>
              <w:t xml:space="preserve"> un 21.</w:t>
            </w:r>
            <w:r w:rsidR="00000000" w:rsidRPr="00000000" w:rsidDel="00000000">
              <w:rPr>
                <w:vertAlign w:val="superscript"/>
                <w:rtl w:val="0"/>
              </w:rPr>
              <w:t xml:space="preserve">5</w:t>
            </w:r>
            <w:r w:rsidR="00000000" w:rsidRPr="00000000" w:rsidDel="00000000">
              <w:rPr>
                <w:rtl w:val="0"/>
              </w:rPr>
              <w:t xml:space="preserve"> punktā (apakšpunktā) stājas spēkā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23.</w:t>
            </w:r>
            <w:r w:rsidR="00000000" w:rsidRPr="00000000" w:rsidDel="00000000">
              <w:rPr>
                <w:vertAlign w:val="superscript"/>
                <w:rtl w:val="0"/>
              </w:rPr>
              <w:t xml:space="preserve">1</w:t>
            </w:r>
            <w:r w:rsidR="00000000" w:rsidRPr="00000000" w:rsidDel="00000000">
              <w:rPr>
                <w:rtl w:val="0"/>
              </w:rPr>
              <w:t xml:space="preserve">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šo noteikumu 2.1.</w:t>
            </w:r>
            <w:r w:rsidR="00000000" w:rsidRPr="00000000" w:rsidDel="00000000">
              <w:rPr>
                <w:vertAlign w:val="superscript"/>
                <w:rtl w:val="0"/>
              </w:rPr>
              <w:t xml:space="preserve">1</w:t>
            </w:r>
            <w:r w:rsidR="00000000" w:rsidRPr="00000000" w:rsidDel="00000000">
              <w:rPr>
                <w:rtl w:val="0"/>
              </w:rPr>
              <w:t xml:space="preserve"> apakšpunktā, 21.</w:t>
            </w:r>
            <w:r w:rsidR="00000000" w:rsidRPr="00000000" w:rsidDel="00000000">
              <w:rPr>
                <w:vertAlign w:val="superscript"/>
                <w:rtl w:val="0"/>
              </w:rPr>
              <w:t xml:space="preserve">1</w:t>
            </w:r>
            <w:r w:rsidR="00000000" w:rsidRPr="00000000" w:rsidDel="00000000">
              <w:rPr>
                <w:rtl w:val="0"/>
              </w:rPr>
              <w:t xml:space="preserve">, 21.</w:t>
            </w:r>
            <w:r w:rsidR="00000000" w:rsidRPr="00000000" w:rsidDel="00000000">
              <w:rPr>
                <w:vertAlign w:val="superscript"/>
                <w:rtl w:val="0"/>
              </w:rPr>
              <w:t xml:space="preserve">2</w:t>
            </w:r>
            <w:r w:rsidR="00000000" w:rsidRPr="00000000" w:rsidDel="00000000">
              <w:rPr>
                <w:rtl w:val="0"/>
              </w:rPr>
              <w:t xml:space="preserve">, 21.</w:t>
            </w:r>
            <w:r w:rsidR="00000000" w:rsidRPr="00000000" w:rsidDel="00000000">
              <w:rPr>
                <w:vertAlign w:val="superscript"/>
                <w:rtl w:val="0"/>
              </w:rPr>
              <w:t xml:space="preserve">3</w:t>
            </w:r>
            <w:r w:rsidR="00000000" w:rsidRPr="00000000" w:rsidDel="00000000">
              <w:rPr>
                <w:rtl w:val="0"/>
              </w:rPr>
              <w:t xml:space="preserve">, 21.</w:t>
            </w:r>
            <w:r w:rsidR="00000000" w:rsidRPr="00000000" w:rsidDel="00000000">
              <w:rPr>
                <w:vertAlign w:val="superscript"/>
                <w:rtl w:val="0"/>
              </w:rPr>
              <w:t xml:space="preserve">4</w:t>
            </w:r>
            <w:r w:rsidR="00000000" w:rsidRPr="00000000" w:rsidDel="00000000">
              <w:rPr>
                <w:rtl w:val="0"/>
              </w:rPr>
              <w:t xml:space="preserve"> un 21.</w:t>
            </w:r>
            <w:r w:rsidR="00000000" w:rsidRPr="00000000" w:rsidDel="00000000">
              <w:rPr>
                <w:vertAlign w:val="superscript"/>
                <w:rtl w:val="0"/>
              </w:rPr>
              <w:t xml:space="preserve">5</w:t>
            </w:r>
            <w:r w:rsidR="00000000" w:rsidRPr="00000000" w:rsidDel="00000000">
              <w:rPr>
                <w:rtl w:val="0"/>
              </w:rPr>
              <w:t xml:space="preserve"> punktā stājas spēkā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22-TA-373</w:t>
    </w:r>
    <w:r>
      <w:br/>
    </w:r>
    <w:r w:rsidR="00000000" w:rsidRPr="00000000" w:rsidDel="00000000">
      <w:rPr>
        <w:rtl w:val="0"/>
      </w:rPr>
      <w:t xml:space="preserve">19.07.2022. 22.49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22-TA-373</w:t>
    </w:r>
    <w:r>
      <w:br/>
    </w:r>
    <w:r w:rsidR="00000000" w:rsidRPr="00000000" w:rsidDel="00000000">
      <w:rPr>
        <w:rtl w:val="0"/>
      </w:rPr>
      <w:t xml:space="preserve">19.07.2022. 22.49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Izziņa_22-TA-373.docx</dc:title>
</cp:coreProperties>
</file>

<file path=docProps/custom.xml><?xml version="1.0" encoding="utf-8"?>
<Properties xmlns="http://schemas.openxmlformats.org/officeDocument/2006/custom-properties" xmlns:vt="http://schemas.openxmlformats.org/officeDocument/2006/docPropsVTypes"/>
</file>