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3B1E72F" w14:textId="77777777" w:rsidR="00CD1D94" w:rsidRDefault="008728EA">
      <w:pPr>
        <w:spacing w:after="240"/>
        <w:jc w:val="center"/>
        <w:rPr>
          <w:b/>
        </w:rPr>
      </w:pPr>
      <w:r>
        <w:rPr>
          <w:b/>
        </w:rPr>
        <w:t>Sabiedrības iebildumi un priekšlikumi</w:t>
      </w:r>
    </w:p>
    <w:tbl>
      <w:tblPr>
        <w:tblStyle w:val="a"/>
        <w:tblpPr w:leftFromText="180" w:rightFromText="180" w:vertAnchor="text" w:tblpY="1"/>
        <w:tblOverlap w:val="never"/>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CD1D94" w14:paraId="6FA596C4" w14:textId="77777777" w:rsidTr="006A412F">
        <w:tc>
          <w:tcPr>
            <w:tcW w:w="750" w:type="dxa"/>
            <w:shd w:val="clear" w:color="auto" w:fill="FFFFFF"/>
            <w:noWrap/>
            <w:tcMar>
              <w:top w:w="75" w:type="dxa"/>
              <w:left w:w="75" w:type="dxa"/>
              <w:bottom w:w="75" w:type="dxa"/>
              <w:right w:w="75" w:type="dxa"/>
            </w:tcMar>
            <w:vAlign w:val="center"/>
          </w:tcPr>
          <w:p w14:paraId="7AFEBA68" w14:textId="77777777" w:rsidR="00CD1D94" w:rsidRDefault="008728EA" w:rsidP="006A412F">
            <w:pPr>
              <w:spacing w:line="240" w:lineRule="auto"/>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19421ACD" w14:textId="77777777" w:rsidR="00CD1D94" w:rsidRDefault="008728EA" w:rsidP="006A412F">
            <w:pPr>
              <w:spacing w:line="240" w:lineRule="auto"/>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180AD70F" w14:textId="77777777" w:rsidR="00CD1D94" w:rsidRDefault="008728EA" w:rsidP="006A412F">
            <w:pPr>
              <w:spacing w:line="240" w:lineRule="auto"/>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72E910D8" w14:textId="77777777" w:rsidR="00CD1D94" w:rsidRDefault="008728EA" w:rsidP="006A412F">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723829B9" w14:textId="77777777" w:rsidR="00CD1D94" w:rsidRDefault="008728EA" w:rsidP="006A412F">
            <w:pPr>
              <w:spacing w:line="240" w:lineRule="auto"/>
              <w:jc w:val="center"/>
            </w:pPr>
            <w:r>
              <w:rPr>
                <w:b/>
              </w:rPr>
              <w:t>Pamatojums, ja iebildums / priekšlikums nav ņemts vērā</w:t>
            </w:r>
          </w:p>
        </w:tc>
      </w:tr>
      <w:tr w:rsidR="00CD1D94" w:rsidRPr="00F82180" w14:paraId="61047206" w14:textId="77777777" w:rsidTr="006A412F">
        <w:tc>
          <w:tcPr>
            <w:tcW w:w="750" w:type="dxa"/>
            <w:shd w:val="clear" w:color="auto" w:fill="FFFFFF"/>
            <w:noWrap/>
            <w:tcMar>
              <w:top w:w="75" w:type="dxa"/>
              <w:left w:w="75" w:type="dxa"/>
              <w:bottom w:w="75" w:type="dxa"/>
              <w:right w:w="75" w:type="dxa"/>
            </w:tcMar>
            <w:vAlign w:val="center"/>
          </w:tcPr>
          <w:p w14:paraId="3E95C115" w14:textId="77777777" w:rsidR="00CD1D94" w:rsidRPr="00F82180" w:rsidRDefault="008728EA" w:rsidP="006A412F">
            <w:pPr>
              <w:spacing w:line="240" w:lineRule="auto"/>
              <w:jc w:val="center"/>
              <w:rPr>
                <w:sz w:val="24"/>
                <w:szCs w:val="24"/>
              </w:rPr>
            </w:pPr>
            <w:r w:rsidRPr="00F82180">
              <w:rPr>
                <w:sz w:val="24"/>
                <w:szCs w:val="24"/>
              </w:rPr>
              <w:t>1.</w:t>
            </w:r>
          </w:p>
        </w:tc>
        <w:tc>
          <w:tcPr>
            <w:tcW w:w="4155" w:type="dxa"/>
            <w:shd w:val="clear" w:color="auto" w:fill="FFFFFF"/>
            <w:noWrap/>
            <w:tcMar>
              <w:top w:w="75" w:type="dxa"/>
              <w:left w:w="75" w:type="dxa"/>
              <w:bottom w:w="75" w:type="dxa"/>
              <w:right w:w="75" w:type="dxa"/>
            </w:tcMar>
            <w:vAlign w:val="center"/>
          </w:tcPr>
          <w:p w14:paraId="121D216B" w14:textId="2B8A2DD1" w:rsidR="00CD1D94" w:rsidRPr="00F82180" w:rsidRDefault="008728EA" w:rsidP="006A412F">
            <w:pPr>
              <w:spacing w:line="240" w:lineRule="auto"/>
              <w:jc w:val="left"/>
              <w:rPr>
                <w:sz w:val="24"/>
                <w:szCs w:val="24"/>
              </w:rPr>
            </w:pPr>
            <w:r w:rsidRPr="00F82180">
              <w:rPr>
                <w:sz w:val="24"/>
                <w:szCs w:val="24"/>
              </w:rPr>
              <w:t>Latvijas Tirdzniecības un rūpniecības kamera</w:t>
            </w:r>
          </w:p>
        </w:tc>
        <w:tc>
          <w:tcPr>
            <w:tcW w:w="4156" w:type="dxa"/>
            <w:shd w:val="clear" w:color="auto" w:fill="FFFFFF"/>
            <w:noWrap/>
            <w:tcMar>
              <w:top w:w="75" w:type="dxa"/>
              <w:left w:w="75" w:type="dxa"/>
              <w:bottom w:w="75" w:type="dxa"/>
              <w:right w:w="75" w:type="dxa"/>
            </w:tcMar>
            <w:vAlign w:val="center"/>
          </w:tcPr>
          <w:p w14:paraId="0297B0BC" w14:textId="4A24CB1B" w:rsidR="00CD1D94" w:rsidRPr="00F82180" w:rsidRDefault="008728EA" w:rsidP="006A412F">
            <w:pPr>
              <w:spacing w:line="240" w:lineRule="auto"/>
              <w:jc w:val="left"/>
              <w:rPr>
                <w:sz w:val="24"/>
                <w:szCs w:val="24"/>
              </w:rPr>
            </w:pPr>
            <w:bookmarkStart w:id="0" w:name="_Hlk167349055"/>
            <w:r w:rsidRPr="00F82180">
              <w:rPr>
                <w:sz w:val="24"/>
                <w:szCs w:val="24"/>
              </w:rPr>
              <w:t xml:space="preserve">Latvijas Tirdzniecības un rūpniecības kamera (turpmāk – LTRK) ir iepazinusies ar Tieslietu ministrijas izstrādāto informatīvā ziņojuma projektu “Informatīvais ziņojums par Fizisko personu datu apstrādes likumā ietvertā regulējuma par datu aizsardzības speciālista kvalifikācijas eksāmena lietderības un iespējas atteikties no šā eksāmena </w:t>
            </w:r>
            <w:proofErr w:type="spellStart"/>
            <w:r w:rsidRPr="00F82180">
              <w:rPr>
                <w:sz w:val="24"/>
                <w:szCs w:val="24"/>
              </w:rPr>
              <w:t>izvērtējumu</w:t>
            </w:r>
            <w:proofErr w:type="spellEnd"/>
            <w:r w:rsidRPr="00F82180">
              <w:rPr>
                <w:sz w:val="24"/>
                <w:szCs w:val="24"/>
              </w:rPr>
              <w:t xml:space="preserve"> ” (ID 24-TA-1149) (turpmāk – Projekts) un paužam iebildumus Projektā secinātajam, ka sabiedrības interesēs ir saglabāt Fizisko personu datu apstrādes likumā ietverto regulējumu par datu aizsardzības speciālista kvalifikācijas eksāmenu. </w:t>
            </w:r>
            <w:r w:rsidRPr="00F82180">
              <w:rPr>
                <w:b/>
                <w:sz w:val="24"/>
                <w:szCs w:val="24"/>
              </w:rPr>
              <w:t>LTRK ieskatā ir vairāki būtiski iemesli, kas pamatotu tieši pretēju secinājumu, proti, ka būtu nepieciešams atteikties no datu aizsardzības speciālista (DAS) kvalifikācijas eksāmena.</w:t>
            </w:r>
            <w:r w:rsidRPr="00F82180">
              <w:rPr>
                <w:sz w:val="24"/>
                <w:szCs w:val="24"/>
              </w:rPr>
              <w:br/>
            </w:r>
            <w:r w:rsidRPr="00F82180">
              <w:rPr>
                <w:sz w:val="24"/>
                <w:szCs w:val="24"/>
              </w:rPr>
              <w:br/>
            </w:r>
            <w:r w:rsidRPr="00F82180">
              <w:rPr>
                <w:b/>
                <w:sz w:val="24"/>
                <w:szCs w:val="24"/>
              </w:rPr>
              <w:t xml:space="preserve">Kvalifikācijas eksāmena atcelšana </w:t>
            </w:r>
            <w:r w:rsidRPr="00F82180">
              <w:rPr>
                <w:b/>
                <w:sz w:val="24"/>
                <w:szCs w:val="24"/>
              </w:rPr>
              <w:lastRenderedPageBreak/>
              <w:t>atvieglotu administratīvo slogu</w:t>
            </w:r>
            <w:r w:rsidRPr="00F82180">
              <w:rPr>
                <w:sz w:val="24"/>
                <w:szCs w:val="24"/>
              </w:rPr>
              <w:t>, jo būtu iespēja ātrāk un vienkāršāk pieņemt darbā DAS, kas nozīmē mazāk laika un resursu veltīšanu kandidātu sagatavošanai un pārbaudīšanai. Turklāt eksāmena atcelšana nozīmē mazāk administratīvo procedūru un dokumentācijas, kas nepieciešama, lai sagatavotu kandidātus eksāmenam un novērtētu viņu rezultātus, tādējādi samazinot ar eksāmenu saistīto formalitāšu skaitu. Turklāt tiktu samazinātas arī izmaksas, kas saistītas ar paša eksāmena nodrošināšanu un personu apmācību.</w:t>
            </w:r>
            <w:r w:rsidRPr="00F82180">
              <w:rPr>
                <w:sz w:val="24"/>
                <w:szCs w:val="24"/>
              </w:rPr>
              <w:br/>
            </w:r>
            <w:r w:rsidRPr="00F82180">
              <w:rPr>
                <w:sz w:val="24"/>
                <w:szCs w:val="24"/>
              </w:rPr>
              <w:br/>
            </w:r>
            <w:r w:rsidRPr="00F82180">
              <w:rPr>
                <w:b/>
                <w:sz w:val="24"/>
                <w:szCs w:val="24"/>
              </w:rPr>
              <w:t>Vēršam uzmanību, ka kvali</w:t>
            </w:r>
            <w:r w:rsidR="00DC57DE">
              <w:rPr>
                <w:b/>
                <w:sz w:val="24"/>
                <w:szCs w:val="24"/>
              </w:rPr>
              <w:t>fi</w:t>
            </w:r>
            <w:r w:rsidRPr="00F82180">
              <w:rPr>
                <w:b/>
                <w:sz w:val="24"/>
                <w:szCs w:val="24"/>
              </w:rPr>
              <w:t xml:space="preserve">kācijas eksāmens nav vienīgais veids, kā pārliecināties par DAS zināšanām. </w:t>
            </w:r>
            <w:r w:rsidRPr="00F82180">
              <w:rPr>
                <w:sz w:val="24"/>
                <w:szCs w:val="24"/>
              </w:rPr>
              <w:t>Eksāmena atcelšana var ļaut darba devējam vairāk koncentrēties uz kandidātu praktiskajām prasmēm un pieredzi datu aizsardzības jomā, nevis teorētisko zināšanu pārbaudīšanu, turklāt uzņēmumi bieži vien paši izstrādā un pielieto dažādas metodes DAS kompetences novērtēšanai, piemēram, intervijas, praktiskus testus vai darbības novērošanu. Šāda pieeja nodrošina precīzāku un pilnvērtīgāku kandidātu novērtējumu.</w:t>
            </w:r>
            <w:r w:rsidRPr="00F82180">
              <w:rPr>
                <w:sz w:val="24"/>
                <w:szCs w:val="24"/>
              </w:rPr>
              <w:br/>
            </w:r>
            <w:r w:rsidRPr="00F82180">
              <w:rPr>
                <w:sz w:val="24"/>
                <w:szCs w:val="24"/>
              </w:rPr>
              <w:br/>
            </w:r>
            <w:r w:rsidRPr="00F82180">
              <w:rPr>
                <w:b/>
                <w:sz w:val="24"/>
                <w:szCs w:val="24"/>
              </w:rPr>
              <w:lastRenderedPageBreak/>
              <w:t>Papildus norādām, ka eksāmena atcelšana veicinātu konkurētspēju</w:t>
            </w:r>
            <w:r w:rsidRPr="00F82180">
              <w:rPr>
                <w:sz w:val="24"/>
                <w:szCs w:val="24"/>
              </w:rPr>
              <w:t>, jo, kā jau Tieslietu ministrija Projektā ir norādījusi, Datu regulā nav noteikta DAS izglītības un kvalifikācijas eksāmena prasība, turklāt no 27 Eiropas Savienības valstīm Latvija un Spānija ir vienīgās valstis, kurās noteikta DAS eksaminācijas kartība. Eksāmena atcelšana veicinātu lielāku saskaņotību ar citām ES valstīm.</w:t>
            </w:r>
            <w:r w:rsidRPr="00F82180">
              <w:rPr>
                <w:sz w:val="24"/>
                <w:szCs w:val="24"/>
              </w:rPr>
              <w:br/>
            </w:r>
            <w:r w:rsidRPr="00F82180">
              <w:rPr>
                <w:sz w:val="24"/>
                <w:szCs w:val="24"/>
              </w:rPr>
              <w:br/>
              <w:t xml:space="preserve">Projektā tiek norādīts, ka DAS kvalifikācijas eksāmens nacionālā līmenī tika ieviests, ievērojot labas pārvaldības principu. </w:t>
            </w:r>
            <w:r w:rsidRPr="00F82180">
              <w:rPr>
                <w:b/>
                <w:sz w:val="24"/>
                <w:szCs w:val="24"/>
              </w:rPr>
              <w:t>LTRK ieskatā labas pārvaldības principu drīzāk nodrošina eksāmena atcelšana, jo tā ļauj sasniegt datu aizsardzības mērķus ar mazākiem administratīviem resursiem un efektīvāk, turklāt tā novērš nevajadzīgu slogu un izmaksas.</w:t>
            </w:r>
            <w:bookmarkEnd w:id="0"/>
          </w:p>
        </w:tc>
        <w:tc>
          <w:tcPr>
            <w:tcW w:w="1350" w:type="dxa"/>
            <w:shd w:val="clear" w:color="auto" w:fill="FFFFFF"/>
            <w:noWrap/>
            <w:tcMar>
              <w:top w:w="75" w:type="dxa"/>
              <w:left w:w="75" w:type="dxa"/>
              <w:bottom w:w="75" w:type="dxa"/>
              <w:right w:w="75" w:type="dxa"/>
            </w:tcMar>
            <w:vAlign w:val="center"/>
          </w:tcPr>
          <w:p w14:paraId="1063CBE1" w14:textId="32D5E148" w:rsidR="00CD1D94" w:rsidRPr="00F82180" w:rsidRDefault="009011A9" w:rsidP="006A412F">
            <w:pPr>
              <w:spacing w:line="240" w:lineRule="auto"/>
              <w:jc w:val="left"/>
              <w:rPr>
                <w:sz w:val="24"/>
                <w:szCs w:val="24"/>
              </w:rPr>
            </w:pPr>
            <w:r w:rsidRPr="00F82180">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47D0E70C" w14:textId="595E32B6" w:rsidR="00394A3C" w:rsidRDefault="00F82180" w:rsidP="006A412F">
            <w:pPr>
              <w:spacing w:line="240" w:lineRule="auto"/>
              <w:jc w:val="left"/>
            </w:pPr>
            <w:r w:rsidRPr="00F82180">
              <w:rPr>
                <w:sz w:val="24"/>
                <w:szCs w:val="24"/>
              </w:rPr>
              <w:t xml:space="preserve">Ņemot vērā </w:t>
            </w:r>
            <w:r w:rsidR="00CA743E" w:rsidRPr="00F82180">
              <w:rPr>
                <w:sz w:val="24"/>
                <w:szCs w:val="24"/>
              </w:rPr>
              <w:t xml:space="preserve"> Fizisko personu datu apstrādes likuma 17.pantā noteikto</w:t>
            </w:r>
            <w:r w:rsidRPr="00F82180">
              <w:rPr>
                <w:sz w:val="24"/>
                <w:szCs w:val="24"/>
              </w:rPr>
              <w:t xml:space="preserve">, </w:t>
            </w:r>
            <w:r w:rsidR="00CA743E">
              <w:rPr>
                <w:sz w:val="24"/>
                <w:szCs w:val="24"/>
              </w:rPr>
              <w:t xml:space="preserve">šobrīd </w:t>
            </w:r>
            <w:r w:rsidRPr="00F82180">
              <w:rPr>
                <w:sz w:val="24"/>
                <w:szCs w:val="24"/>
              </w:rPr>
              <w:t>vienīg</w:t>
            </w:r>
            <w:r w:rsidR="00675047">
              <w:rPr>
                <w:sz w:val="24"/>
                <w:szCs w:val="24"/>
              </w:rPr>
              <w:t>ā</w:t>
            </w:r>
            <w:r w:rsidRPr="00F82180">
              <w:rPr>
                <w:sz w:val="24"/>
                <w:szCs w:val="24"/>
              </w:rPr>
              <w:t xml:space="preserve"> obligāt</w:t>
            </w:r>
            <w:r w:rsidR="00CA743E">
              <w:rPr>
                <w:sz w:val="24"/>
                <w:szCs w:val="24"/>
              </w:rPr>
              <w:t>ā</w:t>
            </w:r>
            <w:r w:rsidRPr="00F82180">
              <w:rPr>
                <w:sz w:val="24"/>
                <w:szCs w:val="24"/>
              </w:rPr>
              <w:t xml:space="preserve"> prasība, kas ir izvirzāma</w:t>
            </w:r>
            <w:r w:rsidR="00CA743E">
              <w:t xml:space="preserve"> </w:t>
            </w:r>
            <w:r w:rsidR="00CA743E" w:rsidRPr="00CA743E">
              <w:rPr>
                <w:sz w:val="24"/>
                <w:szCs w:val="24"/>
              </w:rPr>
              <w:t>datu aizsardzības speciālist</w:t>
            </w:r>
            <w:r w:rsidR="00CA743E">
              <w:rPr>
                <w:sz w:val="24"/>
                <w:szCs w:val="24"/>
              </w:rPr>
              <w:t>am</w:t>
            </w:r>
            <w:r w:rsidR="00CA743E" w:rsidRPr="00CA743E">
              <w:rPr>
                <w:sz w:val="24"/>
                <w:szCs w:val="24"/>
              </w:rPr>
              <w:t xml:space="preserve"> (turpmāk – DAS)</w:t>
            </w:r>
            <w:r w:rsidRPr="00F82180">
              <w:rPr>
                <w:sz w:val="24"/>
                <w:szCs w:val="24"/>
              </w:rPr>
              <w:t>, ir atbilstība Vispārīgās datu aizsardzības regulas 37. panta 5.</w:t>
            </w:r>
            <w:r w:rsidR="006223DA">
              <w:rPr>
                <w:sz w:val="24"/>
                <w:szCs w:val="24"/>
              </w:rPr>
              <w:t> </w:t>
            </w:r>
            <w:r w:rsidRPr="00F82180">
              <w:rPr>
                <w:sz w:val="24"/>
                <w:szCs w:val="24"/>
              </w:rPr>
              <w:t xml:space="preserve">punktam. DAS eksāmena kārtošana ir </w:t>
            </w:r>
            <w:r w:rsidR="00116A00">
              <w:rPr>
                <w:sz w:val="24"/>
                <w:szCs w:val="24"/>
              </w:rPr>
              <w:t>brīv</w:t>
            </w:r>
            <w:r w:rsidRPr="00F82180">
              <w:rPr>
                <w:sz w:val="24"/>
                <w:szCs w:val="24"/>
              </w:rPr>
              <w:t>prātīga procedūra, kas neietekmē personas tiesības būt norīkot</w:t>
            </w:r>
            <w:r w:rsidR="00300ABF">
              <w:rPr>
                <w:sz w:val="24"/>
                <w:szCs w:val="24"/>
              </w:rPr>
              <w:t>ai</w:t>
            </w:r>
            <w:r w:rsidRPr="00F82180">
              <w:rPr>
                <w:sz w:val="24"/>
                <w:szCs w:val="24"/>
              </w:rPr>
              <w:t xml:space="preserve"> par DAS. Katrs pārzinis un apstrādātājs patstāvīgi nosaka DAS pieņemšanas darbā procedūru, no kā arī ir atkarīgs tās ilgums un sarežģīt</w:t>
            </w:r>
            <w:r w:rsidR="00300ABF">
              <w:rPr>
                <w:sz w:val="24"/>
                <w:szCs w:val="24"/>
              </w:rPr>
              <w:t>ība</w:t>
            </w:r>
            <w:r w:rsidRPr="00F82180">
              <w:rPr>
                <w:sz w:val="24"/>
                <w:szCs w:val="24"/>
              </w:rPr>
              <w:t>.</w:t>
            </w:r>
          </w:p>
          <w:p w14:paraId="785980DC" w14:textId="46A4E23E" w:rsidR="00F82180" w:rsidRPr="00F82180" w:rsidRDefault="00FE4678" w:rsidP="006A412F">
            <w:pPr>
              <w:spacing w:line="240" w:lineRule="auto"/>
              <w:jc w:val="left"/>
              <w:rPr>
                <w:sz w:val="24"/>
                <w:szCs w:val="24"/>
              </w:rPr>
            </w:pPr>
            <w:r w:rsidRPr="00FE4678">
              <w:rPr>
                <w:sz w:val="24"/>
                <w:szCs w:val="24"/>
              </w:rPr>
              <w:t xml:space="preserve">Apkopojot </w:t>
            </w:r>
            <w:r w:rsidR="00116A00">
              <w:rPr>
                <w:sz w:val="24"/>
                <w:szCs w:val="24"/>
              </w:rPr>
              <w:t xml:space="preserve">ziņojuma ietvaros veiktajā </w:t>
            </w:r>
            <w:r w:rsidR="00AF02D4">
              <w:rPr>
                <w:sz w:val="24"/>
                <w:szCs w:val="24"/>
              </w:rPr>
              <w:t>aptaujā piedalījušo</w:t>
            </w:r>
            <w:r w:rsidR="00116A00">
              <w:rPr>
                <w:sz w:val="24"/>
                <w:szCs w:val="24"/>
              </w:rPr>
              <w:t>s</w:t>
            </w:r>
            <w:r w:rsidR="00AF02D4">
              <w:rPr>
                <w:sz w:val="24"/>
                <w:szCs w:val="24"/>
              </w:rPr>
              <w:t xml:space="preserve"> </w:t>
            </w:r>
            <w:r w:rsidRPr="00FE4678">
              <w:rPr>
                <w:sz w:val="24"/>
                <w:szCs w:val="24"/>
              </w:rPr>
              <w:t>organizāciju</w:t>
            </w:r>
            <w:r w:rsidR="001653E2">
              <w:rPr>
                <w:sz w:val="24"/>
                <w:szCs w:val="24"/>
              </w:rPr>
              <w:t xml:space="preserve"> </w:t>
            </w:r>
            <w:r w:rsidRPr="00FE4678">
              <w:rPr>
                <w:sz w:val="24"/>
                <w:szCs w:val="24"/>
              </w:rPr>
              <w:t xml:space="preserve">sniegtās atbildes, </w:t>
            </w:r>
            <w:r w:rsidR="001653E2">
              <w:rPr>
                <w:sz w:val="24"/>
                <w:szCs w:val="24"/>
              </w:rPr>
              <w:t xml:space="preserve">tika </w:t>
            </w:r>
            <w:r w:rsidRPr="00FE4678">
              <w:rPr>
                <w:sz w:val="24"/>
                <w:szCs w:val="24"/>
              </w:rPr>
              <w:t>secinā</w:t>
            </w:r>
            <w:r w:rsidR="001653E2">
              <w:rPr>
                <w:sz w:val="24"/>
                <w:szCs w:val="24"/>
              </w:rPr>
              <w:t>ts</w:t>
            </w:r>
            <w:r w:rsidRPr="00FE4678">
              <w:rPr>
                <w:sz w:val="24"/>
                <w:szCs w:val="24"/>
              </w:rPr>
              <w:t>, ka absolūtais</w:t>
            </w:r>
            <w:r w:rsidR="006E0154">
              <w:rPr>
                <w:sz w:val="24"/>
                <w:szCs w:val="24"/>
              </w:rPr>
              <w:t xml:space="preserve"> organizāciju</w:t>
            </w:r>
            <w:r w:rsidRPr="00FE4678">
              <w:rPr>
                <w:sz w:val="24"/>
                <w:szCs w:val="24"/>
              </w:rPr>
              <w:t xml:space="preserve"> vairākums </w:t>
            </w:r>
            <w:r w:rsidR="00AF02D4" w:rsidRPr="00AF02D4">
              <w:rPr>
                <w:sz w:val="24"/>
                <w:szCs w:val="24"/>
              </w:rPr>
              <w:t>uzskata, ka  DAS saraksta izveidošanas mērķis tiek sasniegts. Kā galveno pamatojumu organizācijas norādīja, ka DAS iekļaušana D</w:t>
            </w:r>
            <w:r w:rsidR="00AF02D4">
              <w:rPr>
                <w:sz w:val="24"/>
                <w:szCs w:val="24"/>
              </w:rPr>
              <w:t xml:space="preserve">atu valsts inspekcijas </w:t>
            </w:r>
            <w:r w:rsidR="0088141C">
              <w:rPr>
                <w:sz w:val="24"/>
                <w:szCs w:val="24"/>
              </w:rPr>
              <w:t xml:space="preserve">(turpmāk – </w:t>
            </w:r>
            <w:r w:rsidR="0088141C" w:rsidRPr="00F82180">
              <w:rPr>
                <w:sz w:val="24"/>
                <w:szCs w:val="24"/>
              </w:rPr>
              <w:t>DVI</w:t>
            </w:r>
            <w:r w:rsidR="0088141C">
              <w:rPr>
                <w:sz w:val="24"/>
                <w:szCs w:val="24"/>
              </w:rPr>
              <w:t>)</w:t>
            </w:r>
            <w:r w:rsidR="0088141C" w:rsidRPr="00AF02D4">
              <w:rPr>
                <w:sz w:val="24"/>
                <w:szCs w:val="24"/>
              </w:rPr>
              <w:t xml:space="preserve"> </w:t>
            </w:r>
            <w:r w:rsidR="00AF02D4" w:rsidRPr="00AF02D4">
              <w:rPr>
                <w:sz w:val="24"/>
                <w:szCs w:val="24"/>
              </w:rPr>
              <w:t xml:space="preserve"> sarakstā </w:t>
            </w:r>
            <w:r w:rsidR="00044EA1">
              <w:rPr>
                <w:sz w:val="24"/>
                <w:szCs w:val="24"/>
              </w:rPr>
              <w:t xml:space="preserve">sniedz </w:t>
            </w:r>
            <w:r w:rsidR="00AF02D4" w:rsidRPr="00AF02D4">
              <w:rPr>
                <w:sz w:val="24"/>
                <w:szCs w:val="24"/>
              </w:rPr>
              <w:t xml:space="preserve"> drošības sajūtu par DAS kvalifikācijas līmeni un noteiktām zināšanām, un </w:t>
            </w:r>
            <w:r w:rsidR="00AF02D4" w:rsidRPr="00AF02D4">
              <w:rPr>
                <w:sz w:val="24"/>
                <w:szCs w:val="24"/>
              </w:rPr>
              <w:lastRenderedPageBreak/>
              <w:t>regulāru profesionālu pilnveidi datu apstrādes jomā</w:t>
            </w:r>
            <w:r w:rsidR="00AF02D4">
              <w:rPr>
                <w:sz w:val="24"/>
                <w:szCs w:val="24"/>
              </w:rPr>
              <w:t xml:space="preserve">. Ņemot vērā </w:t>
            </w:r>
            <w:r w:rsidR="005C4926">
              <w:rPr>
                <w:sz w:val="24"/>
                <w:szCs w:val="24"/>
              </w:rPr>
              <w:t xml:space="preserve">minēto, </w:t>
            </w:r>
            <w:r w:rsidR="005C4926" w:rsidRPr="00F82180">
              <w:rPr>
                <w:sz w:val="24"/>
                <w:szCs w:val="24"/>
              </w:rPr>
              <w:t>pretēji</w:t>
            </w:r>
            <w:r w:rsidR="00F82180" w:rsidRPr="00F82180">
              <w:rPr>
                <w:sz w:val="24"/>
                <w:szCs w:val="24"/>
              </w:rPr>
              <w:t xml:space="preserve"> LTRK viedoklim, </w:t>
            </w:r>
            <w:r w:rsidR="005C4926">
              <w:rPr>
                <w:sz w:val="24"/>
                <w:szCs w:val="24"/>
              </w:rPr>
              <w:t xml:space="preserve">secināms, ka </w:t>
            </w:r>
            <w:r w:rsidR="00F82180" w:rsidRPr="00F82180">
              <w:rPr>
                <w:sz w:val="24"/>
                <w:szCs w:val="24"/>
              </w:rPr>
              <w:t xml:space="preserve">nokārtotais DAS eksāmens, var atvieglot pārzinim un apstrādātājam DAS pieņemšanas darbā procedūru, jo eksāmena nokārtošana pati par sevi jau apliecina  DAS noteiktās zināšanas datu aizsardzības jomā.  </w:t>
            </w:r>
          </w:p>
          <w:p w14:paraId="1CB16758" w14:textId="3A563DD2" w:rsidR="00F82180" w:rsidRPr="00F82180" w:rsidRDefault="00F82180" w:rsidP="006A412F">
            <w:pPr>
              <w:spacing w:line="240" w:lineRule="auto"/>
              <w:jc w:val="left"/>
              <w:rPr>
                <w:sz w:val="24"/>
                <w:szCs w:val="24"/>
              </w:rPr>
            </w:pPr>
            <w:r w:rsidRPr="00F82180">
              <w:rPr>
                <w:sz w:val="24"/>
                <w:szCs w:val="24"/>
              </w:rPr>
              <w:t>Attiecībā uz LTRK viedokli, ka kvalifikācijas eksāmens nav vienīgais veids, kā pārliecināties par DAS zināšanām, paskaidrojam</w:t>
            </w:r>
            <w:r w:rsidR="00E076F1">
              <w:rPr>
                <w:sz w:val="24"/>
                <w:szCs w:val="24"/>
              </w:rPr>
              <w:t>, ka</w:t>
            </w:r>
            <w:r w:rsidR="00EA5EDA">
              <w:rPr>
                <w:sz w:val="24"/>
                <w:szCs w:val="24"/>
              </w:rPr>
              <w:t xml:space="preserve"> </w:t>
            </w:r>
            <w:r w:rsidR="00E076F1">
              <w:rPr>
                <w:sz w:val="24"/>
                <w:szCs w:val="24"/>
              </w:rPr>
              <w:t>l</w:t>
            </w:r>
            <w:r w:rsidRPr="00F82180">
              <w:rPr>
                <w:sz w:val="24"/>
                <w:szCs w:val="24"/>
              </w:rPr>
              <w:t xml:space="preserve">ai pārzinis un apstrādātājs varētu izvērtēt DAS kvalifikāciju, proti, gan teorētiskās zināšanas, gan praktiskās prasmes un pieredzi datu aizsardzības jomā, tiem ir nepieciešamas speciālās zināšanas un pieredze, kuras tiem </w:t>
            </w:r>
            <w:r w:rsidR="00620853">
              <w:rPr>
                <w:sz w:val="24"/>
                <w:szCs w:val="24"/>
              </w:rPr>
              <w:t>var nebūt</w:t>
            </w:r>
            <w:r w:rsidRPr="00F82180">
              <w:rPr>
                <w:sz w:val="24"/>
                <w:szCs w:val="24"/>
              </w:rPr>
              <w:t xml:space="preserve">. Līdz ar to </w:t>
            </w:r>
            <w:r w:rsidR="0088141C">
              <w:rPr>
                <w:sz w:val="24"/>
                <w:szCs w:val="24"/>
              </w:rPr>
              <w:t>DVI</w:t>
            </w:r>
            <w:r w:rsidR="00620853">
              <w:rPr>
                <w:sz w:val="24"/>
                <w:szCs w:val="24"/>
              </w:rPr>
              <w:t xml:space="preserve"> </w:t>
            </w:r>
            <w:r w:rsidRPr="00F82180">
              <w:rPr>
                <w:sz w:val="24"/>
                <w:szCs w:val="24"/>
              </w:rPr>
              <w:t xml:space="preserve"> uzturētais saraksts sniedz pārzinim un apstrādātajam informāciju, ka personai ir zināšanas datu apstrādes jomā, kas atbilst Vispārīgās datu regulas prasībām, lai pildītu DAS pienākumus.</w:t>
            </w:r>
          </w:p>
          <w:p w14:paraId="680DC051" w14:textId="77777777" w:rsidR="009011A9" w:rsidRDefault="00F82180" w:rsidP="008728EA">
            <w:pPr>
              <w:spacing w:line="240" w:lineRule="auto"/>
              <w:jc w:val="left"/>
              <w:rPr>
                <w:color w:val="auto"/>
                <w:sz w:val="24"/>
                <w:szCs w:val="24"/>
              </w:rPr>
            </w:pPr>
            <w:r w:rsidRPr="00F82180">
              <w:rPr>
                <w:sz w:val="24"/>
                <w:szCs w:val="24"/>
              </w:rPr>
              <w:t xml:space="preserve">Papildus </w:t>
            </w:r>
            <w:r w:rsidR="006429E1">
              <w:rPr>
                <w:sz w:val="24"/>
                <w:szCs w:val="24"/>
              </w:rPr>
              <w:t>jānorāda</w:t>
            </w:r>
            <w:r w:rsidRPr="00F82180">
              <w:rPr>
                <w:sz w:val="24"/>
                <w:szCs w:val="24"/>
              </w:rPr>
              <w:t xml:space="preserve">, ka  atbilstoši Eiropas Datu aizsardzības kolēģijas publicētajiem 2023. gada koordinētās pārbaudes rezultātiem par DAS institūtu, konstatēts, ka DAS zināšanu un prasmju pārbaudes vai sertifikācijas mehānismu neesamība vai trūkums, apgrūtina pārzinim un apstrādātājam atbilstošā DAS iecelšanas </w:t>
            </w:r>
            <w:r w:rsidRPr="00F82180">
              <w:rPr>
                <w:sz w:val="24"/>
                <w:szCs w:val="24"/>
              </w:rPr>
              <w:lastRenderedPageBreak/>
              <w:t>procesu dažādās valstīs un noved pie riskiem, ka DAS pienākumus var veikt persona ar nepietiekamām zināšanām un pieredzi.</w:t>
            </w:r>
            <w:r w:rsidR="008728EA">
              <w:rPr>
                <w:sz w:val="24"/>
                <w:szCs w:val="24"/>
              </w:rPr>
              <w:t xml:space="preserve"> </w:t>
            </w:r>
            <w:r w:rsidR="008728EA" w:rsidRPr="008728EA">
              <w:rPr>
                <w:color w:val="auto"/>
                <w:sz w:val="24"/>
                <w:szCs w:val="24"/>
              </w:rPr>
              <w:t>Līdz ar to DAS eksāmens un eksāmenu nokārtojušo personu saraksts ir drošs un palīdzošs instruments, ar kura palīdzību pārzinis un apstrādātājs var izvēlēties DAS ar apliecinātām un atbilstošām zināšanām datu apstrādes jomā</w:t>
            </w:r>
            <w:r w:rsidR="008728EA">
              <w:rPr>
                <w:color w:val="auto"/>
                <w:sz w:val="24"/>
                <w:szCs w:val="24"/>
              </w:rPr>
              <w:t>.</w:t>
            </w:r>
          </w:p>
          <w:p w14:paraId="5F913754" w14:textId="4D4CD824" w:rsidR="00E50352" w:rsidRPr="007D054F" w:rsidRDefault="00603E54" w:rsidP="008728EA">
            <w:pPr>
              <w:spacing w:line="240" w:lineRule="auto"/>
              <w:jc w:val="left"/>
              <w:rPr>
                <w:sz w:val="24"/>
                <w:szCs w:val="24"/>
              </w:rPr>
            </w:pPr>
            <w:r>
              <w:rPr>
                <w:color w:val="auto"/>
                <w:sz w:val="24"/>
                <w:szCs w:val="24"/>
              </w:rPr>
              <w:t xml:space="preserve">Tieslietu ministrija ir nonākusi pie secinājumiem, ka </w:t>
            </w:r>
            <w:r w:rsidR="00AF655A" w:rsidRPr="007D054F">
              <w:rPr>
                <w:color w:val="auto"/>
                <w:sz w:val="24"/>
                <w:szCs w:val="24"/>
              </w:rPr>
              <w:t>ir saglabājam</w:t>
            </w:r>
            <w:r w:rsidR="0052202F" w:rsidRPr="007D054F">
              <w:rPr>
                <w:color w:val="auto"/>
                <w:sz w:val="24"/>
                <w:szCs w:val="24"/>
              </w:rPr>
              <w:t>a</w:t>
            </w:r>
            <w:r w:rsidR="00AF655A" w:rsidRPr="007D054F">
              <w:rPr>
                <w:color w:val="auto"/>
                <w:sz w:val="24"/>
                <w:szCs w:val="24"/>
              </w:rPr>
              <w:t xml:space="preserve"> </w:t>
            </w:r>
            <w:r w:rsidR="0052202F" w:rsidRPr="007D054F">
              <w:rPr>
                <w:color w:val="auto"/>
                <w:sz w:val="24"/>
                <w:szCs w:val="24"/>
              </w:rPr>
              <w:t>l</w:t>
            </w:r>
            <w:r w:rsidR="00AF655A" w:rsidRPr="007D054F">
              <w:rPr>
                <w:color w:val="auto"/>
                <w:sz w:val="24"/>
                <w:szCs w:val="24"/>
              </w:rPr>
              <w:t xml:space="preserve">īdzšinējā </w:t>
            </w:r>
            <w:r w:rsidR="0052202F" w:rsidRPr="007D054F">
              <w:rPr>
                <w:color w:val="auto"/>
                <w:sz w:val="24"/>
                <w:szCs w:val="24"/>
              </w:rPr>
              <w:t xml:space="preserve">DAS eksāmena kārtošanas </w:t>
            </w:r>
            <w:r w:rsidR="00AF655A" w:rsidRPr="007D054F">
              <w:rPr>
                <w:color w:val="auto"/>
                <w:sz w:val="24"/>
                <w:szCs w:val="24"/>
              </w:rPr>
              <w:t>kārtība</w:t>
            </w:r>
            <w:r w:rsidR="001475B7">
              <w:rPr>
                <w:color w:val="auto"/>
                <w:sz w:val="24"/>
                <w:szCs w:val="24"/>
              </w:rPr>
              <w:t xml:space="preserve">. </w:t>
            </w:r>
            <w:r w:rsidR="00CC0DBD">
              <w:rPr>
                <w:color w:val="auto"/>
                <w:sz w:val="24"/>
                <w:szCs w:val="24"/>
              </w:rPr>
              <w:t>Ņemot vērā, ka</w:t>
            </w:r>
            <w:r w:rsidR="00CA61A7" w:rsidRPr="007D054F">
              <w:rPr>
                <w:color w:val="auto"/>
                <w:sz w:val="24"/>
                <w:szCs w:val="24"/>
              </w:rPr>
              <w:t xml:space="preserve"> netiek ievestas </w:t>
            </w:r>
            <w:r w:rsidR="009F77EF" w:rsidRPr="007D054F">
              <w:rPr>
                <w:color w:val="auto"/>
                <w:sz w:val="24"/>
                <w:szCs w:val="24"/>
              </w:rPr>
              <w:t>stingrākas DAS eksāmena kārtošanas kārtība</w:t>
            </w:r>
            <w:r w:rsidR="004C1230">
              <w:rPr>
                <w:color w:val="auto"/>
                <w:sz w:val="24"/>
                <w:szCs w:val="24"/>
              </w:rPr>
              <w:t>s prasības</w:t>
            </w:r>
            <w:r w:rsidR="00CC0DBD">
              <w:rPr>
                <w:color w:val="auto"/>
                <w:sz w:val="24"/>
                <w:szCs w:val="24"/>
              </w:rPr>
              <w:t>,</w:t>
            </w:r>
            <w:r w:rsidR="004C1230">
              <w:rPr>
                <w:color w:val="auto"/>
                <w:sz w:val="24"/>
                <w:szCs w:val="24"/>
              </w:rPr>
              <w:t xml:space="preserve"> netiek radīta ietekme uz </w:t>
            </w:r>
            <w:r w:rsidR="00AF655A" w:rsidRPr="007D054F">
              <w:rPr>
                <w:color w:val="auto"/>
                <w:sz w:val="24"/>
                <w:szCs w:val="24"/>
              </w:rPr>
              <w:t>konkurētspēju.</w:t>
            </w:r>
          </w:p>
        </w:tc>
      </w:tr>
      <w:tr w:rsidR="00F82180" w:rsidRPr="00F82180" w14:paraId="4133F2EB" w14:textId="77777777" w:rsidTr="006A412F">
        <w:tc>
          <w:tcPr>
            <w:tcW w:w="750" w:type="dxa"/>
            <w:shd w:val="clear" w:color="auto" w:fill="FFFFFF"/>
            <w:noWrap/>
            <w:tcMar>
              <w:top w:w="75" w:type="dxa"/>
              <w:left w:w="75" w:type="dxa"/>
              <w:bottom w:w="75" w:type="dxa"/>
              <w:right w:w="75" w:type="dxa"/>
            </w:tcMar>
            <w:vAlign w:val="center"/>
          </w:tcPr>
          <w:p w14:paraId="3699BE81" w14:textId="77777777" w:rsidR="00F82180" w:rsidRPr="00F82180" w:rsidRDefault="00F82180" w:rsidP="006A412F">
            <w:pPr>
              <w:jc w:val="center"/>
              <w:rPr>
                <w:sz w:val="24"/>
                <w:szCs w:val="24"/>
              </w:rPr>
            </w:pPr>
          </w:p>
          <w:p w14:paraId="5BBA70D1" w14:textId="77777777" w:rsidR="00F82180" w:rsidRPr="00F82180" w:rsidRDefault="00F82180" w:rsidP="006A412F">
            <w:pPr>
              <w:jc w:val="center"/>
              <w:rPr>
                <w:sz w:val="24"/>
                <w:szCs w:val="24"/>
              </w:rPr>
            </w:pPr>
          </w:p>
          <w:p w14:paraId="77D95CB3" w14:textId="432E2125" w:rsidR="00F82180" w:rsidRPr="00F82180" w:rsidRDefault="00F82180" w:rsidP="006A412F">
            <w:pPr>
              <w:jc w:val="center"/>
              <w:rPr>
                <w:sz w:val="24"/>
                <w:szCs w:val="24"/>
              </w:rPr>
            </w:pPr>
            <w:r w:rsidRPr="00F82180">
              <w:rPr>
                <w:sz w:val="24"/>
                <w:szCs w:val="24"/>
              </w:rPr>
              <w:t>2.</w:t>
            </w:r>
          </w:p>
        </w:tc>
        <w:tc>
          <w:tcPr>
            <w:tcW w:w="4155" w:type="dxa"/>
            <w:shd w:val="clear" w:color="auto" w:fill="FFFFFF"/>
            <w:noWrap/>
            <w:tcMar>
              <w:top w:w="75" w:type="dxa"/>
              <w:left w:w="75" w:type="dxa"/>
              <w:bottom w:w="75" w:type="dxa"/>
              <w:right w:w="75" w:type="dxa"/>
            </w:tcMar>
            <w:vAlign w:val="center"/>
          </w:tcPr>
          <w:p w14:paraId="6C8B8B9E" w14:textId="77777777" w:rsidR="00F82180" w:rsidRPr="00F82180" w:rsidRDefault="00F82180" w:rsidP="006A412F">
            <w:pPr>
              <w:spacing w:line="240" w:lineRule="auto"/>
              <w:jc w:val="center"/>
              <w:rPr>
                <w:b/>
                <w:bCs/>
                <w:sz w:val="24"/>
                <w:szCs w:val="24"/>
              </w:rPr>
            </w:pPr>
          </w:p>
          <w:p w14:paraId="5BC45398" w14:textId="77777777" w:rsidR="00F82180" w:rsidRPr="00F82180" w:rsidRDefault="00F82180" w:rsidP="006A412F">
            <w:pPr>
              <w:spacing w:line="240" w:lineRule="auto"/>
              <w:jc w:val="center"/>
              <w:rPr>
                <w:b/>
                <w:bCs/>
                <w:sz w:val="24"/>
                <w:szCs w:val="24"/>
              </w:rPr>
            </w:pPr>
          </w:p>
          <w:p w14:paraId="2BDCDE6D" w14:textId="77777777" w:rsidR="00F82180" w:rsidRPr="00F82180" w:rsidRDefault="00F82180" w:rsidP="006A412F">
            <w:pPr>
              <w:spacing w:line="240" w:lineRule="auto"/>
              <w:jc w:val="center"/>
              <w:rPr>
                <w:b/>
                <w:bCs/>
                <w:sz w:val="24"/>
                <w:szCs w:val="24"/>
              </w:rPr>
            </w:pPr>
          </w:p>
          <w:p w14:paraId="68840394" w14:textId="77777777" w:rsidR="00F82180" w:rsidRPr="00F82180" w:rsidRDefault="00F82180" w:rsidP="006A412F">
            <w:pPr>
              <w:spacing w:line="240" w:lineRule="auto"/>
              <w:jc w:val="center"/>
              <w:rPr>
                <w:b/>
                <w:bCs/>
                <w:sz w:val="24"/>
                <w:szCs w:val="24"/>
              </w:rPr>
            </w:pPr>
          </w:p>
          <w:p w14:paraId="68C62A53" w14:textId="534DBE22" w:rsidR="00F82180" w:rsidRPr="00F82180" w:rsidRDefault="00F82180" w:rsidP="006A412F">
            <w:pPr>
              <w:spacing w:line="240" w:lineRule="auto"/>
              <w:jc w:val="left"/>
              <w:rPr>
                <w:sz w:val="24"/>
                <w:szCs w:val="24"/>
              </w:rPr>
            </w:pPr>
            <w:r w:rsidRPr="00F82180">
              <w:rPr>
                <w:sz w:val="24"/>
                <w:szCs w:val="24"/>
              </w:rPr>
              <w:t>Biedrība "LATVIJAS SERTIFICĒTO PERSONAS DATU AIZSARDZĪBAS SPECIĀLISTU ASOCIĀCIJA"</w:t>
            </w:r>
          </w:p>
        </w:tc>
        <w:tc>
          <w:tcPr>
            <w:tcW w:w="4156" w:type="dxa"/>
            <w:shd w:val="clear" w:color="auto" w:fill="FFFFFF"/>
            <w:noWrap/>
            <w:tcMar>
              <w:top w:w="75" w:type="dxa"/>
              <w:left w:w="75" w:type="dxa"/>
              <w:bottom w:w="75" w:type="dxa"/>
              <w:right w:w="75" w:type="dxa"/>
            </w:tcMar>
            <w:vAlign w:val="center"/>
          </w:tcPr>
          <w:p w14:paraId="01316B9F" w14:textId="1CA58FB7" w:rsidR="00F82180" w:rsidRPr="00F82180" w:rsidRDefault="00F82180" w:rsidP="006A412F">
            <w:pPr>
              <w:pBdr>
                <w:top w:val="nil"/>
                <w:left w:val="nil"/>
                <w:bottom w:val="nil"/>
                <w:right w:val="nil"/>
                <w:between w:val="nil"/>
                <w:bar w:val="nil"/>
              </w:pBdr>
              <w:spacing w:after="160" w:line="259" w:lineRule="auto"/>
              <w:rPr>
                <w:rFonts w:eastAsia="Calibri"/>
                <w:color w:val="000000"/>
                <w:kern w:val="2"/>
                <w:sz w:val="24"/>
                <w:szCs w:val="24"/>
                <w:u w:color="000000"/>
                <w:bdr w:val="nil"/>
                <w:lang w:val="de-DE"/>
                <w14:textOutline w14:w="0" w14:cap="flat" w14:cmpd="sng" w14:algn="ctr">
                  <w14:noFill/>
                  <w14:prstDash w14:val="solid"/>
                  <w14:bevel/>
                </w14:textOutline>
              </w:rPr>
            </w:pP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Biedrībā</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Latvijas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Sertificēto</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personas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datu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aizsardzības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speciālistu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asociācija</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turpmāk</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tekstā</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Asociācija</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sniedzam</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viedokli</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un</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priekšlikumus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par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datu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aizsardzības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speciālistu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kvalifikācijas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sistēmas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esamību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un</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attīstību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w:t>
            </w:r>
          </w:p>
          <w:p w14:paraId="5FFA547A" w14:textId="6A43547E" w:rsidR="00F82180" w:rsidRPr="00F82180" w:rsidRDefault="00F82180" w:rsidP="006A412F">
            <w:pPr>
              <w:pBdr>
                <w:top w:val="nil"/>
                <w:left w:val="nil"/>
                <w:bottom w:val="nil"/>
                <w:right w:val="nil"/>
                <w:between w:val="nil"/>
                <w:bar w:val="nil"/>
              </w:pBdr>
              <w:spacing w:after="160" w:line="259" w:lineRule="auto"/>
              <w:jc w:val="left"/>
              <w:rPr>
                <w:rFonts w:eastAsia="Arial Unicode MS"/>
                <w:color w:val="000000"/>
                <w:kern w:val="2"/>
                <w:sz w:val="24"/>
                <w:szCs w:val="24"/>
                <w:u w:color="000000"/>
                <w:bdr w:val="nil"/>
                <w14:textOutline w14:w="0" w14:cap="flat" w14:cmpd="sng" w14:algn="ctr">
                  <w14:noFill/>
                  <w14:prstDash w14:val="solid"/>
                  <w14:bevel/>
                </w14:textOutline>
              </w:rPr>
            </w:pP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1.Asociācija, kurā apvienojušies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proofErr w:type="spellEnd"/>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bas profesion</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āļ</w:t>
            </w:r>
            <w:proofErr w:type="spellEnd"/>
            <w:r w:rsidRPr="00F82180">
              <w:rPr>
                <w:rFonts w:eastAsia="Arial Unicode MS"/>
                <w:color w:val="000000"/>
                <w:kern w:val="2"/>
                <w:sz w:val="24"/>
                <w:szCs w:val="24"/>
                <w:u w:color="000000"/>
                <w:bdr w:val="nil"/>
                <w:lang w:val="nl-NL"/>
                <w14:textOutline w14:w="0" w14:cap="flat" w14:cmpd="sng" w14:algn="ctr">
                  <w14:noFill/>
                  <w14:prstDash w14:val="solid"/>
                  <w14:bevel/>
                </w14:textOutline>
              </w:rPr>
              <w:t>i, veicot iek</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šēju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 xml:space="preserve">aptauju ir nonākusi pie vienota viedokļa, ka tipiski pārzinim (t.sk.,  apstrādātājam), nav specifisku zināšanu par to, kā  preventīvi novērtēt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r w:rsidRPr="00F82180">
              <w:rPr>
                <w:rFonts w:eastAsia="Arial Unicode MS"/>
                <w:color w:val="000000"/>
                <w:kern w:val="2"/>
                <w:sz w:val="24"/>
                <w:szCs w:val="24"/>
                <w:u w:color="000000"/>
                <w:bdr w:val="nil"/>
                <w14:textOutline w14:w="0" w14:cap="flat" w14:cmpd="sng" w14:algn="ctr">
                  <w14:noFill/>
                  <w14:prstDash w14:val="solid"/>
                  <w14:bevel/>
                </w14:textOutline>
              </w:rPr>
              <w:t>ālista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kvalifikāciju. Tā kā tāda sistēma vai kritēriji nepastāv, tad pārzinim vienīgā iespēja izvērtēt Datu aizsardzības speciālista kvalifikāciju rodas tikai situācijā, ja ir kāds datu subjekta vai uzraudzības iestādes pieprasījums. Kas attiecīgi būtu vērtējams kā novēlots kvalifikācijas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izvērtējums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un rada nepamatoti augstu risku pārzinim.     Vairākās jomā</w:t>
            </w:r>
            <w:r w:rsidRPr="00A54786">
              <w:rPr>
                <w:rFonts w:eastAsia="Arial Unicode MS"/>
                <w:color w:val="000000"/>
                <w:kern w:val="2"/>
                <w:sz w:val="24"/>
                <w:szCs w:val="24"/>
                <w:u w:color="000000"/>
                <w:bdr w:val="nil"/>
                <w14:textOutline w14:w="0" w14:cap="flat" w14:cmpd="sng" w14:algn="ctr">
                  <w14:noFill/>
                  <w14:prstDash w14:val="solid"/>
                  <w14:bevel/>
                </w14:textOutline>
              </w:rPr>
              <w:t>s normat</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īvie akti uzliek par pienākumu norīkot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r w:rsidRPr="00F82180">
              <w:rPr>
                <w:rFonts w:eastAsia="Arial Unicode MS"/>
                <w:color w:val="000000"/>
                <w:kern w:val="2"/>
                <w:sz w:val="24"/>
                <w:szCs w:val="24"/>
                <w:u w:color="000000"/>
                <w:bdr w:val="nil"/>
                <w14:textOutline w14:w="0" w14:cap="flat" w14:cmpd="sng" w14:algn="ctr">
                  <w14:noFill/>
                  <w14:prstDash w14:val="solid"/>
                  <w14:bevel/>
                </w14:textOutline>
              </w:rPr>
              <w:t>ālistu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kam ir zināšanas un prakse datu aizsardzības jomā - tomēr normatīvie akti nenosaka kritēriju kopumu, kurus būtu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iespē</w:t>
            </w:r>
            <w:proofErr w:type="spellEnd"/>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jams piem</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ērot</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izvē</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loties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datu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aizsardz</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ī</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r w:rsidRPr="00F82180">
              <w:rPr>
                <w:rFonts w:eastAsia="Arial Unicode MS"/>
                <w:color w:val="000000"/>
                <w:kern w:val="2"/>
                <w:sz w:val="24"/>
                <w:szCs w:val="24"/>
                <w:u w:color="000000"/>
                <w:bdr w:val="nil"/>
                <w14:textOutline w14:w="0" w14:cap="flat" w14:cmpd="sng" w14:algn="ctr">
                  <w14:noFill/>
                  <w14:prstDash w14:val="solid"/>
                  <w14:bevel/>
                </w14:textOutline>
              </w:rPr>
              <w:t>ālistu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Tādēļ iespēja izvēlēties no saraksta, kurā esošie speciālisti ir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nokārtojuš</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i p</w:t>
            </w:r>
            <w:r w:rsidRPr="00F82180">
              <w:rPr>
                <w:rFonts w:eastAsia="Arial Unicode MS"/>
                <w:color w:val="000000"/>
                <w:kern w:val="2"/>
                <w:sz w:val="24"/>
                <w:szCs w:val="24"/>
                <w:u w:color="000000"/>
                <w:bdr w:val="nil"/>
                <w14:textOutline w14:w="0" w14:cap="flat" w14:cmpd="sng" w14:algn="ctr">
                  <w14:noFill/>
                  <w14:prstDash w14:val="solid"/>
                  <w14:bevel/>
                </w14:textOutline>
              </w:rPr>
              <w:t>ā</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rbaud</w:t>
            </w:r>
            <w:r w:rsidRPr="00F82180">
              <w:rPr>
                <w:rFonts w:eastAsia="Arial Unicode MS"/>
                <w:color w:val="000000"/>
                <w:kern w:val="2"/>
                <w:sz w:val="24"/>
                <w:szCs w:val="24"/>
                <w:u w:color="000000"/>
                <w:bdr w:val="nil"/>
                <w14:textOutline w14:w="0" w14:cap="flat" w14:cmpd="sng" w14:algn="ctr">
                  <w14:noFill/>
                  <w14:prstDash w14:val="solid"/>
                  <w14:bevel/>
                </w14:textOutline>
              </w:rPr>
              <w:t>ījumu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un pierādījuši atbilstību konkrētiem kvalifikācijas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kritē</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rijiem, ir pareiza un attiec</w:t>
            </w:r>
            <w:r w:rsidRPr="00F82180">
              <w:rPr>
                <w:rFonts w:eastAsia="Arial Unicode MS"/>
                <w:color w:val="000000"/>
                <w:kern w:val="2"/>
                <w:sz w:val="24"/>
                <w:szCs w:val="24"/>
                <w:u w:color="000000"/>
                <w:bdr w:val="nil"/>
                <w14:textOutline w14:w="0" w14:cap="flat" w14:cmpd="sng" w14:algn="ctr">
                  <w14:noFill/>
                  <w14:prstDash w14:val="solid"/>
                  <w14:bevel/>
                </w14:textOutline>
              </w:rPr>
              <w:t>ī</w:t>
            </w:r>
            <w:r w:rsidRPr="00F82180">
              <w:rPr>
                <w:rFonts w:eastAsia="Arial Unicode MS"/>
                <w:color w:val="000000"/>
                <w:kern w:val="2"/>
                <w:sz w:val="24"/>
                <w:szCs w:val="24"/>
                <w:u w:color="000000"/>
                <w:bdr w:val="nil"/>
                <w:lang w:val="it-IT"/>
                <w14:textOutline w14:w="0" w14:cap="flat" w14:cmpd="sng" w14:algn="ctr">
                  <w14:noFill/>
                  <w14:prstDash w14:val="solid"/>
                  <w14:bevel/>
                </w14:textOutline>
              </w:rPr>
              <w:t>gi, m</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ērķ</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is identific</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ēt</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listus, kuriem ir noteiktas zin</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āšanas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datu aizsardzības jomā</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 tiek sasniegts.</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Esoša prakse ļauj pārzinim pašam uz pieņemt uz riska pieeju balstītu lēmumu, kas ir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personas datu aizsardzības nozares stūrakmens.</w:t>
            </w:r>
          </w:p>
          <w:p w14:paraId="03C04531" w14:textId="77777777" w:rsidR="00F82180" w:rsidRPr="00F82180" w:rsidRDefault="00F82180" w:rsidP="006A412F">
            <w:pPr>
              <w:pBdr>
                <w:top w:val="nil"/>
                <w:left w:val="nil"/>
                <w:bottom w:val="nil"/>
                <w:right w:val="nil"/>
                <w:between w:val="nil"/>
                <w:bar w:val="nil"/>
              </w:pBdr>
              <w:spacing w:after="160" w:line="259" w:lineRule="auto"/>
              <w:jc w:val="left"/>
              <w:rPr>
                <w:rFonts w:eastAsia="Arial Unicode MS"/>
                <w:color w:val="000000"/>
                <w:kern w:val="2"/>
                <w:sz w:val="24"/>
                <w:szCs w:val="24"/>
                <w:u w:color="000000"/>
                <w:bdr w:val="nil"/>
                <w:lang w:val="nl-NL"/>
                <w14:textOutline w14:w="0" w14:cap="flat" w14:cmpd="sng" w14:algn="ctr">
                  <w14:noFill/>
                  <w14:prstDash w14:val="solid"/>
                  <w14:bevel/>
                </w14:textOutline>
              </w:rPr>
            </w:pPr>
            <w:r w:rsidRPr="00F82180">
              <w:rPr>
                <w:rFonts w:eastAsia="Arial Unicode MS"/>
                <w:color w:val="000000"/>
                <w:kern w:val="2"/>
                <w:sz w:val="24"/>
                <w:szCs w:val="24"/>
                <w:u w:color="000000"/>
                <w:bdr w:val="nil"/>
                <w:lang w:val="nl-NL"/>
                <w14:textOutline w14:w="0" w14:cap="flat" w14:cmpd="sng" w14:algn="ctr">
                  <w14:noFill/>
                  <w14:prstDash w14:val="solid"/>
                  <w14:bevel/>
                </w14:textOutline>
              </w:rPr>
              <w:t>2. Papildus iepriek</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š minētajiem argumentiem norādām, ka datu aizsardzības joma ir ne tikai specifiska, tā ir arī ļoti dinamiska - proti, līdz ar piemērošanas praksi,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uzraudzī</w:t>
            </w:r>
            <w:proofErr w:type="spellEnd"/>
            <w:r w:rsidRPr="00F82180">
              <w:rPr>
                <w:rFonts w:eastAsia="Arial Unicode MS"/>
                <w:color w:val="000000"/>
                <w:kern w:val="2"/>
                <w:sz w:val="24"/>
                <w:szCs w:val="24"/>
                <w:u w:color="000000"/>
                <w:bdr w:val="nil"/>
                <w:lang w:val="nl-NL"/>
                <w14:textOutline w14:w="0" w14:cap="flat" w14:cmpd="sng" w14:algn="ctr">
                  <w14:noFill/>
                  <w14:prstDash w14:val="solid"/>
                  <w14:bevel/>
                </w14:textOutline>
              </w:rPr>
              <w:t>bas iest</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āžu un Eiropas datu aizsardzības kolēģijas lēmumiem, nacionālo un starptautisko tiesu spriedumiem un lēmumiem, Eiropas Komisijas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īstenoš</w:t>
            </w:r>
            <w:proofErr w:type="spellEnd"/>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anas l</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ēmumiem</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kā arī tehnoloģiju attīstī</w:t>
            </w:r>
            <w:r w:rsidRPr="00A54786">
              <w:rPr>
                <w:rFonts w:eastAsia="Arial Unicode MS"/>
                <w:color w:val="000000"/>
                <w:kern w:val="2"/>
                <w:sz w:val="24"/>
                <w:szCs w:val="24"/>
                <w:u w:color="000000"/>
                <w:bdr w:val="nil"/>
                <w14:textOutline w14:w="0" w14:cap="flat" w14:cmpd="sng" w14:algn="ctr">
                  <w14:noFill/>
                  <w14:prstDash w14:val="solid"/>
                  <w14:bevel/>
                </w14:textOutline>
              </w:rPr>
              <w:t>bu, main</w:t>
            </w:r>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A54786">
              <w:rPr>
                <w:rFonts w:eastAsia="Arial Unicode MS"/>
                <w:color w:val="000000"/>
                <w:kern w:val="2"/>
                <w:sz w:val="24"/>
                <w:szCs w:val="24"/>
                <w:u w:color="000000"/>
                <w:bdr w:val="nil"/>
                <w14:textOutline w14:w="0" w14:cap="flat" w14:cmpd="sng" w14:algn="ctr">
                  <w14:noFill/>
                  <w14:prstDash w14:val="solid"/>
                  <w14:bevel/>
                </w14:textOutline>
              </w:rPr>
              <w:t>s ar</w:t>
            </w:r>
            <w:r w:rsidRPr="00F82180">
              <w:rPr>
                <w:rFonts w:eastAsia="Arial Unicode MS"/>
                <w:color w:val="000000"/>
                <w:kern w:val="2"/>
                <w:sz w:val="24"/>
                <w:szCs w:val="24"/>
                <w:u w:color="000000"/>
                <w:bdr w:val="nil"/>
                <w14:textOutline w14:w="0" w14:cap="flat" w14:cmpd="sng" w14:algn="ctr">
                  <w14:noFill/>
                  <w14:prstDash w14:val="solid"/>
                  <w14:bevel/>
                </w14:textOutline>
              </w:rPr>
              <w:t>ī nepieciešamā</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s zin</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āš</w:t>
            </w:r>
            <w:r w:rsidRPr="00A54786">
              <w:rPr>
                <w:rFonts w:eastAsia="Arial Unicode MS"/>
                <w:color w:val="000000"/>
                <w:kern w:val="2"/>
                <w:sz w:val="24"/>
                <w:szCs w:val="24"/>
                <w:u w:color="000000"/>
                <w:bdr w:val="nil"/>
                <w14:textOutline w14:w="0" w14:cap="flat" w14:cmpd="sng" w14:algn="ctr">
                  <w14:noFill/>
                  <w14:prstDash w14:val="solid"/>
                  <w14:bevel/>
                </w14:textOutline>
              </w:rPr>
              <w:t>anas</w:t>
            </w:r>
            <w:proofErr w:type="spellEnd"/>
            <w:r w:rsidRPr="00A54786">
              <w:rPr>
                <w:rFonts w:eastAsia="Arial Unicode MS"/>
                <w:color w:val="000000"/>
                <w:kern w:val="2"/>
                <w:sz w:val="24"/>
                <w:szCs w:val="24"/>
                <w:u w:color="000000"/>
                <w:bdr w:val="nil"/>
                <w14:textOutline w14:w="0" w14:cap="flat" w14:cmpd="sng" w14:algn="ctr">
                  <w14:noFill/>
                  <w14:prstDash w14:val="solid"/>
                  <w14:bevel/>
                </w14:textOutline>
              </w:rPr>
              <w:t xml:space="preserve"> un prasmes datu </w:t>
            </w:r>
            <w:proofErr w:type="spellStart"/>
            <w:r w:rsidRPr="00A54786">
              <w:rPr>
                <w:rFonts w:eastAsia="Arial Unicode MS"/>
                <w:color w:val="000000"/>
                <w:kern w:val="2"/>
                <w:sz w:val="24"/>
                <w:szCs w:val="24"/>
                <w:u w:color="000000"/>
                <w:bdr w:val="nil"/>
                <w14:textOutline w14:w="0" w14:cap="flat" w14:cmpd="sng" w14:algn="ctr">
                  <w14:noFill/>
                  <w14:prstDash w14:val="solid"/>
                  <w14:bevel/>
                </w14:textOutline>
              </w:rPr>
              <w:t>aizsardz</w:t>
            </w:r>
            <w:r w:rsidRPr="00F82180">
              <w:rPr>
                <w:rFonts w:eastAsia="Arial Unicode MS"/>
                <w:color w:val="000000"/>
                <w:kern w:val="2"/>
                <w:sz w:val="24"/>
                <w:szCs w:val="24"/>
                <w:u w:color="000000"/>
                <w:bdr w:val="nil"/>
                <w14:textOutline w14:w="0" w14:cap="flat" w14:cmpd="sng" w14:algn="ctr">
                  <w14:noFill/>
                  <w14:prstDash w14:val="solid"/>
                  <w14:bevel/>
                </w14:textOutline>
              </w:rPr>
              <w:t>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listiem.</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Bez tam, ne mazāk nozīmīgas šobrīd ir arī Eiropas savienības likumdošanas aktivitātes, kas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pieškir</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jaunu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dimesiju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Vispārīgās datu aizsardzības regulas piemērošanai, iezīmējot gan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sektorālas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prasības, gan papildinošas, lai pārzinis nodrošinātu atbilstību (piemēram, tajā skaitā, bet ne tikai - Datu pārvaldības akts, Digitālo pakalpojumu akts,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kibernoturības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akts, NIS2, e-privātuma regulējums, mākslīgā intelekta akts, u.tml.).</w:t>
            </w:r>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 xml:space="preserve"> Tas noz</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īmē</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ka kvalifikācijas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uzturēš</w:t>
            </w:r>
            <w:proofErr w:type="spellEnd"/>
            <w:r w:rsidRPr="00F82180">
              <w:rPr>
                <w:rFonts w:eastAsia="Arial Unicode MS"/>
                <w:color w:val="000000"/>
                <w:kern w:val="2"/>
                <w:sz w:val="24"/>
                <w:szCs w:val="24"/>
                <w:u w:color="000000"/>
                <w:bdr w:val="nil"/>
                <w:lang w:val="sv-SE"/>
                <w14:textOutline w14:w="0" w14:cap="flat" w14:cmpd="sng" w14:algn="ctr">
                  <w14:noFill/>
                  <w14:prstDash w14:val="solid"/>
                  <w14:bevel/>
                </w14:textOutline>
              </w:rPr>
              <w:t>ana, atbilsto</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ši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Ministru kabineta 2020. gada 6. oktobra noteikumos Nr. 620 </w:t>
            </w:r>
            <w:r w:rsidRPr="00F82180">
              <w:rPr>
                <w:rFonts w:eastAsia="Arial Unicode MS"/>
                <w:color w:val="000000"/>
                <w:kern w:val="2"/>
                <w:sz w:val="24"/>
                <w:szCs w:val="24"/>
                <w:u w:color="000000"/>
                <w:bdr w:val="nil"/>
                <w:rtl/>
                <w:lang w:val="ar-SA"/>
                <w14:textOutline w14:w="0" w14:cap="flat" w14:cmpd="sng" w14:algn="ctr">
                  <w14:noFill/>
                  <w14:prstDash w14:val="solid"/>
                  <w14:bevel/>
                </w14:textOutline>
              </w:rPr>
              <w:t>“</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r w:rsidRPr="00F82180">
              <w:rPr>
                <w:rFonts w:eastAsia="Arial Unicode MS"/>
                <w:color w:val="000000"/>
                <w:kern w:val="2"/>
                <w:sz w:val="24"/>
                <w:szCs w:val="24"/>
                <w:u w:color="000000"/>
                <w:bdr w:val="nil"/>
                <w14:textOutline w14:w="0" w14:cap="flat" w14:cmpd="sng" w14:algn="ctr">
                  <w14:noFill/>
                  <w14:prstDash w14:val="solid"/>
                  <w14:bevel/>
                </w14:textOutline>
              </w:rPr>
              <w:t>ālista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kvalifikācijas noteikumi”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 xml:space="preserve">noteiktajiem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kritē</w:t>
            </w:r>
            <w:proofErr w:type="spellEnd"/>
            <w:r w:rsidRPr="00F82180">
              <w:rPr>
                <w:rFonts w:eastAsia="Arial Unicode MS"/>
                <w:color w:val="000000"/>
                <w:kern w:val="2"/>
                <w:sz w:val="24"/>
                <w:szCs w:val="24"/>
                <w:u w:color="000000"/>
                <w:bdr w:val="nil"/>
                <w:lang w:val="nl-NL"/>
                <w14:textOutline w14:w="0" w14:cap="flat" w14:cmpd="sng" w14:algn="ctr">
                  <w14:noFill/>
                  <w14:prstDash w14:val="solid"/>
                  <w14:bevel/>
                </w14:textOutline>
              </w:rPr>
              <w:t>rijiem ir zin</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āma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garantija, ka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konkrē</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tais datu aizsardz</w:t>
            </w:r>
            <w:r w:rsidRPr="00F82180">
              <w:rPr>
                <w:rFonts w:eastAsia="Arial Unicode MS"/>
                <w:color w:val="000000"/>
                <w:kern w:val="2"/>
                <w:sz w:val="24"/>
                <w:szCs w:val="24"/>
                <w:u w:color="000000"/>
                <w:bdr w:val="nil"/>
                <w14:textOutline w14:w="0" w14:cap="flat" w14:cmpd="sng" w14:algn="ctr">
                  <w14:noFill/>
                  <w14:prstDash w14:val="solid"/>
                  <w14:bevel/>
                </w14:textOutline>
              </w:rPr>
              <w:t>ī</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A54786">
              <w:rPr>
                <w:rFonts w:eastAsia="Arial Unicode MS"/>
                <w:color w:val="000000"/>
                <w:kern w:val="2"/>
                <w:sz w:val="24"/>
                <w:szCs w:val="24"/>
                <w:u w:color="000000"/>
                <w:bdr w:val="nil"/>
                <w:lang w:val="es-ES_tradnl"/>
                <w14:textOutline w14:w="0" w14:cap="flat" w14:cmpd="sng" w14:algn="ctr">
                  <w14:noFill/>
                  <w14:prstDash w14:val="solid"/>
                  <w14:bevel/>
                </w14:textOutline>
              </w:rPr>
              <w:t>lists turpin</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uzturēt savu zināšanu un prasmju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lī</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meni.</w:t>
            </w:r>
          </w:p>
          <w:p w14:paraId="703CDF25" w14:textId="4B05602C" w:rsidR="00F82180" w:rsidRPr="00F82180" w:rsidRDefault="00F82180" w:rsidP="006A412F">
            <w:pPr>
              <w:pBdr>
                <w:top w:val="nil"/>
                <w:left w:val="nil"/>
                <w:bottom w:val="nil"/>
                <w:right w:val="nil"/>
                <w:between w:val="nil"/>
                <w:bar w:val="nil"/>
              </w:pBdr>
              <w:spacing w:after="160" w:line="259" w:lineRule="auto"/>
              <w:jc w:val="left"/>
              <w:rPr>
                <w:rFonts w:eastAsia="Arial Unicode MS"/>
                <w:color w:val="000000"/>
                <w:kern w:val="2"/>
                <w:sz w:val="24"/>
                <w:szCs w:val="24"/>
                <w:u w:color="000000"/>
                <w:bdr w:val="nil"/>
                <w:lang w:val="nl-NL"/>
                <w14:textOutline w14:w="0" w14:cap="flat" w14:cmpd="sng" w14:algn="ctr">
                  <w14:noFill/>
                  <w14:prstDash w14:val="solid"/>
                  <w14:bevel/>
                </w14:textOutline>
              </w:rPr>
            </w:pPr>
            <w:r w:rsidRPr="00F82180">
              <w:rPr>
                <w:rFonts w:eastAsia="Arial Unicode MS"/>
                <w:color w:val="000000"/>
                <w:kern w:val="2"/>
                <w:sz w:val="24"/>
                <w:szCs w:val="24"/>
                <w:u w:color="000000"/>
                <w:bdr w:val="nil"/>
                <w:lang w:val="nl-NL"/>
                <w14:textOutline w14:w="0" w14:cap="flat" w14:cmpd="sng" w14:algn="ctr">
                  <w14:noFill/>
                  <w14:prstDash w14:val="solid"/>
                  <w14:bevel/>
                </w14:textOutline>
              </w:rPr>
              <w:t>3.</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Sertifikācija un tās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uzturēš</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ana nodro</w:t>
            </w:r>
            <w:r w:rsidRPr="00F82180">
              <w:rPr>
                <w:rFonts w:eastAsia="Arial Unicode MS"/>
                <w:color w:val="000000"/>
                <w:kern w:val="2"/>
                <w:sz w:val="24"/>
                <w:szCs w:val="24"/>
                <w:u w:color="000000"/>
                <w:bdr w:val="nil"/>
                <w14:textOutline w14:w="0" w14:cap="flat" w14:cmpd="sng" w14:algn="ctr">
                  <w14:noFill/>
                  <w14:prstDash w14:val="solid"/>
                  <w14:bevel/>
                </w14:textOutline>
              </w:rPr>
              <w:t>š</w:t>
            </w:r>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ina "vid</w:t>
            </w:r>
            <w:r w:rsidRPr="00F82180">
              <w:rPr>
                <w:rFonts w:eastAsia="Arial Unicode MS"/>
                <w:color w:val="000000"/>
                <w:kern w:val="2"/>
                <w:sz w:val="24"/>
                <w:szCs w:val="24"/>
                <w:u w:color="000000"/>
                <w:bdr w:val="nil"/>
                <w14:textOutline w14:w="0" w14:cap="flat" w14:cmpd="sng" w14:algn="ctr">
                  <w14:noFill/>
                  <w14:prstDash w14:val="solid"/>
                  <w14:bevel/>
                </w14:textOutline>
              </w:rPr>
              <w:t>ē</w:t>
            </w:r>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jo" profesionalit</w:t>
            </w:r>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A54786">
              <w:rPr>
                <w:rFonts w:eastAsia="Arial Unicode MS"/>
                <w:color w:val="000000"/>
                <w:kern w:val="2"/>
                <w:sz w:val="24"/>
                <w:szCs w:val="24"/>
                <w:u w:color="000000"/>
                <w:bdr w:val="nil"/>
                <w:lang w:val="nl-NL"/>
                <w14:textOutline w14:w="0" w14:cap="flat" w14:cmpd="sng" w14:algn="ctr">
                  <w14:noFill/>
                  <w14:prstDash w14:val="solid"/>
                  <w14:bevel/>
                </w14:textOutline>
              </w:rPr>
              <w:t>tes r</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ādītāju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kas ir līdzīgi arī</w:t>
            </w:r>
            <w:r w:rsidRPr="00F82180">
              <w:rPr>
                <w:rFonts w:eastAsia="Arial Unicode MS"/>
                <w:color w:val="000000"/>
                <w:kern w:val="2"/>
                <w:sz w:val="24"/>
                <w:szCs w:val="24"/>
                <w:u w:color="000000"/>
                <w:bdr w:val="nil"/>
                <w:lang w:val="it-IT"/>
                <w14:textOutline w14:w="0" w14:cap="flat" w14:cmpd="sng" w14:algn="ctr">
                  <w14:noFill/>
                  <w14:prstDash w14:val="solid"/>
                  <w14:bevel/>
                </w14:textOutline>
              </w:rPr>
              <w:t xml:space="preserve"> cit</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jomās, kurās ir nepiecieš</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amas specifiskas zin</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āšanas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un prakses, tādās kā </w:t>
            </w:r>
            <w:r w:rsidRPr="00A54786">
              <w:rPr>
                <w:rFonts w:eastAsia="Arial Unicode MS"/>
                <w:color w:val="000000"/>
                <w:kern w:val="2"/>
                <w:sz w:val="24"/>
                <w:szCs w:val="24"/>
                <w:u w:color="000000"/>
                <w:bdr w:val="nil"/>
                <w:lang w:val="nl-NL"/>
                <w14:textOutline w14:w="0" w14:cap="flat" w14:cmpd="sng" w14:algn="ctr">
                  <w14:noFill/>
                  <w14:prstDash w14:val="solid"/>
                  <w14:bevel/>
                </w14:textOutline>
              </w:rPr>
              <w:t>medic</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īna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darba aizsardzība,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advokatū</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ra, pedago</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ģija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u.c. ir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obligā</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tas sertific</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ēšanas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prasī</w:t>
            </w:r>
            <w:proofErr w:type="spellEnd"/>
            <w:r w:rsidRPr="00A54786">
              <w:rPr>
                <w:rFonts w:eastAsia="Arial Unicode MS"/>
                <w:color w:val="000000"/>
                <w:kern w:val="2"/>
                <w:sz w:val="24"/>
                <w:szCs w:val="24"/>
                <w:u w:color="000000"/>
                <w:bdr w:val="nil"/>
                <w:lang w:val="nl-NL"/>
                <w14:textOutline w14:w="0" w14:cap="flat" w14:cmpd="sng" w14:algn="ctr">
                  <w14:noFill/>
                  <w14:prstDash w14:val="solid"/>
                  <w14:bevel/>
                </w14:textOutline>
              </w:rPr>
              <w:t xml:space="preserve">bas un </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šīs sertifikācijas (zināšanu)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uzturēš</w:t>
            </w:r>
            <w:proofErr w:type="spellEnd"/>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ana ir oblig</w:t>
            </w:r>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tas, turkl</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āt</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darbība bez specifiskajiem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sertifikā</w:t>
            </w:r>
            <w:proofErr w:type="spellEnd"/>
            <w:r w:rsidRPr="00F82180">
              <w:rPr>
                <w:rFonts w:eastAsia="Arial Unicode MS"/>
                <w:color w:val="000000"/>
                <w:kern w:val="2"/>
                <w:sz w:val="24"/>
                <w:szCs w:val="24"/>
                <w:u w:color="000000"/>
                <w:bdr w:val="nil"/>
                <w:lang w:val="nl-NL"/>
                <w14:textOutline w14:w="0" w14:cap="flat" w14:cmpd="sng" w14:algn="ctr">
                  <w14:noFill/>
                  <w14:prstDash w14:val="solid"/>
                  <w14:bevel/>
                </w14:textOutline>
              </w:rPr>
              <w:t xml:space="preserve">tiem ir aizliegta. </w:t>
            </w:r>
            <w:r w:rsidRPr="00F82180">
              <w:rPr>
                <w:rFonts w:eastAsia="Arial Unicode MS"/>
                <w:color w:val="000000"/>
                <w:kern w:val="2"/>
                <w:sz w:val="24"/>
                <w:szCs w:val="24"/>
                <w:u w:color="000000"/>
                <w:bdr w:val="nil"/>
                <w14:textOutline w14:w="0" w14:cap="flat" w14:cmpd="sng" w14:algn="ctr">
                  <w14:noFill/>
                  <w14:prstDash w14:val="solid"/>
                  <w14:bevel/>
                </w14:textOutline>
              </w:rPr>
              <w:t>Ņ</w:t>
            </w:r>
            <w:r w:rsidRPr="00F82180">
              <w:rPr>
                <w:rFonts w:eastAsia="Arial Unicode MS"/>
                <w:color w:val="000000"/>
                <w:kern w:val="2"/>
                <w:sz w:val="24"/>
                <w:szCs w:val="24"/>
                <w:u w:color="000000"/>
                <w:bdr w:val="nil"/>
                <w:lang w:val="sv-SE"/>
                <w14:textOutline w14:w="0" w14:cap="flat" w14:cmpd="sng" w14:algn="ctr">
                  <w14:noFill/>
                  <w14:prstDash w14:val="solid"/>
                  <w14:bevel/>
                </w14:textOutline>
              </w:rPr>
              <w:t>emot v</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ērā, ka datu aizsardzība ir vismaz tikpat komplicēta kā darba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ba vai advokat</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ūra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turklāt datu aizsardzība kā </w:t>
            </w:r>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joma ir starpdisciplin</w:t>
            </w:r>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da-DK"/>
                <w14:textOutline w14:w="0" w14:cap="flat" w14:cmpd="sng" w14:algn="ctr">
                  <w14:noFill/>
                  <w14:prstDash w14:val="solid"/>
                  <w14:bevel/>
                </w14:textOutline>
              </w:rPr>
              <w:t>ra, jo skar gan jurisprudences, gan inform</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ācijas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tehnoloģiju, gan arī </w:t>
            </w:r>
            <w:r w:rsidRPr="00A54786">
              <w:rPr>
                <w:rFonts w:eastAsia="Arial Unicode MS"/>
                <w:color w:val="000000"/>
                <w:kern w:val="2"/>
                <w:sz w:val="24"/>
                <w:szCs w:val="24"/>
                <w:u w:color="000000"/>
                <w:bdr w:val="nil"/>
                <w:lang w:val="nl-NL"/>
                <w14:textOutline w14:w="0" w14:cap="flat" w14:cmpd="sng" w14:algn="ctr">
                  <w14:noFill/>
                  <w14:prstDash w14:val="solid"/>
                  <w14:bevel/>
                </w14:textOutline>
              </w:rPr>
              <w:t>inform</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ācijas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drošī</w:t>
            </w:r>
            <w:proofErr w:type="spellEnd"/>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bas jomas, b</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ūtu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jāvērtē </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vai indiv</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īdu pamata tiesību aizsardzības uzrauga funkcijas pie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pārziņ</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a veico</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šajiem</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r w:rsidRPr="00F82180">
              <w:rPr>
                <w:rFonts w:eastAsia="Arial Unicode MS"/>
                <w:color w:val="000000"/>
                <w:kern w:val="2"/>
                <w:sz w:val="24"/>
                <w:szCs w:val="24"/>
                <w:u w:color="000000"/>
                <w:bdr w:val="nil"/>
                <w14:textOutline w14:w="0" w14:cap="flat" w14:cmpd="sng" w14:algn="ctr">
                  <w14:noFill/>
                  <w14:prstDash w14:val="solid"/>
                  <w14:bevel/>
                </w14:textOutline>
              </w:rPr>
              <w:t>ālistiem</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būtu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jābū</w:t>
            </w:r>
            <w:proofErr w:type="spellEnd"/>
            <w:r w:rsidRPr="00A54786">
              <w:rPr>
                <w:rFonts w:eastAsia="Arial Unicode MS"/>
                <w:color w:val="000000"/>
                <w:kern w:val="2"/>
                <w:sz w:val="24"/>
                <w:szCs w:val="24"/>
                <w:u w:color="000000"/>
                <w:bdr w:val="nil"/>
                <w:lang w:val="nl-NL"/>
                <w14:textOutline w14:w="0" w14:cap="flat" w14:cmpd="sng" w14:algn="ctr">
                  <w14:noFill/>
                  <w14:prstDash w14:val="solid"/>
                  <w14:bevel/>
                </w14:textOutline>
              </w:rPr>
              <w:t xml:space="preserve">t </w:t>
            </w:r>
            <w:r w:rsidRPr="00A54786">
              <w:rPr>
                <w:rFonts w:eastAsia="Arial Unicode MS"/>
                <w:b/>
                <w:bCs/>
                <w:color w:val="000000"/>
                <w:kern w:val="2"/>
                <w:sz w:val="24"/>
                <w:szCs w:val="24"/>
                <w:u w:color="000000"/>
                <w:bdr w:val="nil"/>
                <w:lang w:val="nl-NL"/>
                <w14:textOutline w14:w="0" w14:cap="flat" w14:cmpd="sng" w14:algn="ctr">
                  <w14:noFill/>
                  <w14:prstDash w14:val="solid"/>
                  <w14:bevel/>
                </w14:textOutline>
              </w:rPr>
              <w:t>oblig</w:t>
            </w:r>
            <w:r w:rsidRPr="00F82180">
              <w:rPr>
                <w:rFonts w:eastAsia="Arial Unicode MS"/>
                <w:b/>
                <w:bCs/>
                <w:color w:val="000000"/>
                <w:kern w:val="2"/>
                <w:sz w:val="24"/>
                <w:szCs w:val="24"/>
                <w:u w:color="000000"/>
                <w:bdr w:val="nil"/>
                <w14:textOutline w14:w="0" w14:cap="flat" w14:cmpd="sng" w14:algn="ctr">
                  <w14:noFill/>
                  <w14:prstDash w14:val="solid"/>
                  <w14:bevel/>
                </w14:textOutline>
              </w:rPr>
              <w:t>ā</w:t>
            </w:r>
            <w:r w:rsidRPr="00A54786">
              <w:rPr>
                <w:rFonts w:eastAsia="Arial Unicode MS"/>
                <w:b/>
                <w:bCs/>
                <w:color w:val="000000"/>
                <w:kern w:val="2"/>
                <w:sz w:val="24"/>
                <w:szCs w:val="24"/>
                <w:u w:color="000000"/>
                <w:bdr w:val="nil"/>
                <w:lang w:val="nl-NL"/>
                <w14:textOutline w14:w="0" w14:cap="flat" w14:cmpd="sng" w14:algn="ctr">
                  <w14:noFill/>
                  <w14:prstDash w14:val="solid"/>
                  <w14:bevel/>
                </w14:textOutline>
              </w:rPr>
              <w:t>ti</w:t>
            </w:r>
            <w:r w:rsidRPr="00A54786">
              <w:rPr>
                <w:rFonts w:eastAsia="Arial Unicode MS"/>
                <w:color w:val="000000"/>
                <w:kern w:val="2"/>
                <w:sz w:val="24"/>
                <w:szCs w:val="24"/>
                <w:u w:color="000000"/>
                <w:bdr w:val="nil"/>
                <w:lang w:val="nl-NL"/>
                <w14:textOutline w14:w="0" w14:cap="flat" w14:cmpd="sng" w14:algn="ctr">
                  <w14:noFill/>
                  <w14:prstDash w14:val="solid"/>
                  <w14:bevel/>
                </w14:textOutline>
              </w:rPr>
              <w:t xml:space="preserve"> </w:t>
            </w:r>
            <w:r w:rsidRPr="00A54786">
              <w:rPr>
                <w:rFonts w:eastAsia="Arial Unicode MS"/>
                <w:b/>
                <w:bCs/>
                <w:color w:val="000000"/>
                <w:kern w:val="2"/>
                <w:sz w:val="24"/>
                <w:szCs w:val="24"/>
                <w:u w:color="000000"/>
                <w:bdr w:val="nil"/>
                <w:lang w:val="nl-NL"/>
                <w14:textOutline w14:w="0" w14:cap="flat" w14:cmpd="sng" w14:algn="ctr">
                  <w14:noFill/>
                  <w14:prstDash w14:val="solid"/>
                  <w14:bevel/>
                </w14:textOutline>
              </w:rPr>
              <w:t>sertific</w:t>
            </w:r>
            <w:r w:rsidRPr="00F82180">
              <w:rPr>
                <w:rFonts w:eastAsia="Arial Unicode MS"/>
                <w:b/>
                <w:bCs/>
                <w:color w:val="000000"/>
                <w:kern w:val="2"/>
                <w:sz w:val="24"/>
                <w:szCs w:val="24"/>
                <w:u w:color="000000"/>
                <w:bdr w:val="nil"/>
                <w14:textOutline w14:w="0" w14:cap="flat" w14:cmpd="sng" w14:algn="ctr">
                  <w14:noFill/>
                  <w14:prstDash w14:val="solid"/>
                  <w14:bevel/>
                </w14:textOutline>
              </w:rPr>
              <w:t>ē</w:t>
            </w:r>
            <w:r w:rsidRPr="00F82180">
              <w:rPr>
                <w:rFonts w:eastAsia="Arial Unicode MS"/>
                <w:b/>
                <w:bCs/>
                <w:color w:val="000000"/>
                <w:kern w:val="2"/>
                <w:sz w:val="24"/>
                <w:szCs w:val="24"/>
                <w:u w:color="000000"/>
                <w:bdr w:val="nil"/>
                <w:lang w:val="nl-NL"/>
                <w14:textOutline w14:w="0" w14:cap="flat" w14:cmpd="sng" w14:algn="ctr">
                  <w14:noFill/>
                  <w14:prstDash w14:val="solid"/>
                  <w14:bevel/>
                </w14:textOutline>
              </w:rPr>
              <w:t>tiem</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 xml:space="preserve"> </w:t>
            </w:r>
            <w:r w:rsidRPr="00F82180">
              <w:rPr>
                <w:rFonts w:eastAsia="Arial Unicode MS"/>
                <w:color w:val="000000"/>
                <w:kern w:val="2"/>
                <w:sz w:val="24"/>
                <w:szCs w:val="24"/>
                <w:u w:color="000000"/>
                <w:bdr w:val="nil"/>
                <w14:textOutline w14:w="0" w14:cap="flat" w14:cmpd="sng" w14:algn="ctr">
                  <w14:noFill/>
                  <w14:prstDash w14:val="solid"/>
                  <w14:bevel/>
                </w14:textOutline>
              </w:rPr>
              <w:t>– vismaz tā</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dos gad</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ījumos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kad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A54786">
              <w:rPr>
                <w:rFonts w:eastAsia="Arial Unicode MS"/>
                <w:color w:val="000000"/>
                <w:kern w:val="2"/>
                <w:sz w:val="24"/>
                <w:szCs w:val="24"/>
                <w:u w:color="000000"/>
                <w:bdr w:val="nil"/>
                <w:lang w:val="nl-NL"/>
                <w14:textOutline w14:w="0" w14:cap="flat" w14:cmpd="sng" w14:algn="ctr">
                  <w14:noFill/>
                  <w14:prstDash w14:val="solid"/>
                  <w14:bevel/>
                </w14:textOutline>
              </w:rPr>
              <w:t xml:space="preserve">lists ir </w:t>
            </w:r>
            <w:r w:rsidRPr="00F82180">
              <w:rPr>
                <w:rFonts w:eastAsia="Arial Unicode MS"/>
                <w:color w:val="000000"/>
                <w:kern w:val="2"/>
                <w:sz w:val="24"/>
                <w:szCs w:val="24"/>
                <w:u w:color="000000"/>
                <w:bdr w:val="nil"/>
                <w14:textOutline w14:w="0" w14:cap="flat" w14:cmpd="sng" w14:algn="ctr">
                  <w14:noFill/>
                  <w14:prstDash w14:val="solid"/>
                  <w14:bevel/>
                </w14:textOutline>
              </w:rPr>
              <w:t>ārpakalpojuma sniedzē</w:t>
            </w:r>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js un var</w:t>
            </w:r>
            <w:r w:rsidRPr="00F82180">
              <w:rPr>
                <w:rFonts w:eastAsia="Arial Unicode MS"/>
                <w:color w:val="000000"/>
                <w:kern w:val="2"/>
                <w:sz w:val="24"/>
                <w:szCs w:val="24"/>
                <w:u w:color="000000"/>
                <w:bdr w:val="nil"/>
                <w14:textOutline w14:w="0" w14:cap="flat" w14:cmpd="sng" w14:algn="ctr">
                  <w14:noFill/>
                  <w14:prstDash w14:val="solid"/>
                  <w14:bevel/>
                </w14:textOutline>
              </w:rPr>
              <w:t>ē</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tu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sniegt</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pakalpojumus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da</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žādās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jomā</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 xml:space="preserve">s. </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Proti,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izvirzīt stingrākas prasības ārpakalpojumu sniedzējiem. Mehānisms pēc būtības ļoti sekmīgi jau salīdzinoši ilgu laika periodu darbojas darba aizsardzības jomā. Asociācijas ieskatā</w:t>
            </w:r>
            <w:r w:rsidRPr="00F82180">
              <w:rPr>
                <w:rFonts w:eastAsia="Arial Unicode MS"/>
                <w:color w:val="000000"/>
                <w:kern w:val="2"/>
                <w:sz w:val="24"/>
                <w:szCs w:val="24"/>
                <w:u w:color="000000"/>
                <w:bdr w:val="nil"/>
                <w:lang w:val="it-IT"/>
                <w14:textOutline w14:w="0" w14:cap="flat" w14:cmpd="sng" w14:algn="ctr">
                  <w14:noFill/>
                  <w14:prstDash w14:val="solid"/>
                  <w14:bevel/>
                </w14:textOutline>
              </w:rPr>
              <w:t>, speci</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ālisti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kuri tiek norīkoti kā darbinieki – pieņemot, ka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pā</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rzinis (vai apstr</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ādātā</w:t>
            </w:r>
            <w:proofErr w:type="spellEnd"/>
            <w:r w:rsidRPr="00F82180">
              <w:rPr>
                <w:rFonts w:eastAsia="Arial Unicode MS"/>
                <w:color w:val="000000"/>
                <w:kern w:val="2"/>
                <w:sz w:val="24"/>
                <w:szCs w:val="24"/>
                <w:u w:color="000000"/>
                <w:bdr w:val="nil"/>
                <w:lang w:val="da-DK"/>
                <w14:textOutline w14:w="0" w14:cap="flat" w14:cmpd="sng" w14:algn="ctr">
                  <w14:noFill/>
                  <w14:prstDash w14:val="solid"/>
                  <w14:bevel/>
                </w14:textOutline>
              </w:rPr>
              <w:t>js, attiec</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īgi) zina konkrētā darbinieka atbilstību un zināšanas – varētu būt saglabājama ar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izvē</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li, b</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ūt</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vai nebū</w:t>
            </w:r>
            <w:r w:rsidRPr="00A54786">
              <w:rPr>
                <w:rFonts w:eastAsia="Arial Unicode MS"/>
                <w:color w:val="000000"/>
                <w:kern w:val="2"/>
                <w:sz w:val="24"/>
                <w:szCs w:val="24"/>
                <w:u w:color="000000"/>
                <w:bdr w:val="nil"/>
                <w14:textOutline w14:w="0" w14:cap="flat" w14:cmpd="sng" w14:algn="ctr">
                  <w14:noFill/>
                  <w14:prstDash w14:val="solid"/>
                  <w14:bevel/>
                </w14:textOutline>
              </w:rPr>
              <w:t>t sertific</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ētiem, taču ārpakalpojuma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gadī</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jumos nesertific</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ētu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it-IT"/>
                <w14:textOutline w14:w="0" w14:cap="flat" w14:cmpd="sng" w14:algn="ctr">
                  <w14:noFill/>
                  <w14:prstDash w14:val="solid"/>
                  <w14:bevel/>
                </w14:textOutline>
              </w:rPr>
              <w:t>listu esam</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ība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rada ļoti lielu risku nepareizas prakses ievieš</w:t>
            </w:r>
            <w:r w:rsidRPr="00F82180">
              <w:rPr>
                <w:rFonts w:eastAsia="Arial Unicode MS"/>
                <w:color w:val="000000"/>
                <w:kern w:val="2"/>
                <w:sz w:val="24"/>
                <w:szCs w:val="24"/>
                <w:u w:color="000000"/>
                <w:bdr w:val="nil"/>
                <w:lang w:val="it-IT"/>
                <w14:textOutline w14:w="0" w14:cap="flat" w14:cmpd="sng" w14:algn="ctr">
                  <w14:noFill/>
                  <w14:prstDash w14:val="solid"/>
                  <w14:bevel/>
                </w14:textOutline>
              </w:rPr>
              <w:t>anai un attiec</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īgi, aizskartām datu subjekta tiesībām un interesēm. Asociācija atzīst, ka pašreiz ir vēl veicams papildus darbs, lai nodrošinātu, ka esošie sertificētie personas datu aizsardzības speciālisti nodrošinātu adekvātu pakalpojuma (un attiecīgi izpratnes) līmeni, kāds būtu nepieciešams profesionālam sertificētam speciālistam, bet tas, Asociācijas ieskatā, ir risināms jautājums, vēl jo vairāk, ja ņem par pamatu, ka ļoti liela daļa par sertificētiem personas datu aizsardzības speciālistiem kļuva ap 2018.gadu, kad Vispārīgās datu aizsardzības regulas piemērošana sabiedrībā skaļi izskanēja. Šodien ne viens vien praktizējošs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sertificēts datu aizsardzības speciālists (attiecīgi tāds, kas savu profesionālo darbību saista ar personas datu aizsardzības  un drošības nozari) atzīst iepriekš izteikto - personas datu aizsardzības un drošības nozare ir ļoti komplicēta un bez iedziļināšanās ir apgrūtinātas iespējas sniegt pakalpojumus.</w:t>
            </w:r>
          </w:p>
          <w:p w14:paraId="6A496EF2" w14:textId="529C7A04" w:rsidR="00F82180" w:rsidRPr="00F82180" w:rsidRDefault="00F82180" w:rsidP="006A412F">
            <w:pPr>
              <w:pBdr>
                <w:top w:val="nil"/>
                <w:left w:val="nil"/>
                <w:bottom w:val="nil"/>
                <w:right w:val="nil"/>
                <w:between w:val="nil"/>
                <w:bar w:val="nil"/>
              </w:pBdr>
              <w:spacing w:after="160" w:line="259" w:lineRule="auto"/>
              <w:jc w:val="left"/>
              <w:rPr>
                <w:rFonts w:eastAsia="Arial Unicode MS"/>
                <w:color w:val="000000"/>
                <w:kern w:val="2"/>
                <w:sz w:val="24"/>
                <w:szCs w:val="24"/>
                <w:u w:color="000000"/>
                <w:bdr w:val="nil"/>
                <w14:textOutline w14:w="0" w14:cap="flat" w14:cmpd="sng" w14:algn="ctr">
                  <w14:noFill/>
                  <w14:prstDash w14:val="solid"/>
                  <w14:bevel/>
                </w14:textOutline>
              </w:rPr>
            </w:pPr>
            <w:r w:rsidRPr="00F82180">
              <w:rPr>
                <w:rFonts w:eastAsia="Arial Unicode MS"/>
                <w:color w:val="000000"/>
                <w:kern w:val="2"/>
                <w:sz w:val="24"/>
                <w:szCs w:val="24"/>
                <w:u w:color="000000"/>
                <w:bdr w:val="nil"/>
                <w14:textOutline w14:w="0" w14:cap="flat" w14:cmpd="sng" w14:algn="ctr">
                  <w14:noFill/>
                  <w14:prstDash w14:val="solid"/>
                  <w14:bevel/>
                </w14:textOutline>
              </w:rPr>
              <w:t>4.Tāpat Asociācijas ieskatā būtu nepiecieš</w:t>
            </w:r>
            <w:r w:rsidRPr="00A54786">
              <w:rPr>
                <w:rFonts w:eastAsia="Arial Unicode MS"/>
                <w:color w:val="000000"/>
                <w:kern w:val="2"/>
                <w:sz w:val="24"/>
                <w:szCs w:val="24"/>
                <w:u w:color="000000"/>
                <w:bdr w:val="nil"/>
                <w:lang w:val="nl-NL"/>
                <w14:textOutline w14:w="0" w14:cap="flat" w14:cmpd="sng" w14:algn="ctr">
                  <w14:noFill/>
                  <w14:prstDash w14:val="solid"/>
                  <w14:bevel/>
                </w14:textOutline>
              </w:rPr>
              <w:t>ams papildin</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āt</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Ministru kabineta 2020. gada 6. oktobra noteikumos Nr. 620 </w:t>
            </w:r>
            <w:r w:rsidRPr="00F82180">
              <w:rPr>
                <w:rFonts w:eastAsia="Arial Unicode MS"/>
                <w:color w:val="000000"/>
                <w:kern w:val="2"/>
                <w:sz w:val="24"/>
                <w:szCs w:val="24"/>
                <w:u w:color="000000"/>
                <w:bdr w:val="nil"/>
                <w:rtl/>
                <w:lang w:val="ar-SA"/>
                <w14:textOutline w14:w="0" w14:cap="flat" w14:cmpd="sng" w14:algn="ctr">
                  <w14:noFill/>
                  <w14:prstDash w14:val="solid"/>
                  <w14:bevel/>
                </w14:textOutline>
              </w:rPr>
              <w:t>“</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r w:rsidRPr="00F82180">
              <w:rPr>
                <w:rFonts w:eastAsia="Arial Unicode MS"/>
                <w:color w:val="000000"/>
                <w:kern w:val="2"/>
                <w:sz w:val="24"/>
                <w:szCs w:val="24"/>
                <w:u w:color="000000"/>
                <w:bdr w:val="nil"/>
                <w14:textOutline w14:w="0" w14:cap="flat" w14:cmpd="sng" w14:algn="ctr">
                  <w14:noFill/>
                  <w14:prstDash w14:val="solid"/>
                  <w14:bevel/>
                </w14:textOutline>
              </w:rPr>
              <w:t>ālista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kvalifikācijas noteikumi” noteiktos kvalifikācijas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kritē</w:t>
            </w:r>
            <w:proofErr w:type="spellEnd"/>
            <w:r w:rsidRPr="00A54786">
              <w:rPr>
                <w:rFonts w:eastAsia="Arial Unicode MS"/>
                <w:color w:val="000000"/>
                <w:kern w:val="2"/>
                <w:sz w:val="24"/>
                <w:szCs w:val="24"/>
                <w:u w:color="000000"/>
                <w:bdr w:val="nil"/>
                <w:lang w:val="nl-NL"/>
                <w14:textOutline w14:w="0" w14:cap="flat" w14:cmpd="sng" w14:algn="ctr">
                  <w14:noFill/>
                  <w14:prstDash w14:val="solid"/>
                  <w14:bevel/>
                </w14:textOutline>
              </w:rPr>
              <w:t>rijus ar oblig</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ātu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specializāciju jomā vai jomās, kurā</w:t>
            </w:r>
            <w:r w:rsidRPr="00F82180">
              <w:rPr>
                <w:rFonts w:eastAsia="Arial Unicode MS"/>
                <w:color w:val="000000"/>
                <w:kern w:val="2"/>
                <w:sz w:val="24"/>
                <w:szCs w:val="24"/>
                <w:u w:color="000000"/>
                <w:bdr w:val="nil"/>
                <w:lang w:val="it-IT"/>
                <w14:textOutline w14:w="0" w14:cap="flat" w14:cmpd="sng" w14:algn="ctr">
                  <w14:noFill/>
                  <w14:prstDash w14:val="solid"/>
                  <w14:bevel/>
                </w14:textOutline>
              </w:rPr>
              <w:t>s attiec</w:t>
            </w:r>
            <w:r w:rsidRPr="00F82180">
              <w:rPr>
                <w:rFonts w:eastAsia="Arial Unicode MS"/>
                <w:color w:val="000000"/>
                <w:kern w:val="2"/>
                <w:sz w:val="24"/>
                <w:szCs w:val="24"/>
                <w:u w:color="000000"/>
                <w:bdr w:val="nil"/>
                <w14:textOutline w14:w="0" w14:cap="flat" w14:cmpd="sng" w14:algn="ctr">
                  <w14:noFill/>
                  <w14:prstDash w14:val="solid"/>
                  <w14:bevel/>
                </w14:textOutline>
              </w:rPr>
              <w:t>ī</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gais indiv</w:t>
            </w:r>
            <w:r w:rsidRPr="00F82180">
              <w:rPr>
                <w:rFonts w:eastAsia="Arial Unicode MS"/>
                <w:color w:val="000000"/>
                <w:kern w:val="2"/>
                <w:sz w:val="24"/>
                <w:szCs w:val="24"/>
                <w:u w:color="000000"/>
                <w:bdr w:val="nil"/>
                <w14:textOutline w14:w="0" w14:cap="flat" w14:cmpd="sng" w14:algn="ctr">
                  <w14:noFill/>
                  <w14:prstDash w14:val="solid"/>
                  <w14:bevel/>
                </w14:textOutline>
              </w:rPr>
              <w:t>ī</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ds ir nor</w:t>
            </w:r>
            <w:r w:rsidRPr="00F82180">
              <w:rPr>
                <w:rFonts w:eastAsia="Arial Unicode MS"/>
                <w:color w:val="000000"/>
                <w:kern w:val="2"/>
                <w:sz w:val="24"/>
                <w:szCs w:val="24"/>
                <w:u w:color="000000"/>
                <w:bdr w:val="nil"/>
                <w14:textOutline w14:w="0" w14:cap="flat" w14:cmpd="sng" w14:algn="ctr">
                  <w14:noFill/>
                  <w14:prstDash w14:val="solid"/>
                  <w14:bevel/>
                </w14:textOutline>
              </w:rPr>
              <w:t>ī</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kots k</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ā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A54786">
              <w:rPr>
                <w:rFonts w:eastAsia="Arial Unicode MS"/>
                <w:color w:val="000000"/>
                <w:kern w:val="2"/>
                <w:sz w:val="24"/>
                <w:szCs w:val="24"/>
                <w:u w:color="000000"/>
                <w:bdr w:val="nil"/>
                <w:lang w:val="nl-NL"/>
                <w14:textOutline w14:w="0" w14:cap="flat" w14:cmpd="sng" w14:algn="ctr">
                  <w14:noFill/>
                  <w14:prstDash w14:val="solid"/>
                  <w14:bevel/>
                </w14:textOutline>
              </w:rPr>
              <w:t>lists, jo, Visp</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ārīgās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bas regulas 39.panta 2.punkt</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ā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ir</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noteikts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ka</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datu</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aizsardz</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ī</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listam ir j</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āņem</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vērā datu apstrādes konteksts, raksturs, apjoms un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nolū</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ks un no attiec</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īgās datu apstrādes izrietošos riskus. Attiecīgi, datu apstrādes apjoms, konteksts un specifiskie riski ir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nozarspecifiski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piemē</w:t>
            </w:r>
            <w:proofErr w:type="spellEnd"/>
            <w:r w:rsidRPr="00F82180">
              <w:rPr>
                <w:rFonts w:eastAsia="Arial Unicode MS"/>
                <w:color w:val="000000"/>
                <w:kern w:val="2"/>
                <w:sz w:val="24"/>
                <w:szCs w:val="24"/>
                <w:u w:color="000000"/>
                <w:bdr w:val="nil"/>
                <w:lang w:val="da-DK"/>
                <w14:textOutline w14:w="0" w14:cap="flat" w14:cmpd="sng" w14:algn="ctr">
                  <w14:noFill/>
                  <w14:prstDash w14:val="solid"/>
                  <w14:bevel/>
                </w14:textOutline>
              </w:rPr>
              <w:t>ram, medic</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īnas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joma un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kredī</w:t>
            </w:r>
            <w:proofErr w:type="spellEnd"/>
            <w:r w:rsidRPr="00F82180">
              <w:rPr>
                <w:rFonts w:eastAsia="Arial Unicode MS"/>
                <w:color w:val="000000"/>
                <w:kern w:val="2"/>
                <w:sz w:val="24"/>
                <w:szCs w:val="24"/>
                <w:u w:color="000000"/>
                <w:bdr w:val="nil"/>
                <w:lang w:val="nl-NL"/>
                <w14:textOutline w14:w="0" w14:cap="flat" w14:cmpd="sng" w14:algn="ctr">
                  <w14:noFill/>
                  <w14:prstDash w14:val="solid"/>
                  <w14:bevel/>
                </w14:textOutline>
              </w:rPr>
              <w:t>tiest</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āž</w:t>
            </w:r>
            <w:proofErr w:type="spellEnd"/>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 xml:space="preserve">u joma ir </w:t>
            </w:r>
            <w:r w:rsidRPr="00F82180">
              <w:rPr>
                <w:rFonts w:eastAsia="Arial Unicode MS"/>
                <w:color w:val="000000"/>
                <w:kern w:val="2"/>
                <w:sz w:val="24"/>
                <w:szCs w:val="24"/>
                <w:u w:color="000000"/>
                <w:bdr w:val="nil"/>
                <w14:textOutline w14:w="0" w14:cap="flat" w14:cmpd="sng" w14:algn="ctr">
                  <w14:noFill/>
                  <w14:prstDash w14:val="solid"/>
                  <w14:bevel/>
                </w14:textOutline>
              </w:rPr>
              <w:t>ļ</w:t>
            </w:r>
            <w:r w:rsidRPr="00F82180">
              <w:rPr>
                <w:rFonts w:eastAsia="Arial Unicode MS"/>
                <w:color w:val="000000"/>
                <w:kern w:val="2"/>
                <w:sz w:val="24"/>
                <w:szCs w:val="24"/>
                <w:u w:color="000000"/>
                <w:bdr w:val="nil"/>
                <w:lang w:val="it-IT"/>
                <w14:textOutline w14:w="0" w14:cap="flat" w14:cmpd="sng" w14:algn="ctr">
                  <w14:noFill/>
                  <w14:prstDash w14:val="solid"/>
                  <w14:bevel/>
                </w14:textOutline>
              </w:rPr>
              <w:t>oti at</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šķirī</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gas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un</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komplic</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ētas, ar savām specifiskām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 xml:space="preserve">niansēm, kuras noteikti jāņem vērā </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attiec</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īgajam</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listam.</w:t>
            </w:r>
          </w:p>
          <w:p w14:paraId="1E323852" w14:textId="40C5DB90" w:rsidR="00F82180" w:rsidRPr="00F82180" w:rsidRDefault="00F82180" w:rsidP="006A412F">
            <w:pPr>
              <w:pBdr>
                <w:top w:val="nil"/>
                <w:left w:val="nil"/>
                <w:bottom w:val="nil"/>
                <w:right w:val="nil"/>
                <w:between w:val="nil"/>
                <w:bar w:val="nil"/>
              </w:pBdr>
              <w:spacing w:after="160" w:line="259" w:lineRule="auto"/>
              <w:jc w:val="left"/>
              <w:rPr>
                <w:rFonts w:eastAsia="Arial Unicode MS"/>
                <w:color w:val="000000"/>
                <w:kern w:val="2"/>
                <w:sz w:val="24"/>
                <w:szCs w:val="24"/>
                <w:u w:color="000000"/>
                <w:bdr w:val="nil"/>
                <w14:textOutline w14:w="0" w14:cap="flat" w14:cmpd="sng" w14:algn="ctr">
                  <w14:noFill/>
                  <w14:prstDash w14:val="solid"/>
                  <w14:bevel/>
                </w14:textOutline>
              </w:rPr>
            </w:pP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5.Ievērojot iepriekš minēto, Asociācijas ieskatā ir ne tikai  jāsaglabā sertifikācijas institūts, bet tas ir papildus jāstiprina, jo piemēram, tā kā </w:t>
            </w:r>
            <w:r w:rsidRPr="00F82180">
              <w:rPr>
                <w:rFonts w:eastAsia="Arial Unicode MS"/>
                <w:color w:val="000000"/>
                <w:kern w:val="2"/>
                <w:sz w:val="24"/>
                <w:szCs w:val="24"/>
                <w:u w:color="000000"/>
                <w:bdr w:val="nil"/>
                <w:lang w:val="nl-NL"/>
                <w14:textOutline w14:w="0" w14:cap="flat" w14:cmpd="sng" w14:algn="ctr">
                  <w14:noFill/>
                  <w14:prstDash w14:val="solid"/>
                  <w14:bevel/>
                </w14:textOutline>
              </w:rPr>
              <w:t>liel</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ākā</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daļa datu apstrāžu tiek veiktas, izmantojot informācijas tehnoloģiju risinājumu, datu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aizsardzī</w:t>
            </w:r>
            <w:r w:rsidRPr="00F82180">
              <w:rPr>
                <w:rFonts w:eastAsia="Arial Unicode MS"/>
                <w:color w:val="000000"/>
                <w:kern w:val="2"/>
                <w:sz w:val="24"/>
                <w:szCs w:val="24"/>
                <w:u w:color="000000"/>
                <w:bdr w:val="nil"/>
                <w:lang w:val="de-DE"/>
                <w14:textOutline w14:w="0" w14:cap="flat" w14:cmpd="sng" w14:algn="ctr">
                  <w14:noFill/>
                  <w14:prstDash w14:val="solid"/>
                  <w14:bevel/>
                </w14:textOutline>
              </w:rPr>
              <w:t>bas</w:t>
            </w:r>
            <w:proofErr w:type="spellEnd"/>
            <w:r w:rsidRPr="00F82180">
              <w:rPr>
                <w:rFonts w:eastAsia="Arial Unicode MS"/>
                <w:color w:val="000000"/>
                <w:kern w:val="2"/>
                <w:sz w:val="24"/>
                <w:szCs w:val="24"/>
                <w:u w:color="000000"/>
                <w:bdr w:val="nil"/>
                <w:lang w:val="de-DE"/>
                <w14:textOutline w14:w="0" w14:cap="flat" w14:cmpd="sng" w14:algn="ctr">
                  <w14:noFill/>
                  <w14:prstDash w14:val="solid"/>
                  <w14:bevel/>
                </w14:textOutline>
              </w:rPr>
              <w:t xml:space="preserve"> </w:t>
            </w:r>
            <w:proofErr w:type="spellStart"/>
            <w:r w:rsidRPr="00F82180">
              <w:rPr>
                <w:rFonts w:eastAsia="Arial Unicode MS"/>
                <w:color w:val="000000"/>
                <w:kern w:val="2"/>
                <w:sz w:val="24"/>
                <w:szCs w:val="24"/>
                <w:u w:color="000000"/>
                <w:bdr w:val="nil"/>
                <w:lang w:val="de-DE"/>
                <w14:textOutline w14:w="0" w14:cap="flat" w14:cmpd="sng" w14:algn="ctr">
                  <w14:noFill/>
                  <w14:prstDash w14:val="solid"/>
                  <w14:bevel/>
                </w14:textOutline>
              </w:rPr>
              <w:t>speci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ā</w:t>
            </w:r>
            <w:r w:rsidRPr="00F82180">
              <w:rPr>
                <w:rFonts w:eastAsia="Arial Unicode MS"/>
                <w:color w:val="000000"/>
                <w:kern w:val="2"/>
                <w:sz w:val="24"/>
                <w:szCs w:val="24"/>
                <w:u w:color="000000"/>
                <w:bdr w:val="nil"/>
                <w:lang w:val="pt-PT"/>
                <w14:textOutline w14:w="0" w14:cap="flat" w14:cmpd="sng" w14:algn="ctr">
                  <w14:noFill/>
                  <w14:prstDash w14:val="solid"/>
                  <w14:bevel/>
                </w14:textOutline>
              </w:rPr>
              <w:t>listam ir j</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āzina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ne tikai normatīvie akti, bet arī jāizprot informācijas tehnoloģiju darbības nianses vismaz konceptuālā līmenī, lai būtu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iespē</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jams pal</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īdzēt</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pārzinim (apstrādātājam)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pārvaldī</w:t>
            </w:r>
            <w:proofErr w:type="spellEnd"/>
            <w:r w:rsidRPr="00F82180">
              <w:rPr>
                <w:rFonts w:eastAsia="Arial Unicode MS"/>
                <w:color w:val="000000"/>
                <w:kern w:val="2"/>
                <w:sz w:val="24"/>
                <w:szCs w:val="24"/>
                <w:u w:color="000000"/>
                <w:bdr w:val="nil"/>
                <w:lang w:val="it-IT"/>
                <w14:textOutline w14:w="0" w14:cap="flat" w14:cmpd="sng" w14:algn="ctr">
                  <w14:noFill/>
                  <w14:prstDash w14:val="solid"/>
                  <w14:bevel/>
                </w14:textOutline>
              </w:rPr>
              <w:t>t attiec</w:t>
            </w: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īgos riskus, tāpat būtu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nosakā</w:t>
            </w:r>
            <w:proofErr w:type="spellEnd"/>
            <w:r w:rsidRPr="00F82180">
              <w:rPr>
                <w:rFonts w:eastAsia="Arial Unicode MS"/>
                <w:color w:val="000000"/>
                <w:kern w:val="2"/>
                <w:sz w:val="24"/>
                <w:szCs w:val="24"/>
                <w:u w:color="000000"/>
                <w:bdr w:val="nil"/>
                <w:lang w:val="pt-PT"/>
                <w14:textOutline w14:w="0" w14:cap="flat" w14:cmpd="sng" w14:algn="ctr">
                  <w14:noFill/>
                  <w14:prstDash w14:val="solid"/>
                  <w14:bevel/>
                </w14:textOutline>
              </w:rPr>
              <w:t>ms, ka vismaz 40% no ieg</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ūstamajiem</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kvalifikācijas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uzturēš</w:t>
            </w:r>
            <w:proofErr w:type="spellEnd"/>
            <w:r w:rsidRPr="00F82180">
              <w:rPr>
                <w:rFonts w:eastAsia="Arial Unicode MS"/>
                <w:color w:val="000000"/>
                <w:kern w:val="2"/>
                <w:sz w:val="24"/>
                <w:szCs w:val="24"/>
                <w:u w:color="000000"/>
                <w:bdr w:val="nil"/>
                <w:lang w:val="sv-SE"/>
                <w14:textOutline w14:w="0" w14:cap="flat" w14:cmpd="sng" w14:algn="ctr">
                  <w14:noFill/>
                  <w14:prstDash w14:val="solid"/>
                  <w14:bevel/>
                </w14:textOutline>
              </w:rPr>
              <w:t>anas punktiem b</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ūtu</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jāiegūst ar informācijas tehnoloģijām, to izmantošanu un informācijas drošību saistītās aktivitātēs (apmācībās,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seminā</w:t>
            </w:r>
            <w:proofErr w:type="spellEnd"/>
            <w:r w:rsidRPr="00F82180">
              <w:rPr>
                <w:rFonts w:eastAsia="Arial Unicode MS"/>
                <w:color w:val="000000"/>
                <w:kern w:val="2"/>
                <w:sz w:val="24"/>
                <w:szCs w:val="24"/>
                <w:u w:color="000000"/>
                <w:bdr w:val="nil"/>
                <w:lang w:val="es-ES_tradnl"/>
                <w14:textOutline w14:w="0" w14:cap="flat" w14:cmpd="sng" w14:algn="ctr">
                  <w14:noFill/>
                  <w14:prstDash w14:val="solid"/>
                  <w14:bevel/>
                </w14:textOutline>
              </w:rPr>
              <w:t>ros, konferenc</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ēs</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w:t>
            </w:r>
          </w:p>
          <w:p w14:paraId="07A765AE" w14:textId="641C07EB" w:rsidR="00F82180" w:rsidRPr="00F82180" w:rsidRDefault="00F82180" w:rsidP="006A412F">
            <w:pPr>
              <w:pBdr>
                <w:top w:val="nil"/>
                <w:left w:val="nil"/>
                <w:bottom w:val="nil"/>
                <w:right w:val="nil"/>
                <w:between w:val="nil"/>
                <w:bar w:val="nil"/>
              </w:pBdr>
              <w:spacing w:after="160" w:line="259" w:lineRule="auto"/>
              <w:jc w:val="left"/>
              <w:rPr>
                <w:rFonts w:eastAsia="Arial Unicode MS"/>
                <w:color w:val="000000"/>
                <w:kern w:val="2"/>
                <w:sz w:val="24"/>
                <w:szCs w:val="24"/>
                <w:u w:color="000000"/>
                <w:bdr w:val="nil"/>
                <w14:textOutline w14:w="0" w14:cap="flat" w14:cmpd="sng" w14:algn="ctr">
                  <w14:noFill/>
                  <w14:prstDash w14:val="solid"/>
                  <w14:bevel/>
                </w14:textOutline>
              </w:rPr>
            </w:pP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6.Papildus, Asociācijas ieskatā, ir kritiski jāizturas pret viedokļiem, kurus ir paudušas tādas ieinteresētās puses, kurām, pēc būtības laba un kvalitatīva datu aizsardzība ir traucēklis – jo personas datu apstrādes prasību ievērošanas “ārējā” kontrole –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 xml:space="preserve">uzraudzības iestāde Datu valsts inspekcija – nevar būt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klātesoša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katrā datu apstrādē. Tieši šāda izpratne bija par pamatu likumdevēja iecerei noteiktās, augsta riska nozarēs ieviest obligātu datu aizsardzības speciālista institūtu. Vēsturiski fakts, ka Latvijā vispār ir pieļauts nesertificētu datu aizsardzības speciālistu institūts ir saistīts ar publiskā sektora – jo īpaši pašvaldību – paustajām bažām, ka “sertificēto speciālistu skaits” esot par mazu (bažas paustas 2017.-2018.gadā, izskatot tā laika likumprojekta Personas datu apstrādes likums virzību, t.sk., sanāksmju un komisiju protokolus, minētā informācija ir atrodama), tādēļ jāpieļauj nesertificēto personu – darbinieku – iecelšana. Taču, šobrīd, situācija ir mainījusies – speciālistu skaits no nosacītajiem 150 ir vairākas reizes palielinājies, turklāt, regulārā kvalifikācijas uzturēšanas prasība nodrošina pienācīgu profesionalitātes līmeni. </w:t>
            </w:r>
          </w:p>
          <w:p w14:paraId="3BF4670E" w14:textId="3F9301AE" w:rsidR="00F82180" w:rsidRPr="00F82180" w:rsidRDefault="00F82180" w:rsidP="006A412F">
            <w:pPr>
              <w:pBdr>
                <w:top w:val="nil"/>
                <w:left w:val="nil"/>
                <w:bottom w:val="nil"/>
                <w:right w:val="nil"/>
                <w:between w:val="nil"/>
                <w:bar w:val="nil"/>
              </w:pBdr>
              <w:spacing w:after="160" w:line="259" w:lineRule="auto"/>
              <w:jc w:val="left"/>
              <w:rPr>
                <w:rFonts w:eastAsia="Arial Unicode MS"/>
                <w:color w:val="000000"/>
                <w:kern w:val="2"/>
                <w:sz w:val="24"/>
                <w:szCs w:val="24"/>
                <w:u w:color="000000"/>
                <w:bdr w:val="nil"/>
                <w14:textOutline w14:w="0" w14:cap="flat" w14:cmpd="sng" w14:algn="ctr">
                  <w14:noFill/>
                  <w14:prstDash w14:val="solid"/>
                  <w14:bevel/>
                </w14:textOutline>
              </w:rPr>
            </w:pPr>
            <w:r w:rsidRPr="00F82180">
              <w:rPr>
                <w:rFonts w:eastAsia="Arial Unicode MS"/>
                <w:color w:val="000000"/>
                <w:kern w:val="2"/>
                <w:sz w:val="24"/>
                <w:szCs w:val="24"/>
                <w:u w:color="000000"/>
                <w:bdr w:val="nil"/>
                <w14:textOutline w14:w="0" w14:cap="flat" w14:cmpd="sng" w14:algn="ctr">
                  <w14:noFill/>
                  <w14:prstDash w14:val="solid"/>
                  <w14:bevel/>
                </w14:textOutline>
              </w:rPr>
              <w:t xml:space="preserve">7.Asociācija, cita starpā, ir gatava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Pro</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Bono tieša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pieslēguma</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vai klātbūtnes režīmā nodemonstrēt, ka teju ikviena publiski pieejamā vietne, kurā tiek veikta uzņēmējdarbība vairāk vai mazāk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 xml:space="preserve">neievēro datu aizsardzības prasības. Fakts, ka Datu valsts inspekcija nav ierosinājusi attiecīgās pārbaudes lietas, ir cits jautājums. Būtībā, ar kvalificētu iekšējo datu aizsardzības speciālistu resursu, nebūtu tik plaši izplatītas acīmredzamas problēmas, kā piemēram, nepareiza tiesiskā pamatojuma izvēle datu apstrādei, nepienācīga datu subjektu informēšana par plānoto datu apstrādi, pārmērīga datu apstrāde norādītā mērķa sasniegšanai, u.c. publiski pieejamas (tīmekļa vietnēs, piemēram, e-komercijas vietnēs) neatbilstības, nemaz nerunājot par iekšējās vides atbilstības esamību (datu apstrādes nolūku reģistrs, leģitīmās intereses novērtējuma, datu apstrādes ietekmes novērtējuma, datu apstrādē iesaistīto statusu un tiesisku līgumu esamība par, piemēram, ārpakalpojumu sniedzējiem, risku novērtējuma datu subjektu tiesībām un brīvībām u.c.) – kurai, protams, no ārpuses piekļūt nav iespējams, bet Asociācijas biedru pieredze rāda, ka nesakārtota </w:t>
            </w:r>
            <w:proofErr w:type="spellStart"/>
            <w:r w:rsidRPr="00F82180">
              <w:rPr>
                <w:rFonts w:eastAsia="Arial Unicode MS"/>
                <w:color w:val="000000"/>
                <w:kern w:val="2"/>
                <w:sz w:val="24"/>
                <w:szCs w:val="24"/>
                <w:u w:color="000000"/>
                <w:bdr w:val="nil"/>
                <w14:textOutline w14:w="0" w14:cap="flat" w14:cmpd="sng" w14:algn="ctr">
                  <w14:noFill/>
                  <w14:prstDash w14:val="solid"/>
                  <w14:bevel/>
                </w14:textOutline>
              </w:rPr>
              <w:t>publsiki</w:t>
            </w:r>
            <w:proofErr w:type="spellEnd"/>
            <w:r w:rsidRPr="00F82180">
              <w:rPr>
                <w:rFonts w:eastAsia="Arial Unicode MS"/>
                <w:color w:val="000000"/>
                <w:kern w:val="2"/>
                <w:sz w:val="24"/>
                <w:szCs w:val="24"/>
                <w:u w:color="000000"/>
                <w:bdr w:val="nil"/>
                <w14:textOutline w14:w="0" w14:cap="flat" w14:cmpd="sng" w14:algn="ctr">
                  <w14:noFill/>
                  <w14:prstDash w14:val="solid"/>
                  <w14:bevel/>
                </w14:textOutline>
              </w:rPr>
              <w:t xml:space="preserve"> pieejamā vide par 100% garantē, ka nebūs sakārtota arī iekšējā vide. Tas viss ir drauds datu subjektu tiesībām un brīvībām. Tādēļ, ja vien Latvijas Republikas izpildvarai nav plāns radikāli </w:t>
            </w:r>
            <w:r w:rsidRPr="00F82180">
              <w:rPr>
                <w:rFonts w:eastAsia="Arial Unicode MS"/>
                <w:color w:val="000000"/>
                <w:kern w:val="2"/>
                <w:sz w:val="24"/>
                <w:szCs w:val="24"/>
                <w:u w:color="000000"/>
                <w:bdr w:val="nil"/>
                <w14:textOutline w14:w="0" w14:cap="flat" w14:cmpd="sng" w14:algn="ctr">
                  <w14:noFill/>
                  <w14:prstDash w14:val="solid"/>
                  <w14:bevel/>
                </w14:textOutline>
              </w:rPr>
              <w:lastRenderedPageBreak/>
              <w:t>palielināt uzraudzības iestādes kapacitāti, datu aizsardzības speciālistu institūta kvalifikācijas paaugstināšana ir vienīgais ceļš, kādā censties aizsargāt valsts iedzīvotāju pamata tiesības – jo tiesības uz datu aizsardzību ir absolūta pamata tiesību prioritārā grupa, jo īpaši informācijas sabiedrības laikmetā.</w:t>
            </w:r>
          </w:p>
          <w:p w14:paraId="15529031" w14:textId="77777777" w:rsidR="00F82180" w:rsidRPr="00F82180" w:rsidRDefault="00F82180" w:rsidP="006A412F">
            <w:pPr>
              <w:jc w:val="left"/>
              <w:rPr>
                <w:sz w:val="24"/>
                <w:szCs w:val="24"/>
              </w:rPr>
            </w:pPr>
          </w:p>
        </w:tc>
        <w:tc>
          <w:tcPr>
            <w:tcW w:w="1350" w:type="dxa"/>
            <w:shd w:val="clear" w:color="auto" w:fill="FFFFFF"/>
            <w:noWrap/>
            <w:tcMar>
              <w:top w:w="75" w:type="dxa"/>
              <w:left w:w="75" w:type="dxa"/>
              <w:bottom w:w="75" w:type="dxa"/>
              <w:right w:w="75" w:type="dxa"/>
            </w:tcMar>
            <w:vAlign w:val="center"/>
          </w:tcPr>
          <w:p w14:paraId="1B7259B5" w14:textId="7EE1DFB6" w:rsidR="00F82180" w:rsidRPr="00F82180" w:rsidRDefault="00F82180" w:rsidP="006A412F">
            <w:pPr>
              <w:jc w:val="left"/>
              <w:rPr>
                <w:sz w:val="24"/>
                <w:szCs w:val="24"/>
              </w:rPr>
            </w:pPr>
            <w:r>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288BE3DC" w14:textId="18203AEE" w:rsidR="006A412F" w:rsidRPr="006A412F" w:rsidRDefault="006A412F" w:rsidP="006A412F">
            <w:pPr>
              <w:spacing w:after="160" w:line="259" w:lineRule="auto"/>
              <w:jc w:val="left"/>
              <w:rPr>
                <w:rFonts w:ascii="Aptos" w:eastAsia="Aptos" w:hAnsi="Aptos"/>
                <w:color w:val="auto"/>
                <w:kern w:val="2"/>
                <w:sz w:val="22"/>
                <w:szCs w:val="22"/>
                <w:lang w:eastAsia="en-US"/>
                <w14:ligatures w14:val="standardContextual"/>
              </w:rPr>
            </w:pPr>
            <w:r w:rsidRPr="006A412F">
              <w:rPr>
                <w:rFonts w:eastAsia="Aptos"/>
                <w:color w:val="auto"/>
                <w:kern w:val="2"/>
                <w:sz w:val="24"/>
                <w:szCs w:val="24"/>
                <w:lang w:eastAsia="en-US"/>
                <w14:ligatures w14:val="standardContextual"/>
              </w:rPr>
              <w:t>Biedrība ir piedalījusies Tieslietu ministrijas veiktajā aptaujā par DAS kvalifikācijas eksāmena lietderību. Biedrības viedoklis par  DAS kvalifikācijas eksāmena lietderību jau tika ņemts vērā, sagatavojot informatīvo ziņojumu</w:t>
            </w:r>
            <w:r w:rsidRPr="006A412F">
              <w:rPr>
                <w:rFonts w:ascii="Aptos" w:eastAsia="Aptos" w:hAnsi="Aptos"/>
                <w:color w:val="auto"/>
                <w:kern w:val="2"/>
                <w:sz w:val="22"/>
                <w:szCs w:val="22"/>
                <w:lang w:eastAsia="en-US"/>
                <w14:ligatures w14:val="standardContextual"/>
              </w:rPr>
              <w:t xml:space="preserve">. </w:t>
            </w:r>
          </w:p>
          <w:p w14:paraId="0CE8272F" w14:textId="77777777" w:rsidR="00F82180" w:rsidRPr="00F82180" w:rsidRDefault="00F82180" w:rsidP="006A412F">
            <w:pPr>
              <w:jc w:val="left"/>
              <w:rPr>
                <w:sz w:val="24"/>
                <w:szCs w:val="24"/>
              </w:rPr>
            </w:pPr>
          </w:p>
        </w:tc>
      </w:tr>
    </w:tbl>
    <w:p w14:paraId="02972839" w14:textId="27816C58" w:rsidR="002730A5" w:rsidRPr="00F82180" w:rsidRDefault="006A412F">
      <w:pPr>
        <w:rPr>
          <w:sz w:val="24"/>
          <w:szCs w:val="24"/>
        </w:rPr>
      </w:pPr>
      <w:r>
        <w:rPr>
          <w:sz w:val="24"/>
          <w:szCs w:val="24"/>
        </w:rPr>
        <w:lastRenderedPageBreak/>
        <w:br w:type="textWrapping" w:clear="all"/>
      </w:r>
    </w:p>
    <w:sectPr w:rsidR="002730A5" w:rsidRPr="00F8218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02B41" w14:textId="77777777" w:rsidR="00F775C6" w:rsidRDefault="00F775C6">
      <w:r>
        <w:separator/>
      </w:r>
    </w:p>
  </w:endnote>
  <w:endnote w:type="continuationSeparator" w:id="0">
    <w:p w14:paraId="7FBE9F0F" w14:textId="77777777" w:rsidR="00F775C6" w:rsidRDefault="00F77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CB326" w14:textId="77777777" w:rsidR="00CD1D94" w:rsidRDefault="008728EA">
    <w:pPr>
      <w:jc w:val="right"/>
    </w:pPr>
    <w:r>
      <w:rPr>
        <w:sz w:val="24"/>
        <w:szCs w:val="24"/>
      </w:rPr>
      <w:fldChar w:fldCharType="begin"/>
    </w:r>
    <w:r>
      <w:rPr>
        <w:sz w:val="24"/>
        <w:szCs w:val="24"/>
      </w:rPr>
      <w:instrText>PAGE</w:instrText>
    </w:r>
    <w:r>
      <w:rPr>
        <w:sz w:val="24"/>
        <w:szCs w:val="24"/>
      </w:rPr>
      <w:fldChar w:fldCharType="separate"/>
    </w:r>
    <w:r w:rsidR="009011A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AFA57" w14:textId="77777777" w:rsidR="00752A7F" w:rsidRDefault="008728E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55792" w14:textId="77777777" w:rsidR="00F775C6" w:rsidRDefault="00F775C6">
      <w:r>
        <w:separator/>
      </w:r>
    </w:p>
  </w:footnote>
  <w:footnote w:type="continuationSeparator" w:id="0">
    <w:p w14:paraId="0AA30E69" w14:textId="77777777" w:rsidR="00F775C6" w:rsidRDefault="00F77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396E5" w14:textId="70584AAE" w:rsidR="00CD1D94" w:rsidRDefault="008728EA">
    <w:pPr>
      <w:pStyle w:val="Galvene"/>
      <w:contextualSpacing w:val="0"/>
    </w:pPr>
    <w:r>
      <w:t>Viedokļu pārskats 24-TA-1149</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799C1" w14:textId="543C46D0" w:rsidR="00CD1D94" w:rsidRDefault="008728EA">
    <w:pPr>
      <w:pStyle w:val="Galvene"/>
      <w:contextualSpacing w:val="0"/>
    </w:pPr>
    <w:r>
      <w:t>Viedokļu pārskats 24-TA-1149</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A7674"/>
    <w:multiLevelType w:val="hybridMultilevel"/>
    <w:tmpl w:val="2DEADC60"/>
    <w:numStyleLink w:val="ImportedStyle1"/>
  </w:abstractNum>
  <w:abstractNum w:abstractNumId="1" w15:restartNumberingAfterBreak="0">
    <w:nsid w:val="53996B66"/>
    <w:multiLevelType w:val="hybridMultilevel"/>
    <w:tmpl w:val="A33CB046"/>
    <w:lvl w:ilvl="0" w:tplc="FFFFFFFF">
      <w:start w:val="1"/>
      <w:numFmt w:val="decimal"/>
      <w:lvlText w:val="%1."/>
      <w:lvlJc w:val="left"/>
      <w:pPr>
        <w:ind w:left="720" w:hanging="360"/>
      </w:pPr>
      <w:rPr>
        <w:rFonts w:ascii="Times New Roman" w:eastAsia="Arial Unicode MS" w:hAnsi="Times New Roman" w:cs="Times New Roma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22C6D99"/>
    <w:multiLevelType w:val="hybridMultilevel"/>
    <w:tmpl w:val="05829D8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5D0306F"/>
    <w:multiLevelType w:val="hybridMultilevel"/>
    <w:tmpl w:val="2DEADC60"/>
    <w:styleLink w:val="ImportedStyle1"/>
    <w:lvl w:ilvl="0" w:tplc="FA1ED59C">
      <w:start w:val="1"/>
      <w:numFmt w:val="decimal"/>
      <w:lvlText w:val="%1."/>
      <w:lvlJc w:val="left"/>
      <w:pPr>
        <w:ind w:left="720" w:hanging="360"/>
      </w:pPr>
      <w:rPr>
        <w:rFonts w:ascii="Times New Roman" w:eastAsia="Arial Unicode MS" w:hAnsi="Times New Roman" w:cs="Times New Roma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7C8E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964B6E">
      <w:start w:val="1"/>
      <w:numFmt w:val="lowerRoman"/>
      <w:lvlText w:val="%3."/>
      <w:lvlJc w:val="left"/>
      <w:pPr>
        <w:ind w:left="21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8C155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E81D5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4CF1D6">
      <w:start w:val="1"/>
      <w:numFmt w:val="lowerRoman"/>
      <w:lvlText w:val="%6."/>
      <w:lvlJc w:val="left"/>
      <w:pPr>
        <w:ind w:left="43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42ABE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B2648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084DFC">
      <w:start w:val="1"/>
      <w:numFmt w:val="lowerRoman"/>
      <w:lvlText w:val="%9."/>
      <w:lvlJc w:val="left"/>
      <w:pPr>
        <w:ind w:left="648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9BF121C"/>
    <w:multiLevelType w:val="hybridMultilevel"/>
    <w:tmpl w:val="22741B1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8360556">
    <w:abstractNumId w:val="3"/>
  </w:num>
  <w:num w:numId="2" w16cid:durableId="111287409">
    <w:abstractNumId w:val="0"/>
  </w:num>
  <w:num w:numId="3" w16cid:durableId="19208768">
    <w:abstractNumId w:val="1"/>
  </w:num>
  <w:num w:numId="4" w16cid:durableId="1673921022">
    <w:abstractNumId w:val="4"/>
  </w:num>
  <w:num w:numId="5" w16cid:durableId="22453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94"/>
    <w:rsid w:val="00044EA1"/>
    <w:rsid w:val="000A014C"/>
    <w:rsid w:val="000B46B9"/>
    <w:rsid w:val="000C48FE"/>
    <w:rsid w:val="00116A00"/>
    <w:rsid w:val="001475B7"/>
    <w:rsid w:val="001653E2"/>
    <w:rsid w:val="00223E9F"/>
    <w:rsid w:val="002730A5"/>
    <w:rsid w:val="002D13A7"/>
    <w:rsid w:val="00300ABF"/>
    <w:rsid w:val="0035022B"/>
    <w:rsid w:val="00394A3C"/>
    <w:rsid w:val="0040240B"/>
    <w:rsid w:val="004C1230"/>
    <w:rsid w:val="0052202F"/>
    <w:rsid w:val="00552067"/>
    <w:rsid w:val="005623E9"/>
    <w:rsid w:val="005C4926"/>
    <w:rsid w:val="00603E54"/>
    <w:rsid w:val="00612FD3"/>
    <w:rsid w:val="00620853"/>
    <w:rsid w:val="006223DA"/>
    <w:rsid w:val="006429E1"/>
    <w:rsid w:val="006466C2"/>
    <w:rsid w:val="00675047"/>
    <w:rsid w:val="006A412F"/>
    <w:rsid w:val="006E0154"/>
    <w:rsid w:val="0070001E"/>
    <w:rsid w:val="0075095D"/>
    <w:rsid w:val="00752A7F"/>
    <w:rsid w:val="007D054F"/>
    <w:rsid w:val="008728EA"/>
    <w:rsid w:val="00874F14"/>
    <w:rsid w:val="0088141C"/>
    <w:rsid w:val="009011A9"/>
    <w:rsid w:val="009E295E"/>
    <w:rsid w:val="009F77EF"/>
    <w:rsid w:val="00A474EA"/>
    <w:rsid w:val="00A54786"/>
    <w:rsid w:val="00A8661D"/>
    <w:rsid w:val="00A97F40"/>
    <w:rsid w:val="00AD4FAA"/>
    <w:rsid w:val="00AF02D4"/>
    <w:rsid w:val="00AF655A"/>
    <w:rsid w:val="00AF71EC"/>
    <w:rsid w:val="00B168F9"/>
    <w:rsid w:val="00B25383"/>
    <w:rsid w:val="00B334B5"/>
    <w:rsid w:val="00B54B7E"/>
    <w:rsid w:val="00B73AA2"/>
    <w:rsid w:val="00B77630"/>
    <w:rsid w:val="00BA119B"/>
    <w:rsid w:val="00BA1AD1"/>
    <w:rsid w:val="00CA61A7"/>
    <w:rsid w:val="00CA743E"/>
    <w:rsid w:val="00CC0DBD"/>
    <w:rsid w:val="00CD1D94"/>
    <w:rsid w:val="00D15FD5"/>
    <w:rsid w:val="00D92E2A"/>
    <w:rsid w:val="00DC57DE"/>
    <w:rsid w:val="00DD047D"/>
    <w:rsid w:val="00DF203D"/>
    <w:rsid w:val="00E076F1"/>
    <w:rsid w:val="00E12D9F"/>
    <w:rsid w:val="00E13354"/>
    <w:rsid w:val="00E50352"/>
    <w:rsid w:val="00EA51D5"/>
    <w:rsid w:val="00EA5EDA"/>
    <w:rsid w:val="00EB1BCF"/>
    <w:rsid w:val="00F6221B"/>
    <w:rsid w:val="00F775C6"/>
    <w:rsid w:val="00F82180"/>
    <w:rsid w:val="00FB4B4F"/>
    <w:rsid w:val="00FE46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16592"/>
  <w15:docId w15:val="{70D819DB-23D5-4B6F-BB97-9FF51277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F82180"/>
    <w:pPr>
      <w:tabs>
        <w:tab w:val="center" w:pos="4153"/>
        <w:tab w:val="right" w:pos="8306"/>
      </w:tabs>
    </w:pPr>
  </w:style>
  <w:style w:type="character" w:customStyle="1" w:styleId="KjeneRakstz">
    <w:name w:val="Kājene Rakstz."/>
    <w:basedOn w:val="Noklusjumarindkopasfonts"/>
    <w:link w:val="Kjene"/>
    <w:uiPriority w:val="99"/>
    <w:rsid w:val="00F82180"/>
  </w:style>
  <w:style w:type="paragraph" w:styleId="Sarakstarindkopa">
    <w:name w:val="List Paragraph"/>
    <w:basedOn w:val="Parasts"/>
    <w:uiPriority w:val="34"/>
    <w:qFormat/>
    <w:rsid w:val="00F82180"/>
    <w:pPr>
      <w:ind w:left="720"/>
      <w:contextualSpacing/>
    </w:pPr>
  </w:style>
  <w:style w:type="numbering" w:customStyle="1" w:styleId="ImportedStyle1">
    <w:name w:val="Imported Style 1"/>
    <w:rsid w:val="00F82180"/>
    <w:pPr>
      <w:numPr>
        <w:numId w:val="1"/>
      </w:numPr>
    </w:pPr>
  </w:style>
  <w:style w:type="paragraph" w:styleId="Prskatjums">
    <w:name w:val="Revision"/>
    <w:hidden/>
    <w:uiPriority w:val="99"/>
    <w:semiHidden/>
    <w:rsid w:val="00A54786"/>
    <w:pPr>
      <w:jc w:val="left"/>
    </w:pPr>
  </w:style>
  <w:style w:type="character" w:styleId="Komentraatsauce">
    <w:name w:val="annotation reference"/>
    <w:basedOn w:val="Noklusjumarindkopasfonts"/>
    <w:uiPriority w:val="99"/>
    <w:semiHidden/>
    <w:unhideWhenUsed/>
    <w:rsid w:val="00E12D9F"/>
    <w:rPr>
      <w:sz w:val="16"/>
      <w:szCs w:val="16"/>
    </w:rPr>
  </w:style>
  <w:style w:type="paragraph" w:styleId="Komentrateksts">
    <w:name w:val="annotation text"/>
    <w:basedOn w:val="Parasts"/>
    <w:link w:val="KomentratekstsRakstz"/>
    <w:uiPriority w:val="99"/>
    <w:unhideWhenUsed/>
    <w:rsid w:val="00E12D9F"/>
    <w:rPr>
      <w:sz w:val="20"/>
    </w:rPr>
  </w:style>
  <w:style w:type="character" w:customStyle="1" w:styleId="KomentratekstsRakstz">
    <w:name w:val="Komentāra teksts Rakstz."/>
    <w:basedOn w:val="Noklusjumarindkopasfonts"/>
    <w:link w:val="Komentrateksts"/>
    <w:uiPriority w:val="99"/>
    <w:rsid w:val="00E12D9F"/>
    <w:rPr>
      <w:sz w:val="20"/>
    </w:rPr>
  </w:style>
  <w:style w:type="paragraph" w:styleId="Komentratma">
    <w:name w:val="annotation subject"/>
    <w:basedOn w:val="Komentrateksts"/>
    <w:next w:val="Komentrateksts"/>
    <w:link w:val="KomentratmaRakstz"/>
    <w:uiPriority w:val="99"/>
    <w:semiHidden/>
    <w:unhideWhenUsed/>
    <w:rsid w:val="00E12D9F"/>
    <w:rPr>
      <w:b/>
      <w:bCs/>
    </w:rPr>
  </w:style>
  <w:style w:type="character" w:customStyle="1" w:styleId="KomentratmaRakstz">
    <w:name w:val="Komentāra tēma Rakstz."/>
    <w:basedOn w:val="KomentratekstsRakstz"/>
    <w:link w:val="Komentratma"/>
    <w:uiPriority w:val="99"/>
    <w:semiHidden/>
    <w:rsid w:val="00E12D9F"/>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9727</Words>
  <Characters>5545</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viedoklu_parskats_24-TA-1149.docx</vt:lpstr>
    </vt:vector>
  </TitlesOfParts>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viedoklu_parskats_24-TA-1149.docx</dc:title>
  <dc:creator>Anna Samuseviča</dc:creator>
  <cp:lastModifiedBy>Anna Samuseviča</cp:lastModifiedBy>
  <cp:revision>4</cp:revision>
  <dcterms:created xsi:type="dcterms:W3CDTF">2024-05-31T09:48:00Z</dcterms:created>
  <dcterms:modified xsi:type="dcterms:W3CDTF">2024-06-17T06:55:00Z</dcterms:modified>
</cp:coreProperties>
</file>