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CellMar>
          <w:left w:w="0" w:type="dxa"/>
          <w:right w:w="0" w:type="dxa"/>
        </w:tblCellMar>
        <w:tblLook w:val="00A0" w:firstRow="1" w:lastRow="0" w:firstColumn="1" w:lastColumn="0" w:noHBand="0" w:noVBand="0"/>
      </w:tblPr>
      <w:tblGrid>
        <w:gridCol w:w="5669"/>
        <w:gridCol w:w="3402"/>
      </w:tblGrid>
      <w:tr w:rsidR="000618AB" w14:paraId="59563A05" w14:textId="77777777" w:rsidTr="000618AB">
        <w:tc>
          <w:tcPr>
            <w:tcW w:w="3125" w:type="pct"/>
          </w:tcPr>
          <w:p w14:paraId="138E6518" w14:textId="77777777" w:rsidR="000618AB" w:rsidRDefault="000618AB" w:rsidP="000618AB">
            <w:pPr>
              <w:keepLines/>
              <w:autoSpaceDE w:val="0"/>
              <w:autoSpaceDN w:val="0"/>
              <w:adjustRightInd w:val="0"/>
              <w:spacing w:after="0" w:line="40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Rīgā</w:t>
            </w:r>
          </w:p>
          <w:p w14:paraId="58C8FFD1" w14:textId="77777777" w:rsidR="000618AB" w:rsidRDefault="000618AB" w:rsidP="000618AB">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Datumu skatīt dokumenta paraksta laika zīmogā.</w:t>
            </w:r>
          </w:p>
          <w:p w14:paraId="320AD450" w14:textId="77777777" w:rsidR="000618AB" w:rsidRDefault="000618AB" w:rsidP="000618AB">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 xml:space="preserve">Reģistrācijas numuru skatīt pievienotajā failā </w:t>
            </w:r>
            <w:proofErr w:type="spellStart"/>
            <w:r>
              <w:rPr>
                <w:rFonts w:ascii="Times New Roman" w:hAnsi="Times New Roman" w:cs="Times New Roman"/>
                <w:color w:val="000000"/>
                <w:sz w:val="24"/>
                <w:szCs w:val="24"/>
              </w:rPr>
              <w:t>Registracijas_numurs</w:t>
            </w:r>
            <w:proofErr w:type="spellEnd"/>
          </w:p>
          <w:p w14:paraId="647FBD4E" w14:textId="77777777" w:rsidR="000618AB" w:rsidRDefault="000618AB" w:rsidP="000618AB">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Uz 14.06.2021. Nr. 3.3-8/2021/4712N</w:t>
            </w:r>
          </w:p>
        </w:tc>
        <w:tc>
          <w:tcPr>
            <w:tcW w:w="1875" w:type="pct"/>
          </w:tcPr>
          <w:p w14:paraId="138E34AD" w14:textId="77777777" w:rsidR="000618AB" w:rsidRDefault="000618AB" w:rsidP="000618AB">
            <w:pPr>
              <w:keepLines/>
              <w:autoSpaceDE w:val="0"/>
              <w:autoSpaceDN w:val="0"/>
              <w:adjustRightInd w:val="0"/>
              <w:spacing w:after="0" w:line="240" w:lineRule="auto"/>
              <w:jc w:val="right"/>
              <w:rPr>
                <w:rFonts w:ascii="Times New Roman" w:hAnsi="Times New Roman" w:cs="Times New Roman"/>
                <w:color w:val="000000"/>
                <w:sz w:val="24"/>
                <w:szCs w:val="24"/>
              </w:rPr>
            </w:pPr>
          </w:p>
          <w:p w14:paraId="5187946F" w14:textId="77777777" w:rsidR="000618AB" w:rsidRDefault="000618AB" w:rsidP="000618AB">
            <w:pPr>
              <w:keepLines/>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Ekonomikas ministrija</w:t>
            </w:r>
            <w:r>
              <w:rPr>
                <w:rFonts w:ascii="Times New Roman" w:hAnsi="Times New Roman" w:cs="Times New Roman"/>
                <w:color w:val="000000"/>
                <w:sz w:val="24"/>
                <w:szCs w:val="24"/>
              </w:rPr>
              <w:br/>
              <w:t>Brīvības iela 55</w:t>
            </w:r>
            <w:r>
              <w:rPr>
                <w:rFonts w:ascii="Times New Roman" w:hAnsi="Times New Roman" w:cs="Times New Roman"/>
                <w:color w:val="000000"/>
                <w:sz w:val="24"/>
                <w:szCs w:val="24"/>
              </w:rPr>
              <w:br/>
              <w:t>Rīga, LV-1519</w:t>
            </w:r>
            <w:r>
              <w:rPr>
                <w:rFonts w:ascii="Times New Roman" w:hAnsi="Times New Roman" w:cs="Times New Roman"/>
                <w:color w:val="000000"/>
                <w:sz w:val="24"/>
                <w:szCs w:val="24"/>
              </w:rPr>
              <w:br/>
              <w:t>Latvija</w:t>
            </w:r>
          </w:p>
        </w:tc>
      </w:tr>
    </w:tbl>
    <w:p w14:paraId="5BFCA788" w14:textId="77777777" w:rsidR="000618AB" w:rsidRDefault="000618AB" w:rsidP="000618AB">
      <w:pPr>
        <w:autoSpaceDE w:val="0"/>
        <w:autoSpaceDN w:val="0"/>
        <w:adjustRightInd w:val="0"/>
        <w:spacing w:after="0" w:line="240" w:lineRule="auto"/>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0618AB" w14:paraId="43299BCB" w14:textId="77777777" w:rsidTr="000618AB">
        <w:tc>
          <w:tcPr>
            <w:tcW w:w="5000" w:type="pct"/>
          </w:tcPr>
          <w:p w14:paraId="06B404D2" w14:textId="77777777" w:rsidR="000618AB" w:rsidRDefault="000618AB" w:rsidP="000618AB">
            <w:pPr>
              <w:keepLine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Par Ministru kabineta noteikumu projektiem (VSS-37, VSS-38)</w:t>
            </w:r>
          </w:p>
        </w:tc>
      </w:tr>
    </w:tbl>
    <w:p w14:paraId="2E4A9ABB" w14:textId="77777777" w:rsidR="000618AB" w:rsidRDefault="000618AB" w:rsidP="000618AB">
      <w:pPr>
        <w:autoSpaceDE w:val="0"/>
        <w:autoSpaceDN w:val="0"/>
        <w:adjustRightInd w:val="0"/>
        <w:spacing w:after="0" w:line="240" w:lineRule="auto"/>
        <w:jc w:val="both"/>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0618AB" w14:paraId="63600B6C" w14:textId="77777777" w:rsidTr="000618AB">
        <w:tc>
          <w:tcPr>
            <w:tcW w:w="5000" w:type="pct"/>
          </w:tcPr>
          <w:p w14:paraId="7F1EC58E" w14:textId="77777777" w:rsidR="000618AB" w:rsidRDefault="000618AB" w:rsidP="000618AB">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SIA “Enerģijas publiskais tirgotājs” (turpmāk – EPT) ir iepazinusies ar Ekonomikas ministrijas 2021.gada 14.jūnijā atkārtotai saskaņošanai atsūtīt precizēto Ministru kabineta noteikumu projektu “Grozījumi Ministru kabineta 2020.gada 2.septembra noteikumos Nr.561 “Noteikumi par elektroenerģijas ražošanu, uzraudzību un cenu noteikšanu, ražojot elektroenerģiju koģenerācijā”” (VSS-37) (turpmāk – Grozījumi 561.noteikumos) un Ministru kabineta noteikumu projektu “Grozījumi Ministru kabineta 2020.gada 2.septembra noteikumos Nr.560 “Noteikumi par elektroenerģijas ražošanu, izmantojot atjaunojamos energoresursus, kā arī par cenu noteikšanas kārtību un uzraudzību”” (VSS-38) (turpmāk – Grozījumi 560.noteikumos) un sniedz šādu viedokli un komentārus.</w:t>
            </w:r>
          </w:p>
          <w:p w14:paraId="5A8DDFAE" w14:textId="77777777" w:rsidR="000618AB" w:rsidRDefault="000618AB" w:rsidP="000618AB">
            <w:pPr>
              <w:keepLines/>
              <w:autoSpaceDE w:val="0"/>
              <w:autoSpaceDN w:val="0"/>
              <w:adjustRightInd w:val="0"/>
              <w:spacing w:after="240" w:line="240" w:lineRule="auto"/>
              <w:ind w:firstLine="720"/>
              <w:jc w:val="both"/>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Attiecībā uz Grozījumiem 560.noteikumos:</w:t>
            </w:r>
          </w:p>
          <w:p w14:paraId="0FCB033C" w14:textId="77777777" w:rsidR="000618AB" w:rsidRDefault="000618AB" w:rsidP="000618AB">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Lai arī Grozījumu 560.noteikumos izziņā norādīts, ka ņemts vērā EPT 2021.gada 13.aprīļa atzinumā Nr. 40VL00-11/31 norādītais attiecībā uz noteikumu 48.7.apakšpunktu, EPT vērš uzmanību, ka piedāvātajā šī apakšpunkta gala redakcijā EPT priekšlikums nav ņemts vērā, jo tas joprojām paredz sankcijas tikai par konstatētu nepatiesu informāciju attiecībā uz biogāzes elektrostaciju izejvielām un faktiskās situācijas neatbilstības konstatējumu no iesniegtajiem gada pārskatiem. </w:t>
            </w:r>
          </w:p>
          <w:p w14:paraId="7A47D349" w14:textId="77777777" w:rsidR="000618AB" w:rsidRDefault="000618AB" w:rsidP="000618AB">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EPT atkārtoti aicina šo apakšpunktu papildināt arī ar rīcību gadījumos, kad Būvniecības valsts kontroles birojs (turpmāk – BVKB) konstatē ražotāja nepatiesas informācijas iesniegšanu EPT attiecībā uz koģenerācijas stacijā patērēto kurināmā daudzumu un lietderīgās siltumenerģijas daudzumu un šāda minētās informācijas neatbilstība ietekmējusi izmaksājamā atbalsta apmēru, tādējādi EPT iepirkusi elektroenerģiju obligātā iepirkuma ietvaros par lielāku cenu vai lielākā apmērā, nekā pienāktos, ne tikai izvērtējot gada pārskatā sniegto informāciju, bet jebkurā brīdī uzraudzības īstenošanas laikā. </w:t>
            </w:r>
          </w:p>
          <w:p w14:paraId="30818418" w14:textId="77777777" w:rsidR="000618AB" w:rsidRDefault="000618AB" w:rsidP="000618AB">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Līdz ar to EPT piedāvā 48.7.apakšpunktu izteikt šādā redakcijā:</w:t>
            </w:r>
          </w:p>
          <w:p w14:paraId="73B547D6" w14:textId="77777777" w:rsidR="000618AB" w:rsidRDefault="000618AB" w:rsidP="000618AB">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“48.7. ja birojs konstatē, ka komersanta iesniegtā šo noteikumu </w:t>
            </w:r>
            <w:hyperlink r:id="rId6" w:history="1">
              <w:r>
                <w:rPr>
                  <w:rFonts w:ascii="Times New Roman" w:hAnsi="Times New Roman" w:cs="Times New Roman"/>
                  <w:color w:val="000000"/>
                  <w:sz w:val="24"/>
                  <w:szCs w:val="24"/>
                </w:rPr>
                <w:t>14. punktā</w:t>
              </w:r>
            </w:hyperlink>
            <w:r>
              <w:rPr>
                <w:rFonts w:ascii="Times New Roman" w:hAnsi="Times New Roman" w:cs="Times New Roman"/>
                <w:color w:val="000000"/>
                <w:sz w:val="24"/>
                <w:szCs w:val="24"/>
              </w:rPr>
              <w:t xml:space="preserve"> minētā informācija </w:t>
            </w:r>
            <w:r>
              <w:rPr>
                <w:rFonts w:ascii="Times New Roman" w:hAnsi="Times New Roman" w:cs="Times New Roman"/>
                <w:color w:val="000000"/>
                <w:sz w:val="24"/>
                <w:szCs w:val="24"/>
                <w:u w:val="single"/>
              </w:rPr>
              <w:t>vai informācija par koģenerācijas stacijā patērēto kurināmā daudzumu un lietderīgās siltumenerģijas daudzumu,</w:t>
            </w:r>
            <w:r>
              <w:rPr>
                <w:rFonts w:ascii="Times New Roman" w:hAnsi="Times New Roman" w:cs="Times New Roman"/>
                <w:color w:val="000000"/>
                <w:sz w:val="24"/>
                <w:szCs w:val="24"/>
              </w:rPr>
              <w:t xml:space="preserve"> ko komersants iesniedz publiskajam tirgotājam, vai šo noteikumu </w:t>
            </w:r>
            <w:hyperlink r:id="rId7" w:history="1">
              <w:r>
                <w:rPr>
                  <w:rFonts w:ascii="Times New Roman" w:hAnsi="Times New Roman" w:cs="Times New Roman"/>
                  <w:color w:val="000000"/>
                  <w:sz w:val="24"/>
                  <w:szCs w:val="24"/>
                </w:rPr>
                <w:t>38. punktā</w:t>
              </w:r>
            </w:hyperlink>
            <w:r>
              <w:rPr>
                <w:rFonts w:ascii="Times New Roman" w:hAnsi="Times New Roman" w:cs="Times New Roman"/>
                <w:color w:val="000000"/>
                <w:sz w:val="24"/>
                <w:szCs w:val="24"/>
              </w:rPr>
              <w:t xml:space="preserve"> minētajā gada pārskatā minētā informācija neatbilst faktiskajai </w:t>
            </w:r>
            <w:r>
              <w:rPr>
                <w:rFonts w:ascii="Times New Roman" w:hAnsi="Times New Roman" w:cs="Times New Roman"/>
                <w:color w:val="000000"/>
                <w:sz w:val="24"/>
                <w:szCs w:val="24"/>
              </w:rPr>
              <w:lastRenderedPageBreak/>
              <w:t>situācijai un šāda minētās informācijas neatbilstība ietekmējusi izmaksājamā atbalsta apmēru, tādējādi publiskais tirgotājs iepircis elektroenerģiju obligātā iepirkuma ietvaros par lielāku cenu vai lielākā apmērā, nekā pienāktos.”</w:t>
            </w:r>
          </w:p>
          <w:p w14:paraId="0C91C2A6" w14:textId="77777777" w:rsidR="000618AB" w:rsidRDefault="000618AB" w:rsidP="000618AB">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Ņemot vērā, ka publiskā tirgotāja rīcībā nav informācijas par to, vai ražotājs elektrostacijas principiālo </w:t>
            </w:r>
            <w:proofErr w:type="spellStart"/>
            <w:r>
              <w:rPr>
                <w:rFonts w:ascii="Times New Roman" w:hAnsi="Times New Roman" w:cs="Times New Roman"/>
                <w:color w:val="000000"/>
                <w:sz w:val="24"/>
                <w:szCs w:val="24"/>
              </w:rPr>
              <w:t>pieslēguma</w:t>
            </w:r>
            <w:proofErr w:type="spellEnd"/>
            <w:r>
              <w:rPr>
                <w:rFonts w:ascii="Times New Roman" w:hAnsi="Times New Roman" w:cs="Times New Roman"/>
                <w:color w:val="000000"/>
                <w:sz w:val="24"/>
                <w:szCs w:val="24"/>
              </w:rPr>
              <w:t xml:space="preserve"> shēmu ir vai nav iesniedzis arī BVKB un sistēmas operatoram, bet noteikumu 75.punkts paredz publiskajam tirgotājam pienākumu apturēt valsts atbalstu, ja šī </w:t>
            </w:r>
            <w:proofErr w:type="spellStart"/>
            <w:r>
              <w:rPr>
                <w:rFonts w:ascii="Times New Roman" w:hAnsi="Times New Roman" w:cs="Times New Roman"/>
                <w:color w:val="000000"/>
                <w:sz w:val="24"/>
                <w:szCs w:val="24"/>
              </w:rPr>
              <w:t>pieslēgumu</w:t>
            </w:r>
            <w:proofErr w:type="spellEnd"/>
            <w:r>
              <w:rPr>
                <w:rFonts w:ascii="Times New Roman" w:hAnsi="Times New Roman" w:cs="Times New Roman"/>
                <w:color w:val="000000"/>
                <w:sz w:val="24"/>
                <w:szCs w:val="24"/>
              </w:rPr>
              <w:t xml:space="preserve"> shēma nav iesniegta gan EPT, gan BVKB, gan sistēmas operatoram, kā arī pēc tam to atsākt, ja elektrostacijas principiālā </w:t>
            </w:r>
            <w:proofErr w:type="spellStart"/>
            <w:r>
              <w:rPr>
                <w:rFonts w:ascii="Times New Roman" w:hAnsi="Times New Roman" w:cs="Times New Roman"/>
                <w:color w:val="000000"/>
                <w:sz w:val="24"/>
                <w:szCs w:val="24"/>
              </w:rPr>
              <w:t>pieslēguma</w:t>
            </w:r>
            <w:proofErr w:type="spellEnd"/>
            <w:r>
              <w:rPr>
                <w:rFonts w:ascii="Times New Roman" w:hAnsi="Times New Roman" w:cs="Times New Roman"/>
                <w:color w:val="000000"/>
                <w:sz w:val="24"/>
                <w:szCs w:val="24"/>
              </w:rPr>
              <w:t xml:space="preserve"> shēma tiek iesniegta visām 3 pusēm, EPT aicina paredzēt, ka par atbalsta apturēšanu un atsākšanu tiek pieņemts BVKB kā uzraugošās iestādes lēmums.</w:t>
            </w:r>
          </w:p>
          <w:p w14:paraId="4EE50EFB" w14:textId="77777777" w:rsidR="000618AB" w:rsidRDefault="000618AB" w:rsidP="000618AB">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Līdz ar to EPT piedāvā noteikumu 75.punktu izteikt šādā redakcijā:</w:t>
            </w:r>
            <w:r>
              <w:rPr>
                <w:rFonts w:ascii="Times New Roman" w:hAnsi="Times New Roman" w:cs="Times New Roman"/>
                <w:color w:val="000000"/>
                <w:sz w:val="24"/>
                <w:szCs w:val="24"/>
              </w:rPr>
              <w:br/>
            </w:r>
            <w:r>
              <w:rPr>
                <w:rFonts w:ascii="Times New Roman" w:hAnsi="Times New Roman" w:cs="Times New Roman"/>
                <w:color w:val="000000"/>
                <w:sz w:val="24"/>
                <w:szCs w:val="24"/>
              </w:rPr>
              <w:tab/>
              <w:t xml:space="preserve">“75. Ja komersanti šo noteikumu 74. punktā minētajā termiņā nav iesnieguši sistēmas operatoram, publiskajam tirgotājam un birojam šo noteikumu 25. punktā minēto principiālo </w:t>
            </w:r>
            <w:proofErr w:type="spellStart"/>
            <w:r>
              <w:rPr>
                <w:rFonts w:ascii="Times New Roman" w:hAnsi="Times New Roman" w:cs="Times New Roman"/>
                <w:color w:val="000000"/>
                <w:sz w:val="24"/>
                <w:szCs w:val="24"/>
              </w:rPr>
              <w:t>pieslēguma</w:t>
            </w:r>
            <w:proofErr w:type="spellEnd"/>
            <w:r>
              <w:rPr>
                <w:rFonts w:ascii="Times New Roman" w:hAnsi="Times New Roman" w:cs="Times New Roman"/>
                <w:color w:val="000000"/>
                <w:sz w:val="24"/>
                <w:szCs w:val="24"/>
              </w:rPr>
              <w:t xml:space="preserve"> shēmu, birojs pieņem lēmumu apturēt valsts atbalstu ar 2021. gada 1.augustu. Pēc šo noteikumu 25. punktā minētās principiālās </w:t>
            </w:r>
            <w:proofErr w:type="spellStart"/>
            <w:r>
              <w:rPr>
                <w:rFonts w:ascii="Times New Roman" w:hAnsi="Times New Roman" w:cs="Times New Roman"/>
                <w:color w:val="000000"/>
                <w:sz w:val="24"/>
                <w:szCs w:val="24"/>
              </w:rPr>
              <w:t>pieslēguma</w:t>
            </w:r>
            <w:proofErr w:type="spellEnd"/>
            <w:r>
              <w:rPr>
                <w:rFonts w:ascii="Times New Roman" w:hAnsi="Times New Roman" w:cs="Times New Roman"/>
                <w:color w:val="000000"/>
                <w:sz w:val="24"/>
                <w:szCs w:val="24"/>
              </w:rPr>
              <w:t xml:space="preserve"> shēmas iesniegšanas sistēmas operatoram, publiskajam tirgotājam un birojam, birojs pieņem lēmumu atsākt valsts atbalstu ar nākamā pilnā kalendāra mēneša pirmo datumu.”</w:t>
            </w:r>
          </w:p>
          <w:p w14:paraId="447C8142" w14:textId="77777777" w:rsidR="000618AB" w:rsidRDefault="000618AB" w:rsidP="000618AB">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Vienlaikus aicinām izvērtēt nepieciešamību pārskatīt noteikumu 74. un 75.punktā paredzēto pienākumu izpildes termiņus, ņemot vērā Grozījumu 560.noteikumos un Grozījumu 560.noteikumos virzības laika grafiku.</w:t>
            </w:r>
          </w:p>
          <w:p w14:paraId="7777A527" w14:textId="77777777" w:rsidR="000618AB" w:rsidRDefault="000618AB" w:rsidP="000618AB">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3. Grozījumu 560.noteikumos anotācijā ir norādīts:</w:t>
            </w:r>
          </w:p>
          <w:p w14:paraId="4407C3C0" w14:textId="77777777" w:rsidR="000618AB" w:rsidRDefault="000618AB" w:rsidP="000618AB">
            <w:pPr>
              <w:keepLines/>
              <w:autoSpaceDE w:val="0"/>
              <w:autoSpaceDN w:val="0"/>
              <w:adjustRightInd w:val="0"/>
              <w:spacing w:after="240" w:line="240" w:lineRule="auto"/>
              <w:ind w:firstLine="720"/>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 xml:space="preserve">“Projektā tiek paredzēts noteikt, ka situācijā, kad ticis apturēts valsts atbalsts, komersants saražoto elektroenerģiju var pārdot jebkuram tirgus dalībniekam. Savukārt, ja komersants izvēlas pārdot elektroenerģiju EPT, tad cena tiek aprēķināta saskaņā ar noteikumos ietvertu formulu, kuras būtība ir tāda, ka šī cena tiek aprēķināta, ņemot vērā elektroenerģijas biržas Nord </w:t>
            </w:r>
            <w:proofErr w:type="spellStart"/>
            <w:r>
              <w:rPr>
                <w:rFonts w:ascii="Times New Roman" w:hAnsi="Times New Roman" w:cs="Times New Roman"/>
                <w:i/>
                <w:iCs/>
                <w:color w:val="000000"/>
                <w:sz w:val="24"/>
                <w:szCs w:val="24"/>
              </w:rPr>
              <w:t>Pool</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Spot</w:t>
            </w:r>
            <w:proofErr w:type="spellEnd"/>
            <w:r>
              <w:rPr>
                <w:rFonts w:ascii="Times New Roman" w:hAnsi="Times New Roman" w:cs="Times New Roman"/>
                <w:i/>
                <w:iCs/>
                <w:color w:val="000000"/>
                <w:sz w:val="24"/>
                <w:szCs w:val="24"/>
              </w:rPr>
              <w:t xml:space="preserve"> Latvijas tirdzniecības apgabala (</w:t>
            </w:r>
            <w:proofErr w:type="spellStart"/>
            <w:r>
              <w:rPr>
                <w:rFonts w:ascii="Times New Roman" w:hAnsi="Times New Roman" w:cs="Times New Roman"/>
                <w:i/>
                <w:iCs/>
                <w:color w:val="000000"/>
                <w:sz w:val="24"/>
                <w:szCs w:val="24"/>
              </w:rPr>
              <w:t>Elspot</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ikstundas</w:t>
            </w:r>
            <w:proofErr w:type="spellEnd"/>
            <w:r>
              <w:rPr>
                <w:rFonts w:ascii="Times New Roman" w:hAnsi="Times New Roman" w:cs="Times New Roman"/>
                <w:i/>
                <w:iCs/>
                <w:color w:val="000000"/>
                <w:sz w:val="24"/>
                <w:szCs w:val="24"/>
              </w:rPr>
              <w:t xml:space="preserve"> cenu, pieskaitot EPT administratīvās izmaksas un pievienotās vērtības nodokli.”</w:t>
            </w:r>
          </w:p>
          <w:p w14:paraId="78ED7CE1" w14:textId="77777777" w:rsidR="000618AB" w:rsidRDefault="000618AB" w:rsidP="000618AB">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EPT aicina precizēt anotācijā norādīto atbilstoši Grozījumu 560.noteikumos 11.punktā minētajai formulai un izteikt to šādā redakcijā:</w:t>
            </w:r>
          </w:p>
          <w:p w14:paraId="49DCC5AA" w14:textId="77777777" w:rsidR="000618AB" w:rsidRDefault="000618AB" w:rsidP="000618AB">
            <w:pPr>
              <w:keepLines/>
              <w:autoSpaceDE w:val="0"/>
              <w:autoSpaceDN w:val="0"/>
              <w:adjustRightInd w:val="0"/>
              <w:spacing w:after="240" w:line="240" w:lineRule="auto"/>
              <w:ind w:firstLine="720"/>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 xml:space="preserve">“Projektā tiek paredzēts noteikt, ka situācijā, kad ticis apturēts valsts atbalsts, komersants saražoto elektroenerģiju var pārdot jebkuram tirgus dalībniekam. Savukārt, ja komersants izvēlas pārdot elektroenerģiju EPT, tad cena tiek aprēķināta saskaņā ar noteikumos ietvertu formulu, kuras būtība ir tāda, ka šī cena tiek aprēķināta, ņemot vērā elektroenerģijas biržas Nord </w:t>
            </w:r>
            <w:proofErr w:type="spellStart"/>
            <w:r>
              <w:rPr>
                <w:rFonts w:ascii="Times New Roman" w:hAnsi="Times New Roman" w:cs="Times New Roman"/>
                <w:i/>
                <w:iCs/>
                <w:color w:val="000000"/>
                <w:sz w:val="24"/>
                <w:szCs w:val="24"/>
              </w:rPr>
              <w:t>Pool</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Spot</w:t>
            </w:r>
            <w:proofErr w:type="spellEnd"/>
            <w:r>
              <w:rPr>
                <w:rFonts w:ascii="Times New Roman" w:hAnsi="Times New Roman" w:cs="Times New Roman"/>
                <w:i/>
                <w:iCs/>
                <w:color w:val="000000"/>
                <w:sz w:val="24"/>
                <w:szCs w:val="24"/>
              </w:rPr>
              <w:t xml:space="preserve"> Latvijas tirdzniecības apgabala (</w:t>
            </w:r>
            <w:proofErr w:type="spellStart"/>
            <w:r>
              <w:rPr>
                <w:rFonts w:ascii="Times New Roman" w:hAnsi="Times New Roman" w:cs="Times New Roman"/>
                <w:i/>
                <w:iCs/>
                <w:color w:val="000000"/>
                <w:sz w:val="24"/>
                <w:szCs w:val="24"/>
              </w:rPr>
              <w:t>Elspot</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ikstundas</w:t>
            </w:r>
            <w:proofErr w:type="spellEnd"/>
            <w:r>
              <w:rPr>
                <w:rFonts w:ascii="Times New Roman" w:hAnsi="Times New Roman" w:cs="Times New Roman"/>
                <w:i/>
                <w:iCs/>
                <w:color w:val="000000"/>
                <w:sz w:val="24"/>
                <w:szCs w:val="24"/>
              </w:rPr>
              <w:t xml:space="preserve"> cenu, </w:t>
            </w:r>
            <w:r>
              <w:rPr>
                <w:rFonts w:ascii="Times New Roman" w:hAnsi="Times New Roman" w:cs="Times New Roman"/>
                <w:i/>
                <w:iCs/>
                <w:color w:val="000000"/>
                <w:sz w:val="24"/>
                <w:szCs w:val="24"/>
                <w:u w:val="single"/>
              </w:rPr>
              <w:t>no tās atņemot publiskā tirgotāja no elektrostacijas iepirktās elektroenerģijas pārdošanas un balansēšanas izmaksas bez pievienotās vērtības nodokļa.</w:t>
            </w:r>
            <w:r>
              <w:rPr>
                <w:rFonts w:ascii="Times New Roman" w:hAnsi="Times New Roman" w:cs="Times New Roman"/>
                <w:i/>
                <w:iCs/>
                <w:color w:val="000000"/>
                <w:sz w:val="24"/>
                <w:szCs w:val="24"/>
              </w:rPr>
              <w:t>”</w:t>
            </w:r>
          </w:p>
          <w:p w14:paraId="3597E366" w14:textId="77777777" w:rsidR="000618AB" w:rsidRDefault="000618AB" w:rsidP="000618AB">
            <w:pPr>
              <w:keepLines/>
              <w:autoSpaceDE w:val="0"/>
              <w:autoSpaceDN w:val="0"/>
              <w:adjustRightInd w:val="0"/>
              <w:spacing w:after="240" w:line="240" w:lineRule="auto"/>
              <w:ind w:firstLine="720"/>
              <w:jc w:val="both"/>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Attiecībā uz Grozījumiem 561.noteikumos:</w:t>
            </w:r>
          </w:p>
          <w:p w14:paraId="1EFB9553" w14:textId="05B83B3E" w:rsidR="000618AB" w:rsidRDefault="000618AB" w:rsidP="000618AB">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Lai arī Grozījumu 561.noteikumos izziņā norādīts, ka ņemts vērā EPT 2021.gada 13.aprīļa atzinumā Nr. 40VL00-11/31 norādītais attiecībā uz noteikumu 48.7.apakšpunktu, EPT vērš uzmanību, ka piedāvātajā šī apakšpunkta gala redakcijā EPT priekšlikums nav ņemts vērā, jo tas joprojām paredz sankcijas tikai par konstatētu nepatiesu informāciju attiecībā uz biogāzes elektrostaciju izejvielām un faktiskās situācijas neatbilstības konstatējumu no iesniegtajiem gada pārskatiem. </w:t>
            </w:r>
          </w:p>
          <w:p w14:paraId="07C5801C" w14:textId="77777777" w:rsidR="00CC6D2F" w:rsidRDefault="00CC6D2F" w:rsidP="000618AB">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p>
          <w:p w14:paraId="349C5FC1" w14:textId="77777777" w:rsidR="000618AB" w:rsidRDefault="000618AB" w:rsidP="000618AB">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EPT atkārtoti aicina šo apakšpunktu papildināt arī ar rīcību gadījumos, kad Būvniecības valsts kontroles birojs (turpmāk – BVKB) konstatē ražotāja nepatiesas informācijas iesniegšanu EPT attiecībā uz koģenerācijas stacijā patērēto kurināmā daudzumu un lietderīgās siltumenerģijas daudzumu un šāda minētās informācijas neatbilstība ietekmējusi izmaksājamā atbalsta apmēru, tādējādi EPT iepirkusi elektroenerģiju obligātā iepirkuma ietvaros par lielāku cenu vai lielākā apmērā, nekā pienāktos, ne tikai izvērtējot gada pārskatā sniegto informāciju, bet jebkurā brīdī uzraudzības īstenošanas laikā. </w:t>
            </w:r>
          </w:p>
          <w:p w14:paraId="6E123757" w14:textId="77777777" w:rsidR="000618AB" w:rsidRDefault="000618AB" w:rsidP="000618AB">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Līdz ar to EPT piedāvā 48.7.apakšpunktu izteikt šādā redakcijā:</w:t>
            </w:r>
          </w:p>
          <w:p w14:paraId="4BE208B4" w14:textId="77777777" w:rsidR="000618AB" w:rsidRDefault="000618AB" w:rsidP="000618AB">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“48.7. ja birojs konstatē, ka komersanta iesniegtā šo noteikumu </w:t>
            </w:r>
            <w:hyperlink r:id="rId8" w:history="1">
              <w:r>
                <w:rPr>
                  <w:rFonts w:ascii="Times New Roman" w:hAnsi="Times New Roman" w:cs="Times New Roman"/>
                  <w:color w:val="000000"/>
                  <w:sz w:val="24"/>
                  <w:szCs w:val="24"/>
                </w:rPr>
                <w:t>74. punktā</w:t>
              </w:r>
            </w:hyperlink>
            <w:r>
              <w:rPr>
                <w:rFonts w:ascii="Times New Roman" w:hAnsi="Times New Roman" w:cs="Times New Roman"/>
                <w:color w:val="000000"/>
                <w:sz w:val="24"/>
                <w:szCs w:val="24"/>
              </w:rPr>
              <w:t xml:space="preserve"> minētā informācija </w:t>
            </w:r>
            <w:r>
              <w:rPr>
                <w:rFonts w:ascii="Times New Roman" w:hAnsi="Times New Roman" w:cs="Times New Roman"/>
                <w:color w:val="000000"/>
                <w:sz w:val="24"/>
                <w:szCs w:val="24"/>
                <w:u w:val="single"/>
              </w:rPr>
              <w:t>vai informācija par koģenerācijas stacijā patērēto kurināmā daudzumu un lietderīgās siltumenerģijas daudzumu</w:t>
            </w:r>
            <w:r>
              <w:rPr>
                <w:rFonts w:ascii="Times New Roman" w:hAnsi="Times New Roman" w:cs="Times New Roman"/>
                <w:color w:val="000000"/>
                <w:sz w:val="24"/>
                <w:szCs w:val="24"/>
              </w:rPr>
              <w:t xml:space="preserve">, ko komersants iesniedz publiskajam tirgotājam, vai šo noteikumu </w:t>
            </w:r>
            <w:hyperlink r:id="rId9" w:history="1">
              <w:r>
                <w:rPr>
                  <w:rFonts w:ascii="Times New Roman" w:hAnsi="Times New Roman" w:cs="Times New Roman"/>
                  <w:color w:val="000000"/>
                  <w:sz w:val="24"/>
                  <w:szCs w:val="24"/>
                </w:rPr>
                <w:t>32. punktā</w:t>
              </w:r>
            </w:hyperlink>
            <w:r>
              <w:rPr>
                <w:rFonts w:ascii="Times New Roman" w:hAnsi="Times New Roman" w:cs="Times New Roman"/>
                <w:color w:val="000000"/>
                <w:sz w:val="24"/>
                <w:szCs w:val="24"/>
              </w:rPr>
              <w:t xml:space="preserve"> minētajā gada pārskatā minētā informācija neatbilst faktiskajai situācijai un šāda minētās informācijas neatbilstība ietekmējusi izmaksājamā atbalsta apmēru, tādējādi publiskais tirgotājs iepircis elektroenerģiju obligātā iepirkuma ietvaros par lielāku cenu vai lielākā apmērā, nekā pienāktos”.</w:t>
            </w:r>
          </w:p>
          <w:p w14:paraId="3974C439" w14:textId="77777777" w:rsidR="000618AB" w:rsidRDefault="000618AB" w:rsidP="000618AB">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2. Attiecībā uz plānoto noteikumu 48.10.apakšpunkta redakciju, EPT vērš uzmanību, ka sankcijas, ja elektroenerģija nav ražota augstas efektivitātes koģenerācijā jau ir paredzētas piedāvātajā noteikumu 48.9.apakšpunktā, bet ja nav iesniegts 31.</w:t>
            </w:r>
            <w:r>
              <w:rPr>
                <w:rFonts w:ascii="Times New Roman" w:hAnsi="Times New Roman" w:cs="Times New Roman"/>
                <w:color w:val="000000"/>
                <w:sz w:val="24"/>
                <w:szCs w:val="24"/>
                <w:vertAlign w:val="superscript"/>
              </w:rPr>
              <w:t xml:space="preserve">3 </w:t>
            </w:r>
            <w:r>
              <w:rPr>
                <w:rFonts w:ascii="Times New Roman" w:hAnsi="Times New Roman" w:cs="Times New Roman"/>
                <w:color w:val="000000"/>
                <w:sz w:val="24"/>
                <w:szCs w:val="24"/>
              </w:rPr>
              <w:t xml:space="preserve"> punktā minētais apliecinājums, sankcijas ir paredzētas piedāvātajā noteikumu 57.</w:t>
            </w:r>
            <w:r>
              <w:rPr>
                <w:rFonts w:ascii="Times New Roman" w:hAnsi="Times New Roman" w:cs="Times New Roman"/>
                <w:color w:val="000000"/>
                <w:sz w:val="24"/>
                <w:szCs w:val="24"/>
                <w:vertAlign w:val="superscript"/>
              </w:rPr>
              <w:t>4</w:t>
            </w:r>
            <w:r>
              <w:rPr>
                <w:rFonts w:ascii="Times New Roman" w:hAnsi="Times New Roman" w:cs="Times New Roman"/>
                <w:color w:val="000000"/>
                <w:sz w:val="24"/>
                <w:szCs w:val="24"/>
              </w:rPr>
              <w:t xml:space="preserve"> punktā. Līdz ar to EPT aicina precizēt plānoto 48.10.apakšpunktu, tajā paredzēt rīcību gadījumā, ja ražotājs ir iesniedzis apliecinājumu, ka konkrētā deklarācijas periodā jeb mēnesī nav ražojis elektroenerģiju augstas efektivitātes koģenerācijā, kā rezultātā EPT par šo periodu nav varējusi saņemt šīs koģenerācijas stacijas izcelsmes apliecinājumus, kā to paredz Elektroenerģijas tirgus likuma 29.</w:t>
            </w:r>
            <w:r>
              <w:rPr>
                <w:rFonts w:ascii="Times New Roman" w:hAnsi="Times New Roman" w:cs="Times New Roman"/>
                <w:color w:val="000000"/>
                <w:sz w:val="24"/>
                <w:szCs w:val="24"/>
                <w:vertAlign w:val="superscript"/>
              </w:rPr>
              <w:t xml:space="preserve">2 </w:t>
            </w:r>
            <w:r>
              <w:rPr>
                <w:rFonts w:ascii="Times New Roman" w:hAnsi="Times New Roman" w:cs="Times New Roman"/>
                <w:color w:val="000000"/>
                <w:sz w:val="24"/>
                <w:szCs w:val="24"/>
              </w:rPr>
              <w:t>pants, bet BVKB pēc tam konstatē, ka elektroenerģija attiecīgajā deklarācijas periodā, par kuru iesniegts apliecinājums nevis augstas efektivitātes koģenerācijas deklarācija, elektroenerģija tomēr ir ražota augstas efektivitātes koģenerācijā.</w:t>
            </w:r>
          </w:p>
          <w:p w14:paraId="4F988896" w14:textId="77777777" w:rsidR="000618AB" w:rsidRDefault="000618AB" w:rsidP="000618AB">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Līdz ar to EPT piedāvā noteikumu 48.10.apakšpunktu izteikt šādā redakcijā:</w:t>
            </w:r>
          </w:p>
          <w:p w14:paraId="29BCC014" w14:textId="77777777" w:rsidR="000618AB" w:rsidRDefault="000618AB" w:rsidP="000618AB">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“48.10. ja birojs konstatē, ka koģenerācijas stacija, par kuru iesniegts šo noteikumu 31.</w:t>
            </w:r>
            <w:r>
              <w:rPr>
                <w:rFonts w:ascii="Times New Roman" w:hAnsi="Times New Roman" w:cs="Times New Roman"/>
                <w:color w:val="000000"/>
                <w:sz w:val="24"/>
                <w:szCs w:val="24"/>
                <w:vertAlign w:val="superscript"/>
              </w:rPr>
              <w:t>3</w:t>
            </w:r>
            <w:r>
              <w:rPr>
                <w:rFonts w:ascii="Times New Roman" w:hAnsi="Times New Roman" w:cs="Times New Roman"/>
                <w:color w:val="000000"/>
                <w:sz w:val="24"/>
                <w:szCs w:val="24"/>
              </w:rPr>
              <w:t xml:space="preserve"> punktā minētais apliecinājums, ka elektroenerģija nav ražota augstas efektivitātes koģenerācijā, attiecīgajā periodā elektroenerģiju ir ražojusi augstas efektivitātes koģenerācijā”.</w:t>
            </w:r>
          </w:p>
          <w:p w14:paraId="49219416" w14:textId="77777777" w:rsidR="000618AB" w:rsidRDefault="000618AB" w:rsidP="000618AB">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3. Ņemot vērā, ka Grozījumu 561.noteikumos projektā ir paredzēts, ka gadījumā, ja elektrostaciju apvienošanas rezultātā kopējā koģenerācijas stacijas jauda pārsniedz 4 MW, tad atbalsts joprojām tiek turpināts obligātā iepirkuma veidā, nepieciešams precizēt arī pašreiz spēkā esošo noteikumu 67.punktu, tajā papildinot, ka šāda iepirkuma cenas aprēķina formula attiecināma arī uz koģenerācijas stacijām, kas izveidotas, apvienojoties vairākām elektrostacijām saskaņā ar šo noteikumu 49.</w:t>
            </w:r>
            <w:r>
              <w:rPr>
                <w:rFonts w:ascii="Times New Roman" w:hAnsi="Times New Roman" w:cs="Times New Roman"/>
                <w:color w:val="000000"/>
                <w:sz w:val="24"/>
                <w:szCs w:val="24"/>
                <w:vertAlign w:val="superscript"/>
              </w:rPr>
              <w:t>4</w:t>
            </w:r>
            <w:r>
              <w:rPr>
                <w:rFonts w:ascii="Times New Roman" w:hAnsi="Times New Roman" w:cs="Times New Roman"/>
                <w:color w:val="000000"/>
                <w:sz w:val="24"/>
                <w:szCs w:val="24"/>
              </w:rPr>
              <w:t xml:space="preserve">  punktu, gadījumā, ja to kopējā uzstādītā jauda pārsniedz 4 MW.</w:t>
            </w:r>
          </w:p>
          <w:p w14:paraId="283ADB26" w14:textId="77777777" w:rsidR="000618AB" w:rsidRDefault="000618AB" w:rsidP="000618AB">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Tāpat nepieciešams precizēt spēkā esošās noteikumu redakcijas 6.pielikuma tabulu, tajā norādot koeficientu </w:t>
            </w:r>
            <w:proofErr w:type="spellStart"/>
            <w:r>
              <w:rPr>
                <w:rFonts w:ascii="Times New Roman" w:hAnsi="Times New Roman" w:cs="Times New Roman"/>
                <w:color w:val="000000"/>
                <w:sz w:val="24"/>
                <w:szCs w:val="24"/>
              </w:rPr>
              <w:t>k</w:t>
            </w:r>
            <w:r>
              <w:rPr>
                <w:rFonts w:ascii="Times New Roman" w:hAnsi="Times New Roman" w:cs="Times New Roman"/>
                <w:color w:val="000000"/>
                <w:sz w:val="24"/>
                <w:szCs w:val="24"/>
                <w:vertAlign w:val="subscript"/>
              </w:rPr>
              <w:t>AER</w:t>
            </w:r>
            <w:proofErr w:type="spellEnd"/>
            <w:r>
              <w:rPr>
                <w:rFonts w:ascii="Times New Roman" w:hAnsi="Times New Roman" w:cs="Times New Roman"/>
                <w:color w:val="000000"/>
                <w:sz w:val="24"/>
                <w:szCs w:val="24"/>
                <w:vertAlign w:val="subscript"/>
              </w:rPr>
              <w:t xml:space="preserve"> </w:t>
            </w:r>
            <w:r>
              <w:rPr>
                <w:rFonts w:ascii="Times New Roman" w:hAnsi="Times New Roman" w:cs="Times New Roman"/>
                <w:color w:val="000000"/>
                <w:sz w:val="24"/>
                <w:szCs w:val="24"/>
              </w:rPr>
              <w:t>un k vērtības arī pie uzstādītās jaudas, kas pārsniedz 4 MW, jo pašreizējā redakcijā tie ir noteikti koģenerācijas stacijām ar jaudu līdz 4 MW.</w:t>
            </w:r>
          </w:p>
          <w:p w14:paraId="74F5FB65" w14:textId="77777777" w:rsidR="000618AB" w:rsidRDefault="000618AB" w:rsidP="000618AB">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4. Grozījumu 561.noteikumos anotācijā ir norādīts:</w:t>
            </w:r>
          </w:p>
          <w:p w14:paraId="1BBA538B" w14:textId="77777777" w:rsidR="000618AB" w:rsidRDefault="000618AB" w:rsidP="000618AB">
            <w:pPr>
              <w:keepLines/>
              <w:autoSpaceDE w:val="0"/>
              <w:autoSpaceDN w:val="0"/>
              <w:adjustRightInd w:val="0"/>
              <w:spacing w:after="240" w:line="240" w:lineRule="auto"/>
              <w:ind w:firstLine="720"/>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 xml:space="preserve">“Projektā tiek paredzēts noteikt, ka situācijā, kad ticis apturēts valsts atbalsts, </w:t>
            </w:r>
            <w:r>
              <w:rPr>
                <w:rFonts w:ascii="Times New Roman" w:hAnsi="Times New Roman" w:cs="Times New Roman"/>
                <w:i/>
                <w:iCs/>
                <w:color w:val="000000"/>
                <w:sz w:val="24"/>
                <w:szCs w:val="24"/>
              </w:rPr>
              <w:lastRenderedPageBreak/>
              <w:t xml:space="preserve">komersants saražoto elektroenerģiju var pārdot jebkuram tirgus dalībniekam. Savukārt, ja komersants izvēlas pārdot elektroenerģiju EPT, tad cena tiek aprēķināta saskaņā ar noteikumos ietvertu formulu, kuras būtība ir tāda, ka šī cena tiek aprēķināta, ņemot vērā elektroenerģijas biržas Nord </w:t>
            </w:r>
            <w:proofErr w:type="spellStart"/>
            <w:r>
              <w:rPr>
                <w:rFonts w:ascii="Times New Roman" w:hAnsi="Times New Roman" w:cs="Times New Roman"/>
                <w:i/>
                <w:iCs/>
                <w:color w:val="000000"/>
                <w:sz w:val="24"/>
                <w:szCs w:val="24"/>
              </w:rPr>
              <w:t>Pool</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Spot</w:t>
            </w:r>
            <w:proofErr w:type="spellEnd"/>
            <w:r>
              <w:rPr>
                <w:rFonts w:ascii="Times New Roman" w:hAnsi="Times New Roman" w:cs="Times New Roman"/>
                <w:i/>
                <w:iCs/>
                <w:color w:val="000000"/>
                <w:sz w:val="24"/>
                <w:szCs w:val="24"/>
              </w:rPr>
              <w:t xml:space="preserve"> Latvijas tirdzniecības apgabala (</w:t>
            </w:r>
            <w:proofErr w:type="spellStart"/>
            <w:r>
              <w:rPr>
                <w:rFonts w:ascii="Times New Roman" w:hAnsi="Times New Roman" w:cs="Times New Roman"/>
                <w:i/>
                <w:iCs/>
                <w:color w:val="000000"/>
                <w:sz w:val="24"/>
                <w:szCs w:val="24"/>
              </w:rPr>
              <w:t>Elspot</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ikstundas</w:t>
            </w:r>
            <w:proofErr w:type="spellEnd"/>
            <w:r>
              <w:rPr>
                <w:rFonts w:ascii="Times New Roman" w:hAnsi="Times New Roman" w:cs="Times New Roman"/>
                <w:i/>
                <w:iCs/>
                <w:color w:val="000000"/>
                <w:sz w:val="24"/>
                <w:szCs w:val="24"/>
              </w:rPr>
              <w:t xml:space="preserve"> cenu, pieskaitot EPT administratīvās izmaksas un pievienotās vērtības nodokli.”</w:t>
            </w:r>
          </w:p>
          <w:p w14:paraId="5623CD18" w14:textId="77777777" w:rsidR="000618AB" w:rsidRDefault="000618AB" w:rsidP="000618AB">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EPT aicina precizēt anotācijā norādīto atbilstoši Grozījumu 561.noteikumos 35.punktā minētajai formulai un izteikt to šādā redakcijā:</w:t>
            </w:r>
          </w:p>
          <w:p w14:paraId="367FE424" w14:textId="77777777" w:rsidR="000618AB" w:rsidRDefault="000618AB" w:rsidP="000618AB">
            <w:pPr>
              <w:keepLines/>
              <w:autoSpaceDE w:val="0"/>
              <w:autoSpaceDN w:val="0"/>
              <w:adjustRightInd w:val="0"/>
              <w:spacing w:after="240" w:line="240" w:lineRule="auto"/>
              <w:ind w:firstLine="720"/>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 xml:space="preserve">“Projektā tiek paredzēts noteikt, ka situācijā, kad ticis apturēts valsts atbalsts, komersants saražoto elektroenerģiju var pārdot jebkuram tirgus dalībniekam. Savukārt, ja komersants izvēlas pārdot elektroenerģiju EPT, tad cena tiek aprēķināta saskaņā ar noteikumos ietvertu formulu, kuras būtība ir tāda, ka šī cena tiek aprēķināta, ņemot vērā elektroenerģijas biržas Nord </w:t>
            </w:r>
            <w:proofErr w:type="spellStart"/>
            <w:r>
              <w:rPr>
                <w:rFonts w:ascii="Times New Roman" w:hAnsi="Times New Roman" w:cs="Times New Roman"/>
                <w:i/>
                <w:iCs/>
                <w:color w:val="000000"/>
                <w:sz w:val="24"/>
                <w:szCs w:val="24"/>
              </w:rPr>
              <w:t>Pool</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Spot</w:t>
            </w:r>
            <w:proofErr w:type="spellEnd"/>
            <w:r>
              <w:rPr>
                <w:rFonts w:ascii="Times New Roman" w:hAnsi="Times New Roman" w:cs="Times New Roman"/>
                <w:i/>
                <w:iCs/>
                <w:color w:val="000000"/>
                <w:sz w:val="24"/>
                <w:szCs w:val="24"/>
              </w:rPr>
              <w:t xml:space="preserve"> Latvijas tirdzniecības apgabala (</w:t>
            </w:r>
            <w:proofErr w:type="spellStart"/>
            <w:r>
              <w:rPr>
                <w:rFonts w:ascii="Times New Roman" w:hAnsi="Times New Roman" w:cs="Times New Roman"/>
                <w:i/>
                <w:iCs/>
                <w:color w:val="000000"/>
                <w:sz w:val="24"/>
                <w:szCs w:val="24"/>
              </w:rPr>
              <w:t>Elspot</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ikstundas</w:t>
            </w:r>
            <w:proofErr w:type="spellEnd"/>
            <w:r>
              <w:rPr>
                <w:rFonts w:ascii="Times New Roman" w:hAnsi="Times New Roman" w:cs="Times New Roman"/>
                <w:i/>
                <w:iCs/>
                <w:color w:val="000000"/>
                <w:sz w:val="24"/>
                <w:szCs w:val="24"/>
              </w:rPr>
              <w:t xml:space="preserve"> cenu, </w:t>
            </w:r>
            <w:r>
              <w:rPr>
                <w:rFonts w:ascii="Times New Roman" w:hAnsi="Times New Roman" w:cs="Times New Roman"/>
                <w:i/>
                <w:iCs/>
                <w:color w:val="000000"/>
                <w:sz w:val="24"/>
                <w:szCs w:val="24"/>
                <w:u w:val="single"/>
              </w:rPr>
              <w:t>no tās atņemot publiskā tirgotāja no elektrostacijas iepirktās elektroenerģijas pārdošanas un balansēšanas izmaksas bez pievienotās vērtības nodokļa.</w:t>
            </w:r>
            <w:r>
              <w:rPr>
                <w:rFonts w:ascii="Times New Roman" w:hAnsi="Times New Roman" w:cs="Times New Roman"/>
                <w:i/>
                <w:iCs/>
                <w:color w:val="000000"/>
                <w:sz w:val="24"/>
                <w:szCs w:val="24"/>
              </w:rPr>
              <w:t>”</w:t>
            </w:r>
          </w:p>
        </w:tc>
      </w:tr>
    </w:tbl>
    <w:p w14:paraId="76A31FF9" w14:textId="77777777" w:rsidR="000618AB" w:rsidRDefault="000618AB" w:rsidP="000618AB">
      <w:pPr>
        <w:autoSpaceDE w:val="0"/>
        <w:autoSpaceDN w:val="0"/>
        <w:adjustRightInd w:val="0"/>
        <w:spacing w:after="0" w:line="240" w:lineRule="auto"/>
        <w:rPr>
          <w:rFonts w:ascii="Times New Roman" w:hAnsi="Times New Roman" w:cs="Times New Roman"/>
          <w:i/>
          <w:iCs/>
          <w:color w:val="000000"/>
          <w:sz w:val="24"/>
          <w:szCs w:val="24"/>
        </w:rPr>
      </w:pPr>
    </w:p>
    <w:p w14:paraId="6B0E8951" w14:textId="77777777" w:rsidR="000618AB" w:rsidRDefault="000618AB" w:rsidP="000618AB">
      <w:pPr>
        <w:autoSpaceDE w:val="0"/>
        <w:autoSpaceDN w:val="0"/>
        <w:adjustRightInd w:val="0"/>
        <w:spacing w:after="0" w:line="240" w:lineRule="auto"/>
        <w:rPr>
          <w:rFonts w:ascii="Times New Roman" w:hAnsi="Times New Roman" w:cs="Times New Roman"/>
          <w:i/>
          <w:iCs/>
          <w:color w:val="000000"/>
          <w:sz w:val="24"/>
          <w:szCs w:val="24"/>
        </w:rPr>
      </w:pPr>
    </w:p>
    <w:p w14:paraId="27B6DDFD" w14:textId="77777777" w:rsidR="000618AB" w:rsidRDefault="000618AB" w:rsidP="000618AB">
      <w:pPr>
        <w:autoSpaceDE w:val="0"/>
        <w:autoSpaceDN w:val="0"/>
        <w:adjustRightInd w:val="0"/>
        <w:spacing w:after="0" w:line="240" w:lineRule="auto"/>
        <w:rPr>
          <w:rFonts w:ascii="Times New Roman" w:hAnsi="Times New Roman" w:cs="Times New Roman"/>
          <w:i/>
          <w:iCs/>
          <w:color w:val="000000"/>
          <w:sz w:val="20"/>
          <w:szCs w:val="20"/>
        </w:rPr>
      </w:pPr>
      <w:r>
        <w:rPr>
          <w:rFonts w:ascii="Times New Roman" w:hAnsi="Times New Roman" w:cs="Times New Roman"/>
          <w:i/>
          <w:iCs/>
          <w:color w:val="000000"/>
          <w:sz w:val="20"/>
          <w:szCs w:val="20"/>
        </w:rPr>
        <w:t>Šis dokuments ir parakstīts ar drošu elektronisko parakstu un satur laika zīmogu.</w:t>
      </w:r>
    </w:p>
    <w:p w14:paraId="2D6F0C9A" w14:textId="77777777" w:rsidR="000618AB" w:rsidRDefault="000618AB" w:rsidP="000618AB">
      <w:pPr>
        <w:autoSpaceDE w:val="0"/>
        <w:autoSpaceDN w:val="0"/>
        <w:adjustRightInd w:val="0"/>
        <w:spacing w:after="0" w:line="240" w:lineRule="auto"/>
        <w:rPr>
          <w:rFonts w:ascii="Times New Roman" w:hAnsi="Times New Roman" w:cs="Times New Roman"/>
          <w:i/>
          <w:iCs/>
          <w:color w:val="000000"/>
          <w:sz w:val="20"/>
          <w:szCs w:val="20"/>
        </w:rPr>
      </w:pPr>
    </w:p>
    <w:tbl>
      <w:tblPr>
        <w:tblW w:w="5000" w:type="pct"/>
        <w:tblCellMar>
          <w:left w:w="0" w:type="dxa"/>
          <w:right w:w="0" w:type="dxa"/>
        </w:tblCellMar>
        <w:tblLook w:val="00A0" w:firstRow="1" w:lastRow="0" w:firstColumn="1" w:lastColumn="0" w:noHBand="0" w:noVBand="0"/>
      </w:tblPr>
      <w:tblGrid>
        <w:gridCol w:w="4386"/>
        <w:gridCol w:w="276"/>
        <w:gridCol w:w="4409"/>
      </w:tblGrid>
      <w:tr w:rsidR="000618AB" w14:paraId="50DD48B6" w14:textId="77777777" w:rsidTr="000618AB">
        <w:tc>
          <w:tcPr>
            <w:tcW w:w="2418" w:type="pct"/>
          </w:tcPr>
          <w:p w14:paraId="184333AF" w14:textId="77777777" w:rsidR="000618AB" w:rsidRDefault="000618AB" w:rsidP="000618AB">
            <w:pPr>
              <w:keepLines/>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Valdes priekšsēdētājs</w:t>
            </w:r>
          </w:p>
        </w:tc>
        <w:tc>
          <w:tcPr>
            <w:tcW w:w="152" w:type="pct"/>
          </w:tcPr>
          <w:p w14:paraId="65227BD7" w14:textId="77777777" w:rsidR="000618AB" w:rsidRDefault="000618AB" w:rsidP="000618AB">
            <w:pPr>
              <w:keepLines/>
              <w:autoSpaceDE w:val="0"/>
              <w:autoSpaceDN w:val="0"/>
              <w:adjustRightInd w:val="0"/>
              <w:spacing w:after="0" w:line="360" w:lineRule="auto"/>
              <w:ind w:left="15"/>
              <w:rPr>
                <w:rFonts w:ascii="Times New Roman" w:hAnsi="Times New Roman" w:cs="Times New Roman"/>
                <w:color w:val="000000"/>
                <w:sz w:val="24"/>
                <w:szCs w:val="24"/>
              </w:rPr>
            </w:pPr>
          </w:p>
        </w:tc>
        <w:tc>
          <w:tcPr>
            <w:tcW w:w="2430" w:type="pct"/>
          </w:tcPr>
          <w:p w14:paraId="76F5DAF1" w14:textId="77777777" w:rsidR="000618AB" w:rsidRDefault="000618AB" w:rsidP="000618AB">
            <w:pPr>
              <w:keepLines/>
              <w:autoSpaceDE w:val="0"/>
              <w:autoSpaceDN w:val="0"/>
              <w:adjustRightInd w:val="0"/>
              <w:spacing w:after="0" w:line="360" w:lineRule="auto"/>
              <w:ind w:left="15" w:right="283"/>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Andris </w:t>
            </w:r>
            <w:proofErr w:type="spellStart"/>
            <w:r>
              <w:rPr>
                <w:rFonts w:ascii="Times New Roman" w:hAnsi="Times New Roman" w:cs="Times New Roman"/>
                <w:color w:val="000000"/>
                <w:sz w:val="24"/>
                <w:szCs w:val="24"/>
              </w:rPr>
              <w:t>Cakuls</w:t>
            </w:r>
            <w:proofErr w:type="spellEnd"/>
          </w:p>
        </w:tc>
      </w:tr>
    </w:tbl>
    <w:p w14:paraId="543B3D04" w14:textId="77777777" w:rsidR="000618AB" w:rsidRDefault="000618AB" w:rsidP="000618AB">
      <w:pPr>
        <w:autoSpaceDE w:val="0"/>
        <w:autoSpaceDN w:val="0"/>
        <w:adjustRightInd w:val="0"/>
        <w:spacing w:after="0" w:line="240" w:lineRule="auto"/>
        <w:rPr>
          <w:rFonts w:ascii="Times New Roman" w:hAnsi="Times New Roman" w:cs="Times New Roman"/>
          <w:color w:val="000000"/>
          <w:sz w:val="24"/>
          <w:szCs w:val="24"/>
        </w:rPr>
      </w:pPr>
    </w:p>
    <w:p w14:paraId="7FA0A68E" w14:textId="77777777" w:rsidR="000618AB" w:rsidRDefault="000618AB" w:rsidP="000618AB">
      <w:pPr>
        <w:autoSpaceDE w:val="0"/>
        <w:autoSpaceDN w:val="0"/>
        <w:adjustRightInd w:val="0"/>
        <w:spacing w:after="0" w:line="240" w:lineRule="auto"/>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0618AB" w14:paraId="34F64DDB" w14:textId="77777777" w:rsidTr="000618AB">
        <w:tc>
          <w:tcPr>
            <w:tcW w:w="5000" w:type="pct"/>
          </w:tcPr>
          <w:p w14:paraId="51228933" w14:textId="77777777" w:rsidR="000618AB" w:rsidRDefault="000618AB" w:rsidP="000618AB">
            <w:pPr>
              <w:keepLines/>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Roberts Meijers 67728431</w:t>
            </w:r>
          </w:p>
        </w:tc>
      </w:tr>
    </w:tbl>
    <w:p w14:paraId="6815ACB6" w14:textId="77777777" w:rsidR="005766AC" w:rsidRPr="00424932" w:rsidRDefault="005766AC" w:rsidP="000618AB"/>
    <w:sectPr w:rsidR="005766AC" w:rsidRPr="00424932" w:rsidSect="007F566F">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92F0C5" w14:textId="77777777" w:rsidR="00F8195E" w:rsidRDefault="00F8195E" w:rsidP="00117405">
      <w:pPr>
        <w:spacing w:after="0" w:line="240" w:lineRule="auto"/>
      </w:pPr>
      <w:r>
        <w:separator/>
      </w:r>
    </w:p>
  </w:endnote>
  <w:endnote w:type="continuationSeparator" w:id="0">
    <w:p w14:paraId="101DDAF9" w14:textId="77777777" w:rsidR="00F8195E" w:rsidRDefault="00F8195E" w:rsidP="00117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6B4B6D" w14:textId="77777777" w:rsidR="00F12024" w:rsidRDefault="00F120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096C2" w14:textId="77777777" w:rsidR="00F12024" w:rsidRDefault="00F120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1B052" w14:textId="77777777" w:rsidR="00F12024" w:rsidRDefault="00F120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5663A5" w14:textId="77777777" w:rsidR="00F8195E" w:rsidRDefault="00F8195E" w:rsidP="00117405">
      <w:pPr>
        <w:spacing w:after="0" w:line="240" w:lineRule="auto"/>
      </w:pPr>
      <w:r>
        <w:separator/>
      </w:r>
    </w:p>
  </w:footnote>
  <w:footnote w:type="continuationSeparator" w:id="0">
    <w:p w14:paraId="310EC3FB" w14:textId="77777777" w:rsidR="00F8195E" w:rsidRDefault="00F8195E" w:rsidP="001174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4AD02A" w14:textId="77777777" w:rsidR="00F12024" w:rsidRDefault="00F120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F3273A" w14:textId="77777777" w:rsidR="00F12024" w:rsidRDefault="00F120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71"/>
    </w:tblGrid>
    <w:tr w:rsidR="007F566F" w:rsidRPr="007F566F" w14:paraId="772A0EE8" w14:textId="77777777" w:rsidTr="007F566F">
      <w:trPr>
        <w:cantSplit/>
        <w:trHeight w:val="3515"/>
        <w:jc w:val="center"/>
      </w:trPr>
      <w:tc>
        <w:tcPr>
          <w:tcW w:w="9061" w:type="dxa"/>
        </w:tcPr>
        <w:p w14:paraId="0C1E081E" w14:textId="77777777" w:rsidR="007F566F" w:rsidRPr="007F566F" w:rsidRDefault="00F12024">
          <w:pPr>
            <w:pStyle w:val="Header"/>
            <w:rPr>
              <w:rFonts w:ascii="Times New Roman" w:hAnsi="Times New Roman" w:cs="Times New Roman"/>
              <w:b/>
              <w:sz w:val="24"/>
              <w:szCs w:val="24"/>
            </w:rPr>
          </w:pPr>
          <w:r>
            <w:rPr>
              <w:rFonts w:ascii="Times New Roman" w:hAnsi="Times New Roman" w:cs="Times New Roman"/>
              <w:noProof/>
              <w:sz w:val="24"/>
              <w:szCs w:val="24"/>
            </w:rPr>
            <w:drawing>
              <wp:anchor distT="0" distB="0" distL="114300" distR="114300" simplePos="0" relativeHeight="251660288" behindDoc="1" locked="0" layoutInCell="1" allowOverlap="1" wp14:anchorId="2F779B5C" wp14:editId="1A8FE0F4">
                <wp:simplePos x="0" y="0"/>
                <wp:positionH relativeFrom="column">
                  <wp:posOffset>-1069340</wp:posOffset>
                </wp:positionH>
                <wp:positionV relativeFrom="paragraph">
                  <wp:posOffset>114935</wp:posOffset>
                </wp:positionV>
                <wp:extent cx="7574400" cy="2012400"/>
                <wp:effectExtent l="0" t="0" r="7620" b="6985"/>
                <wp:wrapNone/>
                <wp:docPr id="3" name="Picture 3"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4400" cy="2012400"/>
                        </a:xfrm>
                        <a:prstGeom prst="rect">
                          <a:avLst/>
                        </a:prstGeom>
                      </pic:spPr>
                    </pic:pic>
                  </a:graphicData>
                </a:graphic>
                <wp14:sizeRelH relativeFrom="page">
                  <wp14:pctWidth>0</wp14:pctWidth>
                </wp14:sizeRelH>
                <wp14:sizeRelV relativeFrom="page">
                  <wp14:pctHeight>0</wp14:pctHeight>
                </wp14:sizeRelV>
              </wp:anchor>
            </w:drawing>
          </w:r>
        </w:p>
      </w:tc>
    </w:tr>
  </w:tbl>
  <w:p w14:paraId="238ADA56" w14:textId="279DF012" w:rsidR="00526744" w:rsidRDefault="00526744">
    <w:pPr>
      <w:pStyle w:val="Header"/>
    </w:pPr>
  </w:p>
  <w:p w14:paraId="710FB628" w14:textId="77777777" w:rsidR="000618AB" w:rsidRPr="000618AB" w:rsidRDefault="000618AB">
    <w:pPr>
      <w:pStyle w:val="Header"/>
      <w:rPr>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8AB"/>
    <w:rsid w:val="00046C5E"/>
    <w:rsid w:val="000618AB"/>
    <w:rsid w:val="00100496"/>
    <w:rsid w:val="00117405"/>
    <w:rsid w:val="001D1AD2"/>
    <w:rsid w:val="002302EC"/>
    <w:rsid w:val="002844B9"/>
    <w:rsid w:val="003E571F"/>
    <w:rsid w:val="003F7941"/>
    <w:rsid w:val="00424932"/>
    <w:rsid w:val="00454313"/>
    <w:rsid w:val="00476996"/>
    <w:rsid w:val="00526744"/>
    <w:rsid w:val="00561709"/>
    <w:rsid w:val="005766AC"/>
    <w:rsid w:val="006232BF"/>
    <w:rsid w:val="00627FAE"/>
    <w:rsid w:val="006512F4"/>
    <w:rsid w:val="006D2C65"/>
    <w:rsid w:val="00707C55"/>
    <w:rsid w:val="00717B9A"/>
    <w:rsid w:val="007F566F"/>
    <w:rsid w:val="0083724C"/>
    <w:rsid w:val="008B458C"/>
    <w:rsid w:val="00974D29"/>
    <w:rsid w:val="009B414B"/>
    <w:rsid w:val="009C5EBC"/>
    <w:rsid w:val="00A05DBC"/>
    <w:rsid w:val="00A32671"/>
    <w:rsid w:val="00B90832"/>
    <w:rsid w:val="00B95B3B"/>
    <w:rsid w:val="00BF2CBA"/>
    <w:rsid w:val="00CC6D2F"/>
    <w:rsid w:val="00CF07FA"/>
    <w:rsid w:val="00D12EA2"/>
    <w:rsid w:val="00D9691A"/>
    <w:rsid w:val="00DA5174"/>
    <w:rsid w:val="00E41C97"/>
    <w:rsid w:val="00E77323"/>
    <w:rsid w:val="00EF2E06"/>
    <w:rsid w:val="00F12024"/>
    <w:rsid w:val="00F8195E"/>
    <w:rsid w:val="00FF48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28ADBD"/>
  <w15:docId w15:val="{14412D87-A8EC-4FAD-8090-6585A2034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32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2BF"/>
    <w:rPr>
      <w:rFonts w:ascii="Tahoma" w:hAnsi="Tahoma" w:cs="Tahoma"/>
      <w:sz w:val="16"/>
      <w:szCs w:val="16"/>
    </w:rPr>
  </w:style>
  <w:style w:type="paragraph" w:styleId="Header">
    <w:name w:val="header"/>
    <w:basedOn w:val="Normal"/>
    <w:link w:val="HeaderChar"/>
    <w:uiPriority w:val="99"/>
    <w:unhideWhenUsed/>
    <w:rsid w:val="00117405"/>
    <w:pPr>
      <w:tabs>
        <w:tab w:val="center" w:pos="4320"/>
        <w:tab w:val="right" w:pos="8640"/>
      </w:tabs>
      <w:spacing w:after="0" w:line="240" w:lineRule="auto"/>
    </w:pPr>
  </w:style>
  <w:style w:type="character" w:customStyle="1" w:styleId="HeaderChar">
    <w:name w:val="Header Char"/>
    <w:basedOn w:val="DefaultParagraphFont"/>
    <w:link w:val="Header"/>
    <w:uiPriority w:val="99"/>
    <w:rsid w:val="00117405"/>
  </w:style>
  <w:style w:type="paragraph" w:styleId="Footer">
    <w:name w:val="footer"/>
    <w:basedOn w:val="Normal"/>
    <w:link w:val="FooterChar"/>
    <w:uiPriority w:val="99"/>
    <w:unhideWhenUsed/>
    <w:rsid w:val="00117405"/>
    <w:pPr>
      <w:tabs>
        <w:tab w:val="center" w:pos="4320"/>
        <w:tab w:val="right" w:pos="8640"/>
      </w:tabs>
      <w:spacing w:after="0" w:line="240" w:lineRule="auto"/>
    </w:pPr>
  </w:style>
  <w:style w:type="character" w:customStyle="1" w:styleId="FooterChar">
    <w:name w:val="Footer Char"/>
    <w:basedOn w:val="DefaultParagraphFont"/>
    <w:link w:val="Footer"/>
    <w:uiPriority w:val="99"/>
    <w:rsid w:val="00117405"/>
  </w:style>
  <w:style w:type="table" w:styleId="TableGrid">
    <w:name w:val="Table Grid"/>
    <w:basedOn w:val="TableNormal"/>
    <w:uiPriority w:val="59"/>
    <w:rsid w:val="007F5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6D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7216"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likumi.lv/ta/id/317216"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ikumi.lv/ta/id/317216"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likumi.lv/ta/id/317216"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medveds\AppData\Local\Temp\EPT_veidlapa_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EPT_veidlapa_2021.dotx</Template>
  <TotalTime>1</TotalTime>
  <Pages>4</Pages>
  <Words>6957</Words>
  <Characters>3966</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Latvenergo</Company>
  <LinksUpToDate>false</LinksUpToDate>
  <CharactersWithSpaces>10902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Medvedska</dc:creator>
  <cp:lastModifiedBy>Alvils Strīķeris</cp:lastModifiedBy>
  <cp:revision>2</cp:revision>
  <dcterms:created xsi:type="dcterms:W3CDTF">2021-06-30T13:35:00Z</dcterms:created>
  <dcterms:modified xsi:type="dcterms:W3CDTF">2021-06-30T13:35:00Z</dcterms:modified>
</cp:coreProperties>
</file>