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2006.gada 1. augusta noteikumos Nr. 632 "Patērētāju tiesību aizsardzības centra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 Mākslīgā intelekta akta izrietošo tirgus uzraudzības iestādes un pamattiesību aizsardzības iestādes funkciju efektīvu īstenošanu, aicinām papildināt noteikumu projektu ar normu, kas nosaka, ka pēc informācijas saņemšanas no tiesībsarga par konstatētajiem pamattiesību pārkāpumiem mākslīgā intelekta sistēmā Patērētāju tiesību aizsardzības centrs izskata iespēju piemērot administratīvos naudas sodus vai cita veida pasākumus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jautājums par šādas normas iekļaušanu būtu skatāms pie attiecīgā likuma grozījumiem, ar kuriem tiks ieviestas prasības par sodiem, kas izriet no MI akta 99.panta.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tikai šauri tiek noteikts tirgus uzraudzības iestādes, kompetentās iestādes un vienotā kontaktpunkta funkcija (statuss) vienai konkrētai iestādei –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17.04.2025 VSS ir izskatīts informatīvais ziņojums "Par Eiropas Parlamenta un Padomes Regulu (ES) 2023/2854(2023. gada 13. decembris) par saskaņotiem noteikumiem par taisnīgu piekļuvi datiem un to lietošanu un ar ko groza Regulu (ES) 2017/2394 un Direktīvu (ES) 2020/1828 (Datu akts) prasību izpildi". Minētais ziņojums un tā protokols paredz jaunas funkcijas Patērētāju tiesību aizsardzības centram. Ņemot vērā iepriekš minēto, lūdzam papildināt noteikumu projektu ar atbilstošajām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konkrēts kompetenču (uzdevumus) sadalījums par Datu akta izpildi būtu skatāms un izlemjams pie konkrētās Regulas ieviešanas likumos. Līdz ar to bez detalizētas analīzes un diskusijas par funkciju sadalījumu starp iestādēm, pašreizējā stadijā nav iespējams precīzi noformulēt šādu normu šo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kompetentās iestādes statuss PTAC (un CSP) tiks noteikts ar likumu, tad nav saskatāms pamats radīt dublējošu normu PTAC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papildināt Patērētāju tiesību aizsardzības centra nolikumu (turpmāk - Nolikums) ar 4.3.</w:t>
            </w:r>
            <w:r w:rsidR="00000000" w:rsidRPr="00000000" w:rsidDel="00000000">
              <w:rPr>
                <w:vertAlign w:val="superscript"/>
                <w:rtl w:val="0"/>
              </w:rPr>
              <w:t xml:space="preserve">1</w:t>
            </w:r>
            <w:r w:rsidR="00000000" w:rsidRPr="00000000" w:rsidDel="00000000">
              <w:rPr>
                <w:rtl w:val="0"/>
              </w:rPr>
              <w:t xml:space="preserve">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Nolikuma 4.3.</w:t>
            </w:r>
            <w:r w:rsidR="00000000" w:rsidRPr="00000000" w:rsidDel="00000000">
              <w:rPr>
                <w:vertAlign w:val="superscript"/>
                <w:rtl w:val="0"/>
              </w:rPr>
              <w:t xml:space="preserve">1</w:t>
            </w:r>
            <w:r w:rsidR="00000000" w:rsidRPr="00000000" w:rsidDel="00000000">
              <w:rPr>
                <w:rtl w:val="0"/>
              </w:rPr>
              <w:t xml:space="preserve"> punktā ir ietvertas atsauces uz Eiropas Savienības tiesību aktiem, atbilstoši kuriem Patērētāju tiesību aizsardzības centrs (turpmāk - PTAC) īsteno uzraugošās iestādes funkcijas. Tomēr Noteikumu projekta 2. punktā ir ietverta ne tikai atsauce uz attiecīgo tiesību aktu, bet arī noteikta joma, kādā tiek īstenota PTAC kompetence atbilstoši minētajam tiesību aktam. Ņemot vērā minēto, tiesību normu skaidras piemērošanas nolūkā un atbilstoši juridiskās tehnikas prasībām aicinām vienā normatīvajā aktā un vēl jo vairāk vienā tiesību normā iestrādāt līdzīga satura tiesību normas un Noteikumu projekta 2. punktā ietvert tikai atsauci uz Mākslīgā intelekta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PTAC kā uzraugošās iestādes kompetenci Mākslīgā intelekta akta jomā, ja nepieciešams, aicinām ietvert citā Nolikuma 4. punkta apakšpunktā. Šajā sakarā papildus vēršama uzmanība, ka nav nepieciešama atsaukties uz Mākslīgā intelekta akta I pielikuma abām iedaļām, t.i., A un B iedaļu, jo Mākslīgā intelekta akta I pielikumā nav citu iedaļu. Līdz ar to attiecīgajā situācijā ir pietiekoši atsaukties vien uz Mākslīgā intelekta akta I pielikumu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citiem ES tiesību aktiem par konkrētu produktu tirgus uzraudzību ir noteikta tikai 1 konkrēta tirgus uzraudzības iestāde – PTAC. Savukārt mākslīgā intelekta jomā ir noteiktas kopā 13 tirgus uzraudzības iestādes. Lūgums sk. Ministru kabineta 2025. gada 25. februāra sēdē nolemto (Ministru kabineta protokola lēmums Nr. 8 paragrāfs Nr. 49) par Informatīvo ziņojumu “Par Mākslīgā intelekta akta prasību ieviešanu” (24-TA-2633) (Informatīvā ziņojuma protokola lēmuma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normā skaidri norādīt, kādas ir PTAC kompetences robežas tirgus uzraudzībā. Pretējā gadījumā norma varētu tikt interpretēta tā, ka PTAC ir vienīgā tirgus uzraudzības iestāde attiecībā uz MI aktu par visām produktu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11.apakšpunktā svītrota norāde par A un B iedaļām.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veicot grozījumus Patērētāju tiesību aizsardzības centra (turpmāk – PTAC) nolikumā un paredzot tam jaunu funkciju un uzdevumus, ir jābūt pilnīgi skaidram, kāda finansējuma ietvaros PTAC nodrošinās to izpildi. Ievērojot anotācijas 3.sadaļas punktā “Cita informācija” sniegto informāciju, ka PTAC MI akta pamattiesību aizsardzības iestādes funkcijas un uzdevumus 2025. un 2026. gadā īstenos esošo valsts budžeta līdzekļu ietvaros un arī turpmāk tiks īstenoti tie pasākumi, kurus var nodrošināt piešķirto valsts budžeta līdzekļu ietvaros, lūdzam attiecīgi svītrot sadaļas tabulā atspoguļoto papildu finansējumu un amata vietas, vienlaikus punktā “Cita informācija” norādot, ka PTAC paredzēto MI akta pamattiesību aizsardzības iestādes funkciju un uzdevumu īstenošanu nodrošinās Ekonomikas ministrijas budžeta apakšprogrammā 26.01.00 “Iekšējais tirgus un patērētāju tiesību aizsardzība” piešķirto valsts budžeta līdzekļu ietvaros. Vienlaikus vēršam uzmanību, ka, lai rastu nepieciešamo papildu finansējumu kapacitātes stiprināšanai ar 2027.gadu minētajai funkcijai, primāri var tikt pārskatītas un optimizētas citas PTAC funkcijas un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svītrojot aprēķinus un norādot punktā "Cita informācija", ka PTAC pildīs jauno funkciju piešķirto valsts budžeta līdzekļu ietvaros. Papildus norādīts, kā PTAC pildīs jauno funkciju bez papildus resursu piešķiršanas.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normatīvo aktu izstrādē. </w:t>
            </w:r>
            <w:r w:rsidR="00000000" w:rsidRPr="00000000" w:rsidDel="00000000">
              <w:rPr>
                <w:u w:val="single"/>
                <w:rtl w:val="0"/>
              </w:rPr>
              <w:t xml:space="preserve">Papildus izdevumu finansēšana būtu iespējama piedāvājot jaunus diskrecionāros ieņēmumu pasākumus (piemēram, izmaiņas ieņēmumu bāzē vai likmēs) vai samazinot citus izdevumus,</w:t>
            </w:r>
            <w:r w:rsidR="00000000" w:rsidRPr="00000000" w:rsidDel="00000000">
              <w:rPr>
                <w:rtl w:val="0"/>
              </w:rPr>
              <w:t xml:space="preserve">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2025.gada 27.marta Ministru kabineta rīkojuma Nr.179 “Par likumprojekta “Par valsts budžetu 2026. gadam un budžeta ietvaru 2026., 2027. un 2028. gadam” sagatavošanas grafiku” 2.1.apakšpunktam, lai nodrošinātu publiskā sektora izdevumu efektivizāciju, izstrādājot valsts budžeta likumprojektu “Par likumprojekta “Par valsts budžetu 2026. gadam un budžeta ietvaru 2026., 2027. un 2028. gadam” </w:t>
            </w:r>
            <w:r w:rsidR="00000000" w:rsidRPr="00000000" w:rsidDel="00000000">
              <w:rPr>
                <w:u w:val="single"/>
                <w:rtl w:val="0"/>
              </w:rPr>
              <w:t xml:space="preserve">nozaru ministrijām uzdots veikt nozaru budžetu izdevumu analīzi, sagatavot priekšlikumus sava budžeta resora izdevumu efektivizēšanai </w:t>
            </w:r>
            <w:r w:rsidR="00000000" w:rsidRPr="00000000" w:rsidDel="00000000">
              <w:rPr>
                <w:rtl w:val="0"/>
              </w:rPr>
              <w:t xml:space="preserve">(tai skaitā izdevumu samazināšanai, optimizējot funkcijas, publiskos pakalpojumus un veicot strukturālas reformas), lai Ministru kabinetā izskatītu jautājumu par iespējamām nozares politikas izmaiņām un finansējuma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2025.gada 15.aprīlī Ministru kabinets ir apstiprinājis informatīvo ziņojumu “Latvijas Fiskāli strukturālā plāna 2025.-2028. gadam 2025. gada Progresa ziņojums”, kurā atbilstoši definētajiem fiskālajiem nosacījumiem pie šī brīža prognozēm </w:t>
            </w:r>
            <w:r w:rsidR="00000000" w:rsidRPr="00000000" w:rsidDel="00000000">
              <w:rPr>
                <w:u w:val="single"/>
                <w:rtl w:val="0"/>
              </w:rPr>
              <w:t xml:space="preserve">fiskālā telpa 2026.-2029.gadam ir novērtēta kā negatīva,</w:t>
            </w:r>
            <w:r w:rsidR="00000000" w:rsidRPr="00000000" w:rsidDel="00000000">
              <w:rPr>
                <w:rtl w:val="0"/>
              </w:rPr>
              <w:t xml:space="preserve"> attiecīgi brīvu finanšu resursu šobrīd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Patērētāju tiesību aizsardzības centram nepieciešamais finansējums jānodrošina esošo budžeta līdzekļu ietvaros, veicot bāzes izdevumu pārskatīšanu vai piedāvājot citus fiskāli neitrālus priekšlikumus. Attiecīgi ir jāprecizē un jāsvītro anotācijas 3.sadaļā sniegtā informācija, vienlaikus sadaļas punktā “Cita informācija” norādot finansēšanas avotu Patērētāju tiesību aizsardzības centram nepieciešamo izdevumu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4. punktu attiecībā uz finanšu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precizēta anotācijas 3.punkta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pat ja MI akta prasību izpildei PTAC netiks piešķirti valsts budžeta finanšu līdzekļi, ir būtiski anotācijā norādīt aprēķinus, cik šādu funkciju izpilde izmaksā.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anotācijas 3.sadaļu, lūdzam attiecīgi svītrot Ministru kabineta sēdes protokollēmuma projekta 4.punktu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4.punkts un 3.punkts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2006.gada 1. augusta noteikumos Nr. 632 "Patērētāju tiesību aizsardzības centra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25.02.2025. sēdes protokola Nr. 8. #49 12.punktā noteikto - Nepieciešamības gadījumā, lai nodrošinātu atbilstošu kapacitāti MI akta pārvaldībai, funkciju īstenošanai, starptautiskai Latvijas interešu pārstāvniecībai, nozaru politikas attīstībai un citu funkciju efektīvai īstenošanai MI akta ietvaros, pieprasīt amata vietas no "vakanču bankas", nepalielinot kopējo valsts pārvaldē esošo amatu vietu skaitu. Lūdzam papildināt MK protokollēmumu attiecībā uz 4 amata vietām no "vakanču bankas". Vēršam uzmanību, ka 25.02.2025. MK protokolā noteiktais formulējums ir vispārīgs, taču par katru iestādi ir nepieciešams precīzs lēmums amata vietu piešķiršanai.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attiecībā uz amatu vietu piešķiršanu no “vakanču bankas”.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2006.gada 1. augusta noteikumos Nr. 632 "Patērētāju tiesību aizsardzības centra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Patērētāju tiesību aizsardzības centrs MI akta pamattiesību aizsardzības iestādes funkcijas un uzdevumus 2025. un 2026. gadā īsteno esošo valsts budžeta līdzekļu ietvaros. Jautājums par papildu valsts budžeta finansējuma piešķiršanu no 2027. gada un turpmākajiem gadiem ir izskatāms Ministru kabinetā likumprojekta par valsts budžetu kārtējam gadam un vidēja termiņa budžeta ietvaru sagatavošanas un izskatīšanas procesā kopā ar visu ministriju un citu centrālo valsts iestāžu prioritāro pasākumu pieteikumiem, ievērojot valsts budžeta finansiālās iespējas. Ja turpmāko gadu likumprojekta par valsts budžetu kārtējam gadam un vidēja termiņa budžeta ietvaru sagatavošanas un izskatīšanas procesā papildu valsts budžeta finansējums paredzēto pasākumu īstenošanai netiek piešķirts vai tiek piešķirts daļēji, Patērētāju tiesību aizsardzības centrs nodrošinās, ka tiek īstenoti 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punktā noteikts, ka gadījumā, ja netiks piešķirts pietiekams finansējums tiesībsarga noteikto uzdevumu veikšanai kārtējā gadā, Tiesībsarga birojam jānodrošina: ”</w:t>
            </w:r>
            <w:r w:rsidR="00000000" w:rsidRPr="00000000" w:rsidDel="00000000">
              <w:rPr>
                <w:b w:val="1"/>
                <w:i w:val="1"/>
                <w:rtl w:val="0"/>
              </w:rPr>
              <w:t xml:space="preserve">tie pasākumi,</w:t>
            </w:r>
            <w:r w:rsidR="00000000" w:rsidRPr="00000000" w:rsidDel="00000000">
              <w:rPr>
                <w:i w:val="1"/>
                <w:rtl w:val="0"/>
              </w:rPr>
              <w:t xml:space="preserve"> kurus var nodrošināt piešķirto valsts budžeta līdzekļu ietvaros.</w:t>
            </w:r>
            <w:r w:rsidR="00000000" w:rsidRPr="00000000" w:rsidDel="00000000">
              <w:rPr>
                <w:rtl w:val="0"/>
              </w:rPr>
              <w:t xml:space="preserve">” Lūdzam attiecīgi noteikumu projekta anotācijā skaidrot, kā un cik lielā mērā tiks nodrošināta attiecīgo Eiropas Parlamenta un Padomes 2024.gada 13. jūnija regulas Nr.2024/1689, ar ko nosaka saskaņotas normas mākslīgā intelekta jomā (un groza Regulas (EK) Nr.300/2008, (ES) Nr.167/2013, (ES) Nr.168/2013, (ES) 2018/858, (ES) 2018/1139 un (ES) 2019/2144 un Direktīvas 2014/90/ES, (ES) 2016/797 un (ES) 2020/1828 (turpmāk - MI akts) prasību izpilde gadījumā, ja netiks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apakšsadaļa  “Cita informācija” papildināta ar norādot, kā PTAC īstenos tirgus uzraudzību mākslīgā intelekta jomā bez papildus finanšu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 punktā (noteikumu 4.3.</w:t>
            </w:r>
            <w:r w:rsidR="00000000" w:rsidRPr="00000000" w:rsidDel="00000000">
              <w:rPr>
                <w:vertAlign w:val="superscript"/>
                <w:rtl w:val="0"/>
              </w:rPr>
              <w:t xml:space="preserve">1</w:t>
            </w:r>
            <w:r w:rsidR="00000000" w:rsidRPr="00000000" w:rsidDel="00000000">
              <w:rPr>
                <w:rtl w:val="0"/>
              </w:rPr>
              <w:t xml:space="preserve">11. apakšpunktā) ietverta atsauce uz Eiropas Parlamenta un Padomes 2024. gada 13. jūnija Regulas Nr.2024/1689, ar ko nosaka saskaņotas normas mākslīgā intelekta jomā un groza Regulas (EK) Nr.300/2008, (ES) Nr. 167/2013, (ES) Nr. 168/2013, (ES) 2018/858, (ES) 2018/1139 un (ES) 2019/2144 un Direktīvas 2014/90/ES, (ES) 2016/797 un (ES) 2020/1828 (Mākslīgā intelekta akts) (turpmāk – Regula 2024/1689) I pielikuma A un B iedaļām. Norādītās Regulas 2024/1689 iedaļas satur atsauces uz direktīvām. Vēršam uzmanību, ka saskaņā ar Līguma par Eiropas Savienības darbību 288. pantu direktīvas atšķirībā no regulām nav tieši piemērojams Eiropas Savienības tiesību akts, līdz ar to Latvijas tiesību aktu tekstos (normās) neietver atsauces uz direktīvām, bet tā vietā norāda atsauces uz Latvijas ārējiem normatīvajiem aktiem, kur šo direktīvu normas pārņemtas. Attiecīgi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tas ir Mākslīgā intelekta akta </w:t>
            </w:r>
            <w:r w:rsidR="00000000" w:rsidRPr="00000000" w:rsidDel="00000000">
              <w:rPr>
                <w:u w:val="single"/>
                <w:rtl w:val="0"/>
              </w:rPr>
              <w:t xml:space="preserve">pilnais nosaukums</w:t>
            </w:r>
            <w:r w:rsidR="00000000" w:rsidRPr="00000000" w:rsidDel="00000000">
              <w:rPr>
                <w:rtl w:val="0"/>
              </w:rPr>
              <w:t xml:space="preserve">. Līdz ar to 4.3.</w:t>
            </w:r>
            <w:r w:rsidR="00000000" w:rsidRPr="00000000" w:rsidDel="00000000">
              <w:rPr>
                <w:vertAlign w:val="superscript"/>
                <w:rtl w:val="0"/>
              </w:rPr>
              <w:t xml:space="preserve">1</w:t>
            </w:r>
            <w:r w:rsidR="00000000" w:rsidRPr="00000000" w:rsidDel="00000000">
              <w:rPr>
                <w:rtl w:val="0"/>
              </w:rPr>
              <w:t xml:space="preserve">11.punktā tiek norādīta atsauce uz MI aktu, minot to pilno nosaukumu. Nav šaubu, ka direktīvas nav tieši piemērojams un ar šo punktu arī nav plānots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citus punktus PTAC nolikumā kā piemēru (piem. 4.21.</w:t>
            </w:r>
            <w:r w:rsidR="00000000" w:rsidRPr="00000000" w:rsidDel="00000000">
              <w:rPr>
                <w:vertAlign w:val="superscript"/>
                <w:rtl w:val="0"/>
              </w:rPr>
              <w:t xml:space="preserve">1</w:t>
            </w:r>
            <w:r w:rsidR="00000000" w:rsidRPr="00000000" w:rsidDel="00000000">
              <w:rPr>
                <w:rtl w:val="0"/>
              </w:rPr>
              <w:t xml:space="preserve">, 4.22.</w:t>
            </w:r>
            <w:r w:rsidR="00000000" w:rsidRPr="00000000" w:rsidDel="00000000">
              <w:rPr>
                <w:vertAlign w:val="superscript"/>
                <w:rtl w:val="0"/>
              </w:rPr>
              <w:t xml:space="preserve">1</w:t>
            </w:r>
            <w:r w:rsidR="00000000" w:rsidRPr="00000000" w:rsidDel="00000000">
              <w:rPr>
                <w:rtl w:val="0"/>
              </w:rPr>
              <w:t xml:space="preserve">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2024/1689 74. panta 3. punktā norādīts, ka:”</w:t>
            </w:r>
            <w:r w:rsidR="00000000" w:rsidRPr="00000000" w:rsidDel="00000000">
              <w:rPr>
                <w:i w:val="1"/>
                <w:rtl w:val="0"/>
              </w:rPr>
              <w:t xml:space="preserve"> Augsta riska MI sistēmām, kas saistītas ar produktiem, </w:t>
            </w:r>
            <w:r w:rsidR="00000000" w:rsidRPr="00000000" w:rsidDel="00000000">
              <w:rPr>
                <w:b w:val="1"/>
                <w:i w:val="1"/>
                <w:rtl w:val="0"/>
              </w:rPr>
              <w:t xml:space="preserve">uz kuriem attiecas I pielikuma A iedaļā uzskaitītie Savienības saskaņošanas tiesību akti,</w:t>
            </w:r>
            <w:r w:rsidR="00000000" w:rsidRPr="00000000" w:rsidDel="00000000">
              <w:rPr>
                <w:i w:val="1"/>
                <w:rtl w:val="0"/>
              </w:rPr>
              <w:t xml:space="preserve"> tirgus uzraudzības iestāde šīs regulas nolūkos ir saskaņā ar minētajiem tiesību aktiem izraudzītā iestāde, kas atbild par tirgus uzraudzības darbībām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Regulas 2024/1689 74. panta 3. punkts pārņemts ar noteikumu projekta 2. punktu (noteikumu 4.3.</w:t>
            </w:r>
            <w:r w:rsidR="00000000" w:rsidRPr="00000000" w:rsidDel="00000000">
              <w:rPr>
                <w:vertAlign w:val="superscript"/>
                <w:rtl w:val="0"/>
              </w:rPr>
              <w:t xml:space="preserve">1</w:t>
            </w:r>
            <w:r w:rsidR="00000000" w:rsidRPr="00000000" w:rsidDel="00000000">
              <w:rPr>
                <w:rtl w:val="0"/>
              </w:rPr>
              <w:t xml:space="preserve">11. apakšpunktu), kur noteikts:” </w:t>
            </w:r>
            <w:r w:rsidR="00000000" w:rsidRPr="00000000" w:rsidDel="00000000">
              <w:rPr>
                <w:i w:val="1"/>
                <w:rtl w:val="0"/>
              </w:rPr>
              <w:t xml:space="preserve">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w:t>
            </w:r>
            <w:r w:rsidR="00000000" w:rsidRPr="00000000" w:rsidDel="00000000">
              <w:rPr>
                <w:b w:val="1"/>
                <w:i w:val="1"/>
                <w:rtl w:val="0"/>
              </w:rPr>
              <w:t xml:space="preserve">Mākslīgā intelekta akta I pielikuma A un B iedaļā norādītajās jomās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Aicināma attiecīgi precizēt noteikumu projekta 2. punktā (noteikumu 4.3.</w:t>
            </w:r>
            <w:r w:rsidR="00000000" w:rsidRPr="00000000" w:rsidDel="00000000">
              <w:rPr>
                <w:vertAlign w:val="superscript"/>
                <w:rtl w:val="0"/>
              </w:rPr>
              <w:t xml:space="preserve">1</w:t>
            </w:r>
            <w:r w:rsidR="00000000" w:rsidRPr="00000000" w:rsidDel="00000000">
              <w:rPr>
                <w:rtl w:val="0"/>
              </w:rPr>
              <w:t xml:space="preserve">11. apakšpunktā) ievietoto atsauci uz Regulas 2024/1689 I pielikuma B iedaļu vai attiecīgi projekta anotācijas 5. sadaļā norādīto “pārņemšanas” atsauci. Proti, Regulas 2024/1689 74. panta 3. punkts atrunā uzraudzību tikai par Regulas 2024/1689 I pielikuma A iedaļā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11.apakšpunktā svītrota norāde par A un B iedaļām, ņemot vērā, ka I pielikumā nav citu iedaļu.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PTAC veic tirgus uzraudzību MI akta I pielikumā (tostarp, B iedaļā) uzskaitīto ES tiesību aktos regulētajām precēm (izņemot medicīniskajām precēm). Līdz ar to, ar MI akta prasību ieviešanu ir paredzēts, ka PTAC papildus pašreiz esošajām funkcijām veikt tirgus uzraudzību, papildus veiks tirgus uzraudzību šajās precēs iebūvētajam 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pārskatot MI aktu, piekrīt, ka 74.panta 3.punkta pirmajā daļā ir atsauce tikai uz A iedaļu, savukārt otrajā daļā implicīti ir paredzēts, ka tirgus uzraudzība attiecās arī uz I pielikuma B iedaļu. Turklāt MI aktā nav konkrētas normas, kas atsevišķi norādītu uz I pielikuma B iedaļu, līdzīgi kā tas ir ar I pielikuma A iedaļu. Tomēr tas nenozīmē, ka tirgus uzraudzība netiks veikta par I pielikuma B iedaļā minēto ES tiesību aktu regulētajām produktu grupām. Līdz ar to MI aktā nav konkrētākas normas (kā tikai 74.panta 3.punkts), ko norādīt anotācijas 5.sadaļā esošajā korelācijas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 punktā (noteikumu 4.3.</w:t>
            </w:r>
            <w:r w:rsidR="00000000" w:rsidRPr="00000000" w:rsidDel="00000000">
              <w:rPr>
                <w:vertAlign w:val="superscript"/>
                <w:rtl w:val="0"/>
              </w:rPr>
              <w:t xml:space="preserve">1</w:t>
            </w:r>
            <w:r w:rsidR="00000000" w:rsidRPr="00000000" w:rsidDel="00000000">
              <w:rPr>
                <w:rtl w:val="0"/>
              </w:rPr>
              <w:t xml:space="preserve">11. apakšpunktā) ietverta atsauce uz MI akta I pielikuma A un B iedaļām. Norādītās MI akta iedaļas satur atsauces uz direktīvām. Vēršam uzmanību, ka saskaņā ar Līguma par Eiropas Savienības darbību 288. pantu direktīvas atšķirībā no regulām nav tieši piemērojams Eiropas Savienības tiesību akts, līdz ar to Latvijas tiesību aktu tekstos (normās) neietver atsauces uz direktīvām, bet tā vietā norāda atsauces uz Latvijas ārējiem normatīvajiem aktiem, kur šo direktīvu normas pārņemtas. Aicinām noteikumu projektā atsaukties uz konkrētajām nacionālo normatīvo aktu normām, ar kurām minēto direktīvu prasības ir pārņemtas, noteikumu projekta anotācijā sniedzot atbilstošu skaidrojumu, tai skaitā norādot, ka konkrētajā gadījumā atsauces uz direktīvām tiek izdarītas, lai nodrošinātu privātpersonas intereses. Attiecīgi lūdzam precizēt noteikumu projektu un aicinām papildināt noteikumu projekta anotācijas 5.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kompetence tirgus uzraudzībā ir noteikta PTAC nolikuma 4.3.</w:t>
            </w:r>
            <w:r w:rsidR="00000000" w:rsidRPr="00000000" w:rsidDel="00000000">
              <w:rPr>
                <w:vertAlign w:val="superscript"/>
                <w:rtl w:val="0"/>
              </w:rPr>
              <w:t xml:space="preserve">1</w:t>
            </w:r>
            <w:r w:rsidR="00000000" w:rsidRPr="00000000" w:rsidDel="00000000">
              <w:rPr>
                <w:rtl w:val="0"/>
              </w:rPr>
              <w:t xml:space="preserve"> apakšpunktā, kurā uzskaitīti ES tiesību akti, kas regulē noteiktas preču grupas. Līdz ar to Ekonomikas ministrija nesaskata nepieciešamību atkārtoti anotācijā pie katras preču grupas norādīt ES tiesību aktu un normas nacionālajos tiesību aktos ar kuriem tie ir pārņemti.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Patērētāju tiesību aizsardzības centrs (turpmāk - PTAC) savas kompetences ietvaros īstenos tirgus uzraudzību atbilstoši Regulas 2024/1689: "</w:t>
            </w:r>
            <w:r w:rsidR="00000000" w:rsidRPr="00000000" w:rsidDel="00000000">
              <w:rPr>
                <w:i w:val="1"/>
                <w:rtl w:val="0"/>
              </w:rPr>
              <w:t xml:space="preserve">[..] I pielikuma A un B iedaļai par šādām tirgus uzraudzības </w:t>
            </w:r>
            <w:r w:rsidR="00000000" w:rsidRPr="00000000" w:rsidDel="00000000">
              <w:rPr>
                <w:b w:val="1"/>
                <w:i w:val="1"/>
                <w:rtl w:val="0"/>
              </w:rPr>
              <w:t xml:space="preserve">jomām </w:t>
            </w:r>
            <w:r w:rsidR="00000000" w:rsidRPr="00000000" w:rsidDel="00000000">
              <w:rPr>
                <w:i w:val="1"/>
                <w:rtl w:val="0"/>
              </w:rPr>
              <w:t xml:space="preserve">[..].</w:t>
            </w:r>
            <w:r w:rsidR="00000000" w:rsidRPr="00000000" w:rsidDel="00000000">
              <w:rPr>
                <w:rtl w:val="0"/>
              </w:rPr>
              <w:t xml:space="preserve">" Noteikumu projekta 2. punktā (noteikumu 4.3.</w:t>
            </w:r>
            <w:r w:rsidR="00000000" w:rsidRPr="00000000" w:rsidDel="00000000">
              <w:rPr>
                <w:vertAlign w:val="superscript"/>
                <w:rtl w:val="0"/>
              </w:rPr>
              <w:t xml:space="preserve">1</w:t>
            </w:r>
            <w:r w:rsidR="00000000" w:rsidRPr="00000000" w:rsidDel="00000000">
              <w:rPr>
                <w:rtl w:val="0"/>
              </w:rPr>
              <w:t xml:space="preserve">11. apakšpunktā) norādīts, ka:"</w:t>
            </w:r>
            <w:r w:rsidR="00000000" w:rsidRPr="00000000" w:rsidDel="00000000">
              <w:rPr>
                <w:i w:val="1"/>
                <w:rtl w:val="0"/>
              </w:rPr>
              <w:t xml:space="preserve"> [..] I pielikuma A un B iedaļā</w:t>
            </w:r>
            <w:r w:rsidR="00000000" w:rsidRPr="00000000" w:rsidDel="00000000">
              <w:rPr>
                <w:b w:val="1"/>
                <w:i w:val="1"/>
                <w:rtl w:val="0"/>
              </w:rPr>
              <w:t xml:space="preserve"> norādītajās jomās</w:t>
            </w:r>
            <w:r w:rsidR="00000000" w:rsidRPr="00000000" w:rsidDel="00000000">
              <w:rPr>
                <w:rtl w:val="0"/>
              </w:rPr>
              <w:t xml:space="preserve">." Regulas 2024/1689 I pielikuma A iedaļā (un B iedaļā) tiek uzskaitīti </w:t>
            </w:r>
            <w:r w:rsidR="00000000" w:rsidRPr="00000000" w:rsidDel="00000000">
              <w:rPr>
                <w:b w:val="1"/>
                <w:rtl w:val="0"/>
              </w:rPr>
              <w:t xml:space="preserve">Savienības saskaņošanas tiesību akti </w:t>
            </w:r>
            <w:r w:rsidR="00000000" w:rsidRPr="00000000" w:rsidDel="00000000">
              <w:rPr>
                <w:rtl w:val="0"/>
              </w:rPr>
              <w:t xml:space="preserve">nevis uzraudzības jomas. Lūdzam attiecīgi precizēt noteikumu projektu un anotāciju, salāgojot to ar Regulā 2024/1689 ietverto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25-TA-203</w:t>
    </w:r>
    <w:r>
      <w:br/>
    </w:r>
    <w:r w:rsidR="00000000" w:rsidRPr="00000000" w:rsidDel="00000000">
      <w:rPr>
        <w:rtl w:val="0"/>
      </w:rPr>
      <w:t xml:space="preserve">17.07.2025. 20.49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25-TA-203</w:t>
    </w:r>
    <w:r>
      <w:br/>
    </w:r>
    <w:r w:rsidR="00000000" w:rsidRPr="00000000" w:rsidDel="00000000">
      <w:rPr>
        <w:rtl w:val="0"/>
      </w:rPr>
      <w:t xml:space="preserve">17.07.2025. 20.49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Izziņa_25-TA-203.docx</dc:title>
</cp:coreProperties>
</file>

<file path=docProps/custom.xml><?xml version="1.0" encoding="utf-8"?>
<Properties xmlns="http://schemas.openxmlformats.org/officeDocument/2006/custom-properties" xmlns:vt="http://schemas.openxmlformats.org/officeDocument/2006/docPropsVTypes"/>
</file>