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30. aprīļa noteikumos Nr. 240 "Vispārīgie teritorijas plānošanas, izmantošanas un apbūves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11:26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"1.3. Pašreizējā situācija, problēmas un risinājumi" pamatoti norādīts, ka MKN 131 1. pielikuma 1. un 2. tabulā minētās bīstamās ķīmiskās vielas tādos apjomos, kas atbilst vismaz zemākajam bīstamo vielu kvalificējošajam apjomam un tādējādi piešķir uzņēmumam rūpniecisko avāriju riska objekta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KEM lūdz precizēt informāciju saistībā ar norādīto: “Atbilstoši Valsts vides dienesta skaidrojumam ūdeņraža ražošana elektrolīzes procesā, ja saražotais apjoms nesasniedz MKN 131 1. pielikuma 2. tabulas 15. punktā noteikto zemāko bīstamo vielu kvalificējošo apjomu - līdz piecām tonnām, tad šāda ražošana pieskaitāma pie vieglās rūpniecības uzņēmumiem, savukārt ja saražotais ūdeņraža apjoms sasniedz MKN 131 noteikto augstāko bīstamo vielu kvalificējošo apjomu, tādējādi piešķirot uzņēmumam rūpniecisko avāriju riska objekta statusu, tad šāda ražošana ir kvalificējama kā smagā rūpniecība”, aizstājot teikumā vārdus “sasniedz MKN 131 noteikto augstāko bīstamo vielu kvalificējošo apjomu” ar vārdiem “sasniedz vai pārsniedz MKN 131 noteikto zemāko bīstamo vielu kvalificējošo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 un 2025.gada 11.decembrī saskaņota ar KEM atzinuma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grozījumu projekta anotāciju par 4. pielikumā, kurā ir iekļauts teritorijas izmantošanas veida koda 12010 apraksta paplašinājums - mājas (istabas) dzīvnieku audzētavas.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5.panta otrās daļas 2. un 3. punktā noteikts, ka dzīvnieka īpašnieka pienākums ir rūpēties par labvēlīgu sabiedrības attieksmi pret viņa īpašumā esošo dzīvnieku un nodrošināt, lai dzīvnieks netraucētu un neapdraudētu cilvēkus vai citus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biroja 2025.gada 1.augusta atzinumā pārbaudes lietā Nr. 2024-71-22F (turpmāk - Tiesībsarga biroja atzinums) norādīts, ka, izvērtējot spēkā esošo normatīvo regulējumu, tā pieņemšanas procesu un realizāciju praksē, ņemot vērā pašvaldību viedokli un statistiku, kad dzīvnieka radīts traucējums nav saistīts ar labturības noteikumu pārkāpumu, secināts, ka šobrīd spēkā esošais normatīvais regulējums nav pietiekami efektīvs, lai samērīgi aizsargātu apkārtējo cilvēku tiesības uz labvēlīgu vidi no mājas (istabas) dzīvnieka gaudošanas, riešanas, smakām u.c. traucējuma.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uzsvērts, ka valstij ir pozitīvs pienākums rūpēties, lai tiktu izstrādāts tāds tiesisks regulējums, kas var pasargāt iedzīvotāju tiesības uz labvēlīgu vidi un veselību dzīvnieku radīto traucējumu gadījumā. Kompetentās iestādes saņem iedzīvotāju sūdzības par mājas (istabas) dzīvnieku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biroja atzinumā norādīta statistika par Pārtikas un veterinārajā dienestā saņemtajām sūdzībām par iespējamiem dzīvnieku labturības prasību pārkāpumiem – 2022. gadā saņemtas 875 sūdzības, 2023. gadā – 910 sūdzības, savukārt 2024. gada pirmajā pusē –567 sūdzības. Minētajās sūdzībās ir norāde uz labturības prasību pārkāpumiem, tostarp dzīvnieku gaudošanu, riešanu un radītajām smakām.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policija norādījusi, ka 2023.gadā uzsākti 84 administratīvie pārkāpumu procesi, 2024. gadā līdz 17.maijam – 21. Savukārt kopš 2024. gada 1. jūlija Rīgas valstspilsētas pašvaldības Mājokļu un vides departaments ir saņēmis vienu iesniegumu, bet Rīgas valstspilsētas pašvaldības policijā reģistrēts 151 notikums.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Lielākajos novados vai valstspilsētās sūdzību skaits attiecīgi ir lielāks,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Liepājā saņemtas 13 sūdzības par dzīvnieku radītajiem traucējumiem, tostarp, par gaudošanu, riešanu, smakām;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Daugavpilī saņemtas septiņas sūdzības par suņu riešanu, 18 izsaukumi par riešanu un viens izsaukums par smaku;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Kuldīgas novadā saņemts viens iesniegums par suņa riešanu un gaudošanu un 34 izsaukumi par dažādiem mājdzīvnieku radītiem traucējumiem (gaudošana, riešana, klaiņošana);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Jēkabpilī reģistrēti 33 notikumi, no kuriem vienā gadījumā iedzīvotāji sūdzējušies par suņa gaudošanu un riešanu un trīs gadījumos - par smakām un antisanitāru apstākļu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Aizkraukles novada pašvaldībā saņemtas astoņas sūdzības par suņa riešanu, smakām, gaudošanu, kas arī ir aktuālākie iedzīvotāju miera traucēšanas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mājas (istabas) dzīvnieku (suņu un kaķu) audzētava ir dzīvnieku faktiska turēšanas vieta un darbojas kā audzētavas uzņēmums, kurai piemīt organizēta struktūra un iekārtas, kurā pastāvīgi vai īslaicīgi tiek turēti, pavairoti mājas (istabas) dzīvnieki (suņi vai kaķi) ar mērķi nodrošināt to kontrolētu pēcnācēju iegūšanu. Šāda audzētava ir pakļauta valsts un pašvaldību noteiktajai uzraudzībai un kārtībai. Mājas (istabas) dzīvnieku atrašanās vietu apdzīvotās teritorijās un šādu vietu ierobežojumus nosaka pašvaldība. Audzētava nav nejauša vai gadījuma rakstura dzīvnieku turēšanas vieta, bet gan plānveida un regulāra darbība, kuras mērķis ir dzīvnieku pārošanu un dzīvnieku pēcnācēju  radīšana.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Tiesībsarga biroja atzinumu, kurā Zemkopības ministrijai sniegtajām rekomendācijām par dzīvnieku radīto trokšņu novēršanu, tika organizētas sanāksmes, kurās piedalījās Tieslietu ministrijas, Viedās administrācijas un reģionālās attīstības ministrijas, Latvijas Republikas Tiesībsarga biroja, Veselības ministrijas, Veselības inspekcijas, Pārtikas un veterinārā dienesta, Latvijas Pašvaldību savienības, Mārupes novada pašvaldības policijas, Rīgas valstspilsētas pašvaldības policijas un Ādažu novada pašvaldības policiju pārstāvji, Pēc diskusijām secināts, ka dzīvnieku īpašniekam ir pienākumi un atbildība par dzīvnieka radīto sabiedriskās kārtības traucējumu. Gadījumos, kad dzīvnieka riešana, dziedāšana, ņaudēšana vai cita trokšņa radīšana traucē apkārtējo mieru, pašvaldības policijai ir jāizvērtē visi lietas apstākļi par sabiedriskās kārtības traucēšanu, kas pārkāpj vispārpieņemtās uzvedības normas, un nepieciešamības gadījumā piemērojot administratīvo atbildību saskaņā ar Administratīvā sodu likuma par pārkāpumiem pārvaldes, sabiedriskās kārtības un valsts valodas lietošanas 11.panta pirmo daļu (par sabiedriskās kārtības traucēšanu, pārkāpjot vispārpieņemtās uzvedības normas un traucējot personas mieru, iestādes, komersanta vai citas institūcijas darbu vai apdraudot savu vai citu personu drošību, piemēro brīdinājumu vai naudas sodu fiziskajai personai līdz simt naudas soda vienībām, bet juridiskajai personai — līdz 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samērīgu līdzsvaru starp dzīvnieka īpašnieka tiesībām turēt mājas (istabas) dzīvniekus un, lai pasargātu apkārtējo iedzīvotāju mieru, naktsmieru un tiesības uz labvēlīgu vidi blīvi apdzīvotās teritorijās, nepieciešams papildināt noteikumus ar prasību, ka mājas (istabas) dzīvnieku audzētavas, kurās patstāvīgi tur mājas (istabas) dzīvniekus ārpus cilvēku dzīvojamām telpām, izvieto ne tuvāk par 50 m no dzīvojamās vai publiskās ēkas, kas atrodas uz blakus esošās zemes vienības. Lai veicinātu iespējas vienoties ar apkārtējiem iedzīvotājiem un novērstu strīdus par mājas (istabas) dzīvnieku atrašanos blakus vai apkārtējo īpašumu tuvumā, noteikumos nepieciešams noteikt, ka minēto attālumu var samazināt, ja mājas (istabas) dzīvnieku patstāvīgai turēšanai ārpus dzīvojamām telpām paredzētās būves atrodas uz vairākām blakus esošām zemes vienībām, kas pieder vienam īpašniekam, vai ir saņemts blakus esošās zemes vienības īpašnieka vai tuvākās būves īpašnieka rakstveida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139.punktu ar mājas (istabas) dzīvnieku audzētavām, kā arī atbilstoši mājas (istabu) dzīvnieku audzētavu atrašanās ierobežojumus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Pasākumus aizsardzībai pret troksni, smakām un citiem negatīviem faktoriem nodrošina tajā zemes vienībā, kurā atrodas lauksaimniecības dzīvnieku turēšanai paredzētās būves, mājas (istabas) dzīvnieku audzētavas, neradot apgrūtinājumus blakus esošo zemes vienību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142.</w:t>
            </w:r>
            <w:r w:rsidR="00000000" w:rsidRPr="00000000" w:rsidDel="00000000">
              <w:rPr>
                <w:vertAlign w:val="superscript"/>
                <w:rtl w:val="0"/>
              </w:rPr>
              <w:t xml:space="preserve">1</w:t>
            </w:r>
            <w:r w:rsidR="00000000" w:rsidRPr="00000000" w:rsidDel="00000000">
              <w:rPr>
                <w:rtl w:val="0"/>
              </w:rPr>
              <w:t xml:space="preserve"> un 142.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1</w:t>
            </w:r>
            <w:r w:rsidR="00000000" w:rsidRPr="00000000" w:rsidDel="00000000">
              <w:rPr>
                <w:rtl w:val="0"/>
              </w:rPr>
              <w:t xml:space="preserve"> Mājas (istabas) dzīvnieku audzētavas, kurās patstāvīgi tur mājas (istabas) dzīvniekus ārpus dzīvojamām telpām, izvieto ne tuvāk par 50 m no dzīvojamās vai publiskās ēkas, kas atrodas uz blakus esošās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2</w:t>
            </w:r>
            <w:r w:rsidR="00000000" w:rsidRPr="00000000" w:rsidDel="00000000">
              <w:rPr>
                <w:rtl w:val="0"/>
              </w:rPr>
              <w:t xml:space="preserve"> Šo noteikumu 142.</w:t>
            </w:r>
            <w:r w:rsidR="00000000" w:rsidRPr="00000000" w:rsidDel="00000000">
              <w:rPr>
                <w:vertAlign w:val="superscript"/>
                <w:rtl w:val="0"/>
              </w:rPr>
              <w:t xml:space="preserve">1</w:t>
            </w:r>
            <w:r w:rsidR="00000000" w:rsidRPr="00000000" w:rsidDel="00000000">
              <w:rPr>
                <w:rtl w:val="0"/>
              </w:rPr>
              <w:t xml:space="preserve"> punktā minēto attālumu var samazināt, ja mājas (istabas) dzīvnieku audzētavas, kuras patstāvīgai dzīvnieku turēšanai ārpus dzīvojamām telpām atrodas uz vairākām blakus esošām zemes vienībām, kas pieder vienam īpašniekam, vai ir saņemts blakus esošās zemes vienības īpašnieka vai tuvākās būves īpašnieka rakstveida saskaņojums."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grozījumu anotācijas papildināta ar ZM piedāvāto skaidrojumu par mājas (istabas) dzīvnieku (suņu un kaķu) audzētavām MKN 240 izpratnē. Tai pat laikā, ņemot vērā MKN 240 grozījumu izstrādes mērķi - precizēt noteikumu 4.pielikuma aprakstus, VARAM šajā projekta virzības stadijā nesaskata iespēju papildināt MKN 240 regulējumu ar papildus tiesību normām bez plašākas diskusijas ar pašvaldībām, vienlaicīgi nekavējot kopējo MKN 240 grozījumu projekta virzību. ZM priekšlikuma saturiska iekļaušana MKN 240 regulējumā tiks izskatīta sagatavojot jaunus minēto noteikumu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"1.3. Pašreizējā situācija, problēmas un risinājumi" norādīts, ka Atbilstoši Valsts vides dienesta sniegtajam skaidrojumam, smagās rūpniecības un pirmapstrādes uzņēmumu apbūves statusam atbilst tādi ķīmiskās rūpniecības uzņēmumi, kas: “4. ražošanas procesā izmanto fizikālās metodes (piemēram, sajaukšana, atšķaidīšana), bet tajā pat laikā teritorijā vienlaicīgi uzglabā MKN 131 1. pielikuma 1. un 2. tabulā minētās bīstamās ķīmiskās vielas tādos apjomos, kas atbilst vismaz zemākajam bīstamo vielu kvalificējošajam apjomam un tādējādi piešķir uzņēmumam rūpniecisko avāriju riska objekta statusu.” Savukārt sadaļā </w:t>
            </w:r>
            <w:r w:rsidR="00000000" w:rsidRPr="00000000" w:rsidDel="00000000">
              <w:rPr>
                <w:i w:val="1"/>
                <w:rtl w:val="0"/>
              </w:rPr>
              <w:t xml:space="preserve">Risinājuma apraksts</w:t>
            </w:r>
            <w:r w:rsidR="00000000" w:rsidRPr="00000000" w:rsidDel="00000000">
              <w:rPr>
                <w:rtl w:val="0"/>
              </w:rPr>
              <w:t xml:space="preserve"> norādīts, ka MKN 240 4. pielikuma atļautās izmantošanas veida ar kodu 13002 apraksts precizēts un pilnveidots, norādot tikai to, ka  smagās rūpniecības un pirmapstrādes uzņēmumu apbūvē ietilpst ķīmiskās rūpniecības uzņēmumi, tai skaitā koksnes ķīmiskās pārstrādes uzņēmumi, </w:t>
            </w:r>
            <w:r w:rsidR="00000000" w:rsidRPr="00000000" w:rsidDel="00000000">
              <w:rPr>
                <w:u w:val="single"/>
                <w:rtl w:val="0"/>
              </w:rPr>
              <w:t xml:space="preserve">nenorādot, ka tajā ietilpst arī ķīmiskās rūpniecības uzņēmumi, kas ražošanas procesā izmanto tikai fizikālās metodes (sajaukšana, atšķaidīšana) </w:t>
            </w:r>
            <w:r w:rsidR="00000000" w:rsidRPr="00000000" w:rsidDel="00000000">
              <w:rPr>
                <w:rtl w:val="0"/>
              </w:rPr>
              <w:t xml:space="preserve">un pēc vienlaicīgi uzglabātā bīstamo ķīmisko vielu apjoma atbilst rūpniecisko avāriju riska objektam, tai skaitā ūdeņraža ražošana elektrolīzes procesā. Ņemot vērā minēto KEM lūdz papildināt sadaļu “Risinājuma apraksts” un pilnveidot MKN 240 4. pielikuma atļautās izmantošanas veida ar kodu 13002 </w:t>
            </w:r>
            <w:r w:rsidR="00000000" w:rsidRPr="00000000" w:rsidDel="00000000">
              <w:rPr>
                <w:i w:val="1"/>
                <w:rtl w:val="0"/>
              </w:rPr>
              <w:t xml:space="preserve">Smagās rūpniecības un pirmapstrādes uzņēmumu apbūve</w:t>
            </w:r>
            <w:r w:rsidR="00000000" w:rsidRPr="00000000" w:rsidDel="00000000">
              <w:rPr>
                <w:rtl w:val="0"/>
              </w:rPr>
              <w:t xml:space="preserve">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MKN 240 4.pielikuma teritorijas izmantošanas veida </w:t>
            </w:r>
            <w:r w:rsidR="00000000" w:rsidRPr="00000000" w:rsidDel="00000000">
              <w:rPr>
                <w:i w:val="1"/>
                <w:rtl w:val="0"/>
              </w:rPr>
              <w:t xml:space="preserve">smagās rūpniecības un pirmapstrādes uzņēmumu apbūve (kods 13002) </w:t>
            </w:r>
            <w:r w:rsidR="00000000" w:rsidRPr="00000000" w:rsidDel="00000000">
              <w:rPr>
                <w:rtl w:val="0"/>
              </w:rPr>
              <w:t xml:space="preserve">apraksts precizēti atbilstoši iebildumā norādītajam un 2025.gada 11.decembrī saskaņoti ar KEM atzinuma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Elektroapgāde un alternatīvā energoapgāde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plānojot vēja parku, vēja turbīna nedrīkst atrasties valsts ceļam vai pašvaldības ceļam tuvāk par pusotru reizi no tās augstuma.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MKN 240 grozījumu projekta stadijā nesaskatām iespēju projektu papildināt ar priekšlikumā izteikto papildus tiesību normu bez plašākas diskusijas, vienlaicīgi nekavējot kopējo projekta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Elektroapgāde un alternatīvā energoapgāde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novienkāršotu un padarītu uztveramāku  Grozījumu projektu, piedāvājam 4. pielikumā pie Lauksaimnieciskās ražošanas uzņēmumu apbūves (13003) apraksta vārdus .... sauszemes, ūdens un gaisa transportlīdzekļu, tai skaitā lauksaimniecības tehnikas remontdarbnīcas....aizstāt ar vārdiem ....mehānisko transportlīdzekļu, tai skaitā lauksaimniecības tehnikas remontdarbnīcas.....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1.panta 11.punkts noteic, ka mehāniskais transportlīdzeklis ir pašgājējs transportlīdzeklis, kas pārvietojas pa ceļu ar savu enerģiju (tai skaitā traktortehnika un trolejbuss), izņemot sliežu transportlīdzekļus un elektroskrejriteņus.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4. Pielikuma tabulā pie Tirdzniecības vai pakalpojumu objektu apbūves (12002) apraksta, aiz minimāla transporta apkopes servisa objekti, vairs iekavās netiek norādītas konkrētas darbības - riepu maiņa, slēgta un vaļēja tipa pašapkalpošanās automazgātavas - kuras paskaidroja darbības kas saprotamas ar šo minimāla transporta apkopes servisa objektu apbūvi. Esošajā redakcijā vārdi - riepu maiņa, slēgta un vaļēja tipa pašapkalpošanās automazgātavas tiek likti aiz komata. Norādām, ka izmaiņu dēļ šobrīd nav iespējams definēt kādas darbības atbilst - minimāla transporta apkopes servisa objeku apbūvei, līdz ar to radot problēmas šī normatīvā akta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transporta apkopes servisa objekti (riepu maiņa, slēgta un vaļēja tipa pašapkalpošanās automazgātavas).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2004. gada 22. aprīļa noteikumiem Nr. 380 "Vides prasības mehānisko transportlīdzekļu remontdarbnīcu un automazgātavu izveidei un darbībai" izriet, ka transporta apkopes servisa objekts un automazgātava ir divi dažādi pakalpojumu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precizēt un pilnveidot MKN 240 4. pielikuma atļautās izmantošanas veida ar kodu 13002 Smagās rūpniecības un pirmapstrādes uzņēmumu apbūve aprakstu, papildinot ar vārdiem: “ķīmiskās rūpniecības uzņēmumi, kas ražošanas procesā izmanto tikai fizikālās metodes (sajaukšana, atšķaidīšana) un pēc vienlaicīgi uzglabātā bīstamo ķīmisko vielu apjoma atbilst rūpniecisko avāriju riska objektam, tai skaitā ūdeņraža ražošana elektrolīzes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4.pielikuma teritorijas izmantošanas veida </w:t>
            </w:r>
            <w:r w:rsidR="00000000" w:rsidRPr="00000000" w:rsidDel="00000000">
              <w:rPr>
                <w:i w:val="1"/>
                <w:rtl w:val="0"/>
              </w:rPr>
              <w:t xml:space="preserve">smagās rūpniecības un pirmapstrādes uzņēmumu apbūve (kods 13002) </w:t>
            </w:r>
            <w:r w:rsidR="00000000" w:rsidRPr="00000000" w:rsidDel="00000000">
              <w:rPr>
                <w:rtl w:val="0"/>
              </w:rPr>
              <w:t xml:space="preserve">apraksts precizēts atbilstoši iebildumā norādītajam un 2025.gada 11.decembrī saskaņoti ar KEM atzinuma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apraskts: Metālapstrādes (izmantojot metalurģiskos, ķīmiskos vai elektrolītiskos procesus) un mašīnbūves, derīgo izrakteņu pārstrādes (ārpus derīgo izrakteņu ieguves vietām), gumijas rūpniecības, ādas, ķīmiskās rūpniecības uzņēmumu </w:t>
            </w:r>
            <w:r w:rsidR="00000000" w:rsidRPr="00000000" w:rsidDel="00000000">
              <w:rPr>
                <w:b w:val="1"/>
                <w:rtl w:val="0"/>
              </w:rPr>
              <w:t xml:space="preserve">(ietverot tos, kas ražošanas procesā izmanto  tikai fizikālās metodes (sajaukšana, atšķaidīšana) un pēc vienlaicīgi uzglabātā bīstamo ķīmisko vielu apjoma atbilst rūpniecisko avāriju riska objektam, tai skaitā ūdeņraža ražošana elektrolīzes procesā)</w:t>
            </w:r>
            <w:r w:rsidR="00000000" w:rsidRPr="00000000" w:rsidDel="00000000">
              <w:rPr>
                <w:rtl w:val="0"/>
              </w:rPr>
              <w:t xml:space="preserve">, koksnes ķīmiskās pārstrādes un celulozes ražošanas, būvmateriālu un sanitārtehnisko iekārtu ražošanas, kā arī atkritumu pārstrādes uzņēmumu (ārpus atkritumu apglabāšanas poligoniem) un līdzīgu uzņēmumu apbūve un infrastruktūra (tai skaitā noliktavas, pievedceļi u. 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4.pielikumā 11001 </w:t>
            </w:r>
            <w:r w:rsidR="00000000" w:rsidRPr="00000000" w:rsidDel="00000000">
              <w:rPr>
                <w:i w:val="1"/>
                <w:rtl w:val="0"/>
              </w:rPr>
              <w:t xml:space="preserve">Savrupmāju apbūves </w:t>
            </w:r>
            <w:r w:rsidR="00000000" w:rsidRPr="00000000" w:rsidDel="00000000">
              <w:rPr>
                <w:rtl w:val="0"/>
              </w:rPr>
              <w:t xml:space="preserve">aprakstu līdzīgi kā citiem šajā grupā </w:t>
            </w:r>
            <w:r w:rsidR="00000000" w:rsidRPr="00000000" w:rsidDel="00000000">
              <w:rPr>
                <w:i w:val="1"/>
                <w:rtl w:val="0"/>
              </w:rPr>
              <w:t xml:space="preserve">Dzīvojamā apbūve un</w:t>
            </w:r>
            <w:r w:rsidR="00000000" w:rsidRPr="00000000" w:rsidDel="00000000">
              <w:rPr>
                <w:i w:val="1"/>
                <w:rtl w:val="0"/>
              </w:rPr>
              <w:t xml:space="preserve">teritorijas izmantošana</w:t>
            </w:r>
            <w:r w:rsidR="00000000" w:rsidRPr="00000000" w:rsidDel="00000000">
              <w:rPr>
                <w:rtl w:val="0"/>
              </w:rPr>
              <w:t xml:space="preserve">, piemēram, papildinot ar tekstu "ar nepieciešamajām palīgbūvēm un labiekārtojumu"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apbūve, ko veido brīvi stāvošas viena vai divu dzīvokļu dzīvojamās mājas, tostarp dvīņu mājas, ar nepieciešamajām palīgbūvēm un labiekārtojumu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4.pielikuma teritorijas izmantošanas veida </w:t>
            </w:r>
            <w:r w:rsidR="00000000" w:rsidRPr="00000000" w:rsidDel="00000000">
              <w:rPr>
                <w:i w:val="1"/>
                <w:rtl w:val="0"/>
              </w:rPr>
              <w:t xml:space="preserve">savrupmāju apbūve (kods 11001) </w:t>
            </w:r>
            <w:r w:rsidR="00000000" w:rsidRPr="00000000" w:rsidDel="00000000">
              <w:rPr>
                <w:rtl w:val="0"/>
              </w:rPr>
              <w:t xml:space="preserve">apraksts precizēts atbilstoši priekšlikumam: Dzīvojamā apbūve, ko veido brīvi stāvošas viena vai divu dzīvokļu dzīvojamās mājas, tostarp dvīņu mājas, </w:t>
            </w:r>
            <w:r w:rsidR="00000000" w:rsidRPr="00000000" w:rsidDel="00000000">
              <w:rPr>
                <w:b w:val="1"/>
                <w:rtl w:val="0"/>
              </w:rPr>
              <w:t xml:space="preserve">ietverot nepieciešamās palīgbūves un labiekārtojumu.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17.09.2025. 09:25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14006</w:t>
            </w:r>
            <w:r w:rsidR="00000000" w:rsidRPr="00000000" w:rsidDel="00000000">
              <w:rPr>
                <w:i w:val="1"/>
                <w:rtl w:val="0"/>
              </w:rPr>
              <w:t xml:space="preserve">Energoapgādes uzņēmumu apbūve</w:t>
            </w:r>
            <w:r w:rsidR="00000000" w:rsidRPr="00000000" w:rsidDel="00000000">
              <w:rPr>
                <w:i w:val="1"/>
                <w:rtl w:val="0"/>
              </w:rPr>
              <w:t xml:space="preserve">Enerģijas ražošanas un energoapgādes uzņēmumu (piemēram, hidroelektrostacijas, koģenerācijas stacijas, vēja elektrostacijas un vēja parki un līdzīga rakstura objekti) apbūve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neatrisina jautājumu par saules elektrostaciju iekļaušanu Energoapgādes uzņēmumu apbūve aprakstā. Uzskatām, ka gadījumā, ja saules paneļu/elektrostaciju parki primāri paredzēti elektroenerģijas ražošanai un pārvadei citiem patērētājiem, nevis nodrošina tuvumā esoša objekta energoapgādi, tad tie ir uzskatāmi par energoapgādes uzņēmumiem, attiecīgi papildinot Pielikumā koda 14006 Energoapgādes uzņēmumu apbūve aprakstu: Enerģijas ražošanas un energoapgādes uzņēmumu (piemēram, hidroelektrostacijas, koģenerācijas stacijas, vēja, saules elektrostacijas un to parki un līdzīga rakstura objekti)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precizēt MK noteikumu Nr. 240 2. punktu ar terminu “saules elektrostaciju vai kolektoru parks” līdzīgi, kā tas darīts ar vēja parkiem (2.25.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viedoklis ir, ka teritorijas plānojums ir pamats jebkādām darbībām ar zemi, tajā skaitā būvniecībai, jo jebkura būvniecības iecere vispirms tiek vērtēta pēc atbilstības vietējās pašvaldības teritorijas plānojumam.  Atbilstoši Ekonomikas ministrijas skaidrojumam, kas publiski pieejams Būvniecības informācijas sistēmā (https://www.em.gov.lv/lv/skaidrojums-par-saules-paneliem), saules panelis nav būve Būvniecības likuma izpratnē un uz attiecīgo iekārtu nav attiecināms Būvniecības likums. Saules paneļa (iekārtas) uzstādīšanai nevajag būvniecības ieceres dokumentāciju, neatkarīgi no saules paneļu kopējās potenciālās jaudas, saules paneļu formas, skaita vai izvietojuma (uz ēkas, inženierbūves vai uz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praktiski neierobežo saules paneļu uzstādīšanu jebkurā teritorijā, ja vien tā, piemēram, nav kultūras pieminekļa teritorija vai teritorijas izmantošanai noteikti īpaši nosacījumi vai kritēriji, kas ierobežo vai aizliedz saules paneļu izvietošanu.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Ministrijas minētie apstākļi ir par pamatu ierosinājumam definēt saules elektrostacijas un iekļaut tās energoapgādes uzņēmumu sarakstā. Piekrītam, ka tieši pašvaldības teritorijas plānojums ir viens no svarīgākajiem instrumentiem, ar kura palīdzību ir nosakāms, kādā veidā teritorija ir izmantojama un tas ir tiesiskais pamats tālāku lēmumu pieņemšanai. Plānojuma izstrādes procesā tiek identificētas un izsvērtas dažādas intereses un salāgotas konkrēta nekustamā īpašuma īpašnieka tiesības uz īpašuma netraucētu izmantošanu un sabiedrības intereses sakārtotas apkārtējās vides veidošanā un vides aizsardzībā. Līdz ar to vietējai pašvaldībai ir tiesības noteikt teritorijas plānojumā dažādus īpašuma tiesību aprobežojumus saskaņā ar teritorijas plānojumā paredzētajiem teritorijas attīstības virzieniem un sabiedrības vairākuma vēlmēm attiecībā uz teritorijas turpmāko attīstību, savukārt šāda liela mēroga iekārtu nereglamentēta uzstādīšana var radīt būtiskas sekas gan videi, gan iedzīvotājiem un to nekustamajiem īpašumiem. Piemēram, atsevišķus saules paneļu parkus plānots izvietot meliorētās vai polderu teritorijās. Ja atbilstoši Ekonomikas ministrijas skaidrojumam paneļu uzstādīšanai, pat betonējot pamatus un izbūvējot piebraucamos ceļus, nav nepieciešama būvniecības dokumentācija, pastāv pamatots risks, ka neveicot projekta izstrādi un saskaņošanu, paneļu uzstādīšanas rezultātā tiks bojātas meliorācijas būves, īpaši drenu sistēmas, kas nodrošina polderu darbību un tas radīs būtiskas un grūti novēršamas ilglaicīgas sekas plašās teritorijās, īpaši Pierīgā kur ir lielākā apdzīvojama koncentrācija un  elektroenerģijas patēriņš. Tāpat, veicot šādu “iekārtu izvietošanu” ar to pavadošo infrastruktūru applūstošajās teritorijās, kas citādi saimnieciski nav izmantojamas vai izmantojamas ļoti ierobežoti, tas var ietekmēt hidroloģisko režīmu apkārtnē, jo uz šādām darbībām neattiecas Aizsargjoslu likuma, tostarp tā 37.panta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saules paneļu efektīvas darbības nodrošināšanai paneļu virsmu periodiski ir nepieciešams attīrīt, lai fotoelementus atbrīvotu no putekļiem, utml. piesārņojuma. Šādas darbības tiek veiktas izmantojot bīstamus ķīmiskos savienojumus, bet Latvijā nepastāv tiesiskais regulējums šādām darbībām, līdz ar to pastāv risks, ka to veikšanas rezultātā, jo īpaši ja tas skar liela mēroga saules paneļu parku, tiks būtiski piesārņota gan augsne, gan virszemes un pazemes ūdeņi,  īpaši meliorētajās un polderu teritorijās. Līdz ar to</w:t>
            </w:r>
            <w:r w:rsidR="00000000" w:rsidRPr="00000000" w:rsidDel="00000000">
              <w:rPr>
                <w:b w:val="1"/>
                <w:rtl w:val="0"/>
              </w:rPr>
              <w:t xml:space="preserve"> uzstājam uz saules elektrostaciju definēšanu un to iekļaušanu  Energoapgādes uzņēmumu apbūves grupā, papildinot tās aprakstu: Enerģijas ražošanas un energoapgādes uzņēmumu (piemēram, hidroelektrostacijas, koģenerācijas stacijas, vēja, saules elektrostacijas un to parki), līdz ar to šāda liela mēroga objektu izvietošana būs ierobežota, piemēram, dabas vai dzīvojamās apbūves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Ekonomikas ministrija, nedz Klimata un enerģētikas ministrija, kā vadošā iestāde klimata un enerģētikas politikas jomu pārvaldībā, līdz šim nav uzskatījušas par nepieciešamu definēt jēdzienu “saules parks” un noteikt kritērijus to izmantošanai un apsaimniekošanai. Arī Ekonomikas ministrija, kā kompetentā institūcija būvniecības jomā, vairākkārtīgi publiskajā telpā ir paudusi viedokli, ka saules paneļi ir definējami kā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publiski pieejamai informācijai Latvijā jau šobrīd darbojas vairāki industriālie saules parki, kas nodrošina “zaļās” elektroenerģijas ieguvi, kas atbilst arī Eiropas “zaļā” kursa uzstādījumiem par globāli klimatam draudzīgas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saules paneļi tiek mazgāti izmantojot bīstamus ķīmiskos savienojumus. Vēršam uzmanību, ka darbības ar bīstamām ķīmiskām vielām reglamentē Ķīmisko vielu likums, kura mērķis ir nepieļaut, aizkavēt vai mazināt tā kaitējuma iespējamību, ko ķīmiskās vielas un maisījumi tiem piemītošo īpašību dēļ var nodarīt videi, cilvēku veselībai un īpašumam.  Likums noteic arī administratīvo atbildību par pārkāpumiem, kuru kontroli atbilstoši likumā noteiktajai kompetencei veic Valsts vides dienests vai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12002</w:t>
            </w:r>
            <w:r w:rsidR="00000000" w:rsidRPr="00000000" w:rsidDel="00000000">
              <w:rPr>
                <w:i w:val="1"/>
                <w:rtl w:val="0"/>
              </w:rPr>
              <w:t xml:space="preserve">Tirdzniecības vai pakalpojumu objektu apbūve</w:t>
            </w:r>
            <w:r w:rsidR="00000000" w:rsidRPr="00000000" w:rsidDel="00000000">
              <w:rPr>
                <w:i w:val="1"/>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degvielas uzpildes stacijas, autoservisa uzņēmumi, slēgta un vaļēja tipa automazgātavas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attiecībā uz automazgātavām ir izņemts precizējošais nosacījums - pašapkalpošanās automazgātavas, kas tās nošķir no citām, specializētajām automazgātavām, kas ir minētas grupā 14003 - Transporta apkalpojošā infrastruktūra. Vēršam uzmanību, ka arī specializētās automazgātavas var būt gan slēgtas, gan atklātas.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tirdzniecības vai pakalpojumu objektu apbūve ir visplašāk izplatītā publiskās apbūves grupa funkcionālajos zonējumos, tostarp dzīvojamajā apbūvē, lai saglabātu vides kvalitāti, </w:t>
            </w:r>
            <w:r w:rsidR="00000000" w:rsidRPr="00000000" w:rsidDel="00000000">
              <w:rPr>
                <w:b w:val="1"/>
                <w:rtl w:val="0"/>
              </w:rPr>
              <w:t xml:space="preserve">nepieciešams saglabāt ierobežojumus, kas jau ir noteikti - proti saglabāt prasību, ka tās ir slēgtas vai atklātas pašapkalpošanās auto mazgātavas.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iebildumu ir noraidījusi, piedāvājot automazgātavas dalīt tikai slēgtajās un vaļēja tipa. Pašvaldības, nosakot izmantošanas veidu apjomu konkrētā teritorijā, var nodalīt teritorijas, kur atļauta automazgāšana tikai slēgta tipa automazgātavās, kas nerada papildus troksni. Ministrijas ieskatā tas, vai automazgāšana tiek organizēta kā pašapkalpošanās pakalpojums vai nē, no teritorijas plānošanas viedokļa nav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atvērta tipa automazgātava rada ne tikai troksni, bet arī gaisa piesārņojumu, jo atklātā vidē ar augstspiediena ūdens strūklu nomazgājot mazgāšanas līdzekļus no automašīnas, daļa no tiem aerosolu veidā paceļas gaisā un izplatās teritorijās ap atklāto automazgātuvi. Tāpat, darbojoties 24/7 režīmā, nakts laikā tās ir izgaismotas, kas rada papildus gaismas piesārņojumu apkārtējās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pašapkalpošanās automazgātuves parasti ir mazāka apjoma objekti kā specializētās auto mazgātavas (tipiski slēgtas pašapkalpošanās automazgātuves  ir viens vai divi boksi), līdz ar to ar tām saistāma arī mazāka auto plūsma un attiecīgi mazāka tās nelabvēlīgā ietekme uz pieguļošajām teritorijām, īpaši dzīvojamo apbūvi. Ievērojot, ka tirdzniecības vai pakalpojumu objektu apbūve ir visplašāk izplatītā publiskās apbūves grupa funkcionālajos zonējumos, tostarp dzīvojamajā apbūvē, nebūtu veicināma vides kvalitātes pasliktināšanās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4.pielikuma izmantošanas veida </w:t>
            </w:r>
            <w:r w:rsidR="00000000" w:rsidRPr="00000000" w:rsidDel="00000000">
              <w:rPr>
                <w:i w:val="1"/>
                <w:rtl w:val="0"/>
              </w:rPr>
              <w:t xml:space="preserve">Tirdzniecības vai pakalpojumu objektu apbūve (kods 12002) </w:t>
            </w:r>
            <w:r w:rsidR="00000000" w:rsidRPr="00000000" w:rsidDel="00000000">
              <w:rPr>
                <w:rtl w:val="0"/>
              </w:rPr>
              <w:t xml:space="preserve">apraksts precizēts atbilstoši iebildumā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noliktavas </w:t>
            </w:r>
            <w:r w:rsidR="00000000" w:rsidRPr="00000000" w:rsidDel="00000000">
              <w:rPr>
                <w:b w:val="1"/>
                <w:rtl w:val="0"/>
              </w:rPr>
              <w:t xml:space="preserve">personīgo</w:t>
            </w:r>
            <w:r w:rsidR="00000000" w:rsidRPr="00000000" w:rsidDel="00000000">
              <w:rPr>
                <w:rtl w:val="0"/>
              </w:rPr>
              <w:t xml:space="preserve"> mantu glabāšanai, degvielas uzpildes stacijas, </w:t>
            </w:r>
            <w:r w:rsidR="00000000" w:rsidRPr="00000000" w:rsidDel="00000000">
              <w:rPr>
                <w:b w:val="1"/>
                <w:rtl w:val="0"/>
              </w:rPr>
              <w:t xml:space="preserve">minimāla transporta apkopes servisa objekti, riepu maiņa</w:t>
            </w:r>
            <w:r w:rsidR="00000000" w:rsidRPr="00000000" w:rsidDel="00000000">
              <w:rPr>
                <w:rtl w:val="0"/>
              </w:rPr>
              <w:t xml:space="preserve">, slēgta un vaļēja tipa </w:t>
            </w:r>
            <w:r w:rsidR="00000000" w:rsidRPr="00000000" w:rsidDel="00000000">
              <w:rPr>
                <w:b w:val="1"/>
                <w:rtl w:val="0"/>
              </w:rPr>
              <w:t xml:space="preserve">pašapkalpošanās </w:t>
            </w:r>
            <w:r w:rsidR="00000000" w:rsidRPr="00000000" w:rsidDel="00000000">
              <w:rPr>
                <w:rtl w:val="0"/>
              </w:rPr>
              <w:t xml:space="preserve">automazgātavas.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12002</w:t>
            </w:r>
            <w:r w:rsidR="00000000" w:rsidRPr="00000000" w:rsidDel="00000000">
              <w:rPr>
                <w:i w:val="1"/>
                <w:rtl w:val="0"/>
              </w:rPr>
              <w:t xml:space="preserve">Tirdzniecības vai pakalpojumu objektu apbūve</w:t>
            </w:r>
            <w:r w:rsidR="00000000" w:rsidRPr="00000000" w:rsidDel="00000000">
              <w:rPr>
                <w:i w:val="1"/>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degvielas uzpildes stacijas, autoservisa uzņēmumi, slēgta un vaļēja tipa automazgātavas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vai pakalpojumu objektu apbūves izmantošanas veida aprakstā ir iekļauti arī spēļu nami un kazino. Uzskatām, ka azartspēļu objektu apbūve – spēļu nami un kazino nav tirdzniecības un pakalpojumu objekti un tiem Pielikuma sadaļā 12 “Publiskā apbūve un teritorijas izmantošana” būtu jāveido atsevišķs teritorijas izmantošanas veids – Azartspēļu objektu apbūve. Izveidojot šādu Azartspēļu objektu apbūves grupu MK noteikumu Nr. 240 4.1. apakšnodaļā “Funkcionālo zonu iedalījums un noteikšana” jānosaka, kādās funkcionālajās zonās šāda izmantošana atļauta. Balstoties uz Satversmes tiesas 04.04.2024. sprieduma lietā Nr. 2023-27-03 atziņām, ka azartspēļu organizēšanas ierobežojumus var noteikt mazstāvu un daudzstāvu dzīvojamās apbūves teritorijās, kā arī izglītības, kultūras, sporta iestāžu un aktīvās atpūtas vietu tuvumā, uzskatām, ka Azartspēļu objektu apbūve nevar tikt paredzēta DzS, DzM, DzD, P un DA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MKN 240 regulējums ir pietiekami elastīgs un vispārīgs, tomēr pamatojoties uz MKN 240 19.prim punktu, pašvaldībai ir tiesības konkrēto teritorijas izmantošanas veidu neiekļaut  konkrētas teritorijas izmantošanas veidu izskaitījumā vai noteikt teritorijas, kur tas nav atļauts. Azartspēļu un izložu organizēšanas kārtību un azartspēļu pakalpojumu sniegšanas kārtību nosaka Azartspēļu un izložu likums, kura 41.pantā noteikti azartspēļu organizēšanas ierobežojumi, tai skaitā minētā panta otrā daļa noteic  vietas, kur azartspēles nav atļauts 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Azartspēles nav vienkāršs sadzīves pakalpojums, jo tā sniegšana ir saistīta ar sociālām un ekonomiskām sekām gan pašvaldības iedzīvotajiem (finanšu grūtības zaudējot mājsaimniecības vai personīgo naudu; negatīvi ietekmētas savstarpējās attiecības vai to iziršana strīdu un vardarbības, vai nevērības pret ģimeni rezultātā, atkarību attīstība ģimenē un iespējama iesaistīšanās noziedzībā), gan pašvaldībai kā tādai, kurai nākas risināt problēmas saistība ar sociālā budžeta izdevumu palielināšanu, palīdzības un psiholoģiskais un atkarību novēršanas atbalsta nepieciešamību, noziedzības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Labklājības departamenta 2021. gadā veiktajā pētījumā “Azartspēļu atkarības sociālās sekas; Rīgas pašvaldības analīze” secināts, ka viena no azartspēļu klātbūtnes pazīmēm ir līdzekļu trūkums ģimenē, lai gan abi vecāki strādā un nav novērota alkohola vai narkotiku lietošana. Azartspēļu atkarīgajiem, salīdzinot ar vielu atkarīgajiem, ir izteiktākas depresijas iezīmes, grūtāk pārvarēt tieksmi, tie krasāk izjūt bezizejas situācijas. Ģimenē, kur kāds no vecākiem ir azartspēļu atkarīgais, sekas ir tipiskas un smagas: bērnu pamešana novārtā, naudas trūkums bērnu pamatvajadzībām, paaugstināta spriedze ģimenē, sistemātiskas konfliktsituācijas ar atkarīgo, dzīvokļu parādi, kredīti, trauksme, depresija, suicidālas tendences, somatiskas saslimšanas.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no šī pētījumi norāda arī uz to, ka Latvijā azartspēles tiek uztvertas nevis kā atpūtas veids, bet gan kā ienākumu avots, “vairākos gadījumos klients uzskata, ka spēlēšana ir darbs un naudas plūsma ģimenei”.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pieredze rāda, ka arī gadījumos, ja pašvaldība izmanto savas tiesības plānošanas dokumentā ierobežot azartspēļu organizēšanas vietu izplatību, pastāv papildus risks un apgrūtinājums pašvaldībām iesaistīties tiesvedībās ar azartspēļu organizatoriem, tostarp Satversmes tiesā, kas prasa specifiskas juridiskas kompetences un daudzām pašvaldībām nav pieejamas. Šādās situācijās nepieciešami arī papildus pašvaldības līdzekļi specializēto juridisko organizāciju algošanai pašvaldību pārstāvniecībai Satversmes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gan azartspēļu organizatoriem, gan pašvaldību iedzīvotajiem būtu skaidri un nepārprotami saprotams, kurās funkcionālās zonās iespējams organizēt azartspēles un vadoties no jau minētajām Satversmes tiesas sprieduma atziņām, ir nepieciešams šāds noregulējums MKN240.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organizēšanas kārtību un azartspēļu pakalpojumu sniegšanas kārtību nosaka Azartspēļu un izložu likums. Atbilstoši minētā likuma 4.panta otrās daļas 11.punktam, azartspēles nav atļauts organizēt attiecīgās pašvaldības vietās vai teritorijās, kuras noteiktas pašvaldības saistošajos noteikumos, savukārt likuma 42.panta desmitā daļa noteic, ka pašvaldībai ir tiesības izdot saistošos noteikumus, ar kuriem tiek noteiktas vietas un teritorijas, kurās azartspēles nav atļauts organizēt. Lemjot par azartspēļu atļaušanu vai aizliegumu, likums noteic pašvaldības domei pienākumu izvērtēt to, vai azartspēļu organizēšana konkrētajā vietā nerada būtisku valsts un attiecīgās administratīvās teritorijas iedzīvotāju interešu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pašvaldība var risināt azartspēļu organizēšanas jautājumu izdodot speciālus saistošos noteikumus, līdzīgi kā to darījušas Talsu novada (Talsu novada domes 2024. gada 25. janvāra saistošie noteikumi Nr. 5 "Par azartspēļu organizēšanu", https://likumi.lv/ta/id/350532), Daugavpils valstspilsētas (Daugavpils pilsētas domes 2024. gada 31. oktobra saistošie noteikumi Nr. 35 "Par vietām un teritorijām Daugavpilī, kurās nav atļauts organizēt azartspēles", https://likumi.lv/ta/id/356140), Gulbenes novada  (Gulbenes novada domes 2024. gada 27. decembra saistošie noteikumi Nr. 26 "Par vietām un teritorijām Gulbenes novadā, kurās nav atļauts organizēt azartspēles", https://likumi.lv/ta/id/357725)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Rīgas valstspilsētas  (Rīgas domes 2025. gada 26. marta saistošie noteikumi Nr. RD-25-330-sn "Par azartspēļu organizēšanas ierobežojumiem Rīgas valstspilsētas pašvaldības administratīvajā teritorijā", https://likumi.lv/ta/id/359587)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12002</w:t>
            </w:r>
            <w:r w:rsidR="00000000" w:rsidRPr="00000000" w:rsidDel="00000000">
              <w:rPr>
                <w:i w:val="1"/>
                <w:rtl w:val="0"/>
              </w:rPr>
              <w:t xml:space="preserve">Tirdzniecības vai pakalpojumu objektu apbūve</w:t>
            </w:r>
            <w:r w:rsidR="00000000" w:rsidRPr="00000000" w:rsidDel="00000000">
              <w:rPr>
                <w:i w:val="1"/>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degvielas uzpildes stacijas, autoservisa uzņēmumi, slēgta un vaļēja tipa automazgātavas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maina Ministru kabineta 2013. gada 30. aprīļa noteikumos Nr. 240 “Vispārīgie teritorijas plānošanas, izmantošanas un apbūves noteikumi” (turpmāk - MKN240) iepriekšējo formulējumu, kas noteica, ka Tirdzniecības vai pakalpojumu objektu apbūvē ietilpst “minimāla transporta apkopes servisa objekti (riepu maiņa, pašapkalpošanās automazgātavas, elektromobiļu uzlādes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vai pakalpojumu objektu apbūve ir visplašāk izplatītā publiskās apbūves grupa funkcionālajos zonējumos, tostarp dzīvojamajā apbūvē. Pašvaldībās, kur ir spēkā teritorijas plānojumi, kas izstrādāti rēķinoties ar šobrīd spēkā esošo formulējumu “minimāla transporta apkopes servisa objekti (riepu maiņa, pašapkalpošanās automazgātavas, elektromobiļu uzlādes stacijas)” nav paredzēta iespēja veidot šajā izmantošanā tādus autoservisa pakalpojumus, kā, piemēram, motora diagnostika, apkope un remonts, bremžu sistēmu diagnostika, apkope un remonts, virsbūves diagnostika, ģeometrijas atjaunošana un remonts, automašīnu krāsošana, kam jau MK 22.04.2004. noteikumi Nr. 380 “Vides prasības mehānisko transportlīdzekļu remontdarbnīcu un automazgātavu izveidei un darbībai” nosaka specifiskas prasības attiecībā uz piesārņojuma kontroli, gaisa un notekūdeņu attīrīšanu, utt.. </w:t>
            </w:r>
            <w:r w:rsidR="00000000" w:rsidRPr="00000000" w:rsidDel="00000000">
              <w:rPr>
                <w:b w:val="1"/>
                <w:rtl w:val="0"/>
              </w:rPr>
              <w:t xml:space="preserve">Līdz ar to uzskatām, ka šādu darbību atļaušana dzīvojamas apbūves teritorijās bez jebkādiem ierobežojumiem objekta izvietojuma ziņā vai sabiedrības iespējam izteikt viedokli par šādas funkcijas iederību, piemēram, dzīvojamā vidē, viennozīmīgi nav atbalstāma. </w:t>
            </w:r>
            <w:r w:rsidR="00000000" w:rsidRPr="00000000" w:rsidDel="00000000">
              <w:rPr>
                <w:rtl w:val="0"/>
              </w:rPr>
              <w:t xml:space="preserve">Uz šo iebildumu Ministrija paskaidro, ka priekšlikums nav ņemts vērā, jo MKN 240 4.pielikuma grozījumi tika sagatavoti konsultējoties ar VVD, kā kompetento iestādi piesārņojošo darbību atļauju izsniegšanā un piesārņojošo darbību reģistrēšanā, savukārt pašvaldība kādās noteiktās teritorijās var neiekļaut autoservisa uzņēmumus kā atļauto izmantošanu atbilstoši MKN 240 19.prim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pašvaldību darba pieredze rāda, ka VVD nespēj kontrolēt un panākt jau esošo nelegālo autoservisu slēgšanu, līdz ar to šāds papildus darba apjoma pieaugums saistībā ar piesārņojošo darbību atļauju izsniegšanu un pārbaudi varētu situāciju  autoservisu darbības kontroli  vēl vairāk pasliktināt.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240 19.prim punktā noteiktās iespējas pašvaldība var piemērot tikai izstrādājot jaunu teritorijas plānojumu vai tā grozījumus (vai lokālplānojumu). Tipiski tas ir process vairāku gadu garumā, līdz pašvaldība var ieviest saprātīgus ierobežojumus autoservisu būvniecībai visās, tostarp, dzīvojamās apbūves teritorijās, kur ir atļauta tirdzniecības vai pakalpojumu objektu apbūve. Līdz ar to, laika posmā līdz jaunā plānošanas dokumentā ietvertā regulējuma ieviešanai, autoservisus var būvēt bez ierobežojumiem, jo, kā pati Ministrija norāda savā skaidrojumā - MKN 240 grozījumu piemērošanā jāņem vērā Oficiālo publikāciju un tiesiskās informācijas likumā noteiktā kārtība, kādā piemēro ārējos normatīvos aktus, ja konstatēta pretruna. Minētā likuma 9.panta sestās daļas 1.punkts noteic, ka konstatējot pretrunu starp dažāda juridiska spēka tiesību normām, piemēro to tiesību normu, kurai ir augstāks juridiskais spēks. Sekojoši, konstatējot pretrunu starp Ministru kabineta noteikumiem un pašvaldības saistošajiem noteikumiem, piemērojams Ministru kabineta noteikumos noteiktais regulējums- tātad MKN240 jauno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w:t>
            </w:r>
            <w:r w:rsidR="00000000" w:rsidRPr="00000000" w:rsidDel="00000000">
              <w:rPr>
                <w:b w:val="1"/>
                <w:rtl w:val="0"/>
              </w:rPr>
              <w:t xml:space="preserve">aicinām svītrot no noteikumu projekta  jēdzienu “autoservisa uzņēmums”, saglabājot formulējumu” “minimāla transporta apkopes servisa objekti – riepu maiņa, pašapkalpošanās automazgātavas”.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variants ir noteikt pārejas noteikumu, ka autoservisa uzņēmums ir atļauts kā grupā 12002 Tirdzniecības vai pakalpojumu objektu apbūve atļautā izmantošana tikai jauna plānošanas dokumenta izstrādes gadījumā, kad iespējams piemērot MK noteikumu Nr. 240 19.prim punkta nosacījumus, attiecībā uz  pašvaldību iespējam izvērtēt nepieciešamību sašaurināt MKN 240 noteikto aprakstu un izvērtēt, kurās teritorijās un ar kādiem nosacījumiem ir atļaujami autoservisa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Tirdzniecības vai pakalpojumu objektu apbūve (kods 12002)</w:t>
            </w:r>
            <w:r w:rsidR="00000000" w:rsidRPr="00000000" w:rsidDel="00000000">
              <w:rPr>
                <w:rtl w:val="0"/>
              </w:rPr>
              <w:t xml:space="preserve"> apraksts daļā par transporta apkopes servisa uzņēmeumiem aglabāts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4.pielikuma izmantošanas veida </w:t>
            </w:r>
            <w:r w:rsidR="00000000" w:rsidRPr="00000000" w:rsidDel="00000000">
              <w:rPr>
                <w:i w:val="1"/>
                <w:rtl w:val="0"/>
              </w:rPr>
              <w:t xml:space="preserve">Tirdzniecības vai pakalpojumu objektu apbūve (kods 12002)</w:t>
            </w:r>
            <w:r w:rsidR="00000000" w:rsidRPr="00000000" w:rsidDel="00000000">
              <w:rPr>
                <w:rtl w:val="0"/>
              </w:rPr>
              <w:t xml:space="preserve"> apraksts precizēts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noliktavas </w:t>
            </w:r>
            <w:r w:rsidR="00000000" w:rsidRPr="00000000" w:rsidDel="00000000">
              <w:rPr>
                <w:b w:val="1"/>
                <w:rtl w:val="0"/>
              </w:rPr>
              <w:t xml:space="preserve">personīgo</w:t>
            </w:r>
            <w:r w:rsidR="00000000" w:rsidRPr="00000000" w:rsidDel="00000000">
              <w:rPr>
                <w:rtl w:val="0"/>
              </w:rPr>
              <w:t xml:space="preserve"> mantu glabāšanai, degvielas uzpildes stacijas, </w:t>
            </w:r>
            <w:r w:rsidR="00000000" w:rsidRPr="00000000" w:rsidDel="00000000">
              <w:rPr>
                <w:b w:val="1"/>
                <w:rtl w:val="0"/>
              </w:rPr>
              <w:t xml:space="preserve">minimāla transporta apkopes servisa objekti, riepu maiņa,</w:t>
            </w:r>
            <w:r w:rsidR="00000000" w:rsidRPr="00000000" w:rsidDel="00000000">
              <w:rPr>
                <w:rtl w:val="0"/>
              </w:rPr>
              <w:t xml:space="preserve"> slēgta un vaļēja tipa </w:t>
            </w:r>
            <w:r w:rsidR="00000000" w:rsidRPr="00000000" w:rsidDel="00000000">
              <w:rPr>
                <w:b w:val="1"/>
                <w:rtl w:val="0"/>
              </w:rPr>
              <w:t xml:space="preserve">pašapkalpošanās</w:t>
            </w:r>
            <w:r w:rsidR="00000000" w:rsidRPr="00000000" w:rsidDel="00000000">
              <w:rPr>
                <w:rtl w:val="0"/>
              </w:rPr>
              <w:t xml:space="preserve"> automazgātavas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Dzīvojamā apbūve un teritorijas izmantošana</w:t>
            </w:r>
            <w:r w:rsidR="00000000" w:rsidRPr="00000000" w:rsidDel="00000000">
              <w:rPr>
                <w:i w:val="1"/>
                <w:rtl w:val="0"/>
              </w:rPr>
              <w:t xml:space="preserve">11001</w:t>
            </w:r>
            <w:r w:rsidR="00000000" w:rsidRPr="00000000" w:rsidDel="00000000">
              <w:rPr>
                <w:i w:val="1"/>
                <w:rtl w:val="0"/>
              </w:rPr>
              <w:t xml:space="preserve">Savrupmāju apbūve</w:t>
            </w:r>
            <w:r w:rsidR="00000000" w:rsidRPr="00000000" w:rsidDel="00000000">
              <w:rPr>
                <w:i w:val="1"/>
                <w:rtl w:val="0"/>
              </w:rPr>
              <w:t xml:space="preserve">(brīvi stāvošas vai divas bloķētas individuālās dzīvojamās mājas), ietverot nepieciešamās palīgbūves un labiekārtojumu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apbūves teritorijas izmantošanas veida aprakstā nav skaidri definēts, ka savrupmāja var būt arī divu dzīvokļu māja. Piedāvājam šo skaidrojumu izteikt sekojoši: dzīvojamā apbūve, ko veido brīvi stāvošas viena vai divu dzīvokļu dzīvojamās mājas (tostarp dvīņu mājas).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dzīvojamā apbūve un teritorijas izmantošana (kods11001)</w:t>
            </w:r>
            <w:r w:rsidR="00000000" w:rsidRPr="00000000" w:rsidDel="00000000">
              <w:rPr>
                <w:rtl w:val="0"/>
              </w:rPr>
              <w:t xml:space="preserve"> apraksts precizēts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dzīvojamā apbūve, ko veido brīvi stāvošas viena vai divu dzīvokļu dzīvojamās mājas, tostarp dvīņu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projekts neatrisina jautājumu par saules elektrostaciju iekļaušanu Energoapgādes uzņēmumu apbūves aprakstā. Pašvaldību ieskatā saules paneļu/elektrostaciju parki, kuri primāri paredzēti elektroenerģijas ražošanai un pārvadei citiem patērētājiem, nevis nodrošina tuvumā esošu objektu energoapgādi, ir uzskatāmi par energoapgādes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4. Pielikumā iekļauto Energoapgādes uzņēmumu apbūves (14006)  aprakstu - </w:t>
            </w:r>
            <w:r w:rsidR="00000000" w:rsidRPr="00000000" w:rsidDel="00000000">
              <w:rPr>
                <w:b w:val="1"/>
                <w:i w:val="1"/>
                <w:rtl w:val="0"/>
              </w:rPr>
              <w:t xml:space="preserve">Enerģijas ražošanas un energoapgādes uzņēmumu (piemēram, hidroelektrostacijas, koģenerācijas stacijas, vēja, saules elektrostacijas un to parki un līdzīga rakstura objekti)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lūdzam papildināt MK noteikumu Nr. 240 2. punktu ar terminu “saules elektrostaciju vai kolektoru parks” līdzīgi, kā tas darīts ar vēja parkiem (2.25.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Viedās administrācijas un reģionālās attīstības ministrijas, līdz šim pausto viedokli, teritorijas plānojums ir pamats jebkādām darbībām ar zemi, tajā skaitā būvniecībai, jo jebkura būvniecības iecere vispirms tiek vērtēta pēc atbilstības vietējās pašvaldības teritorijas plānojumam.  Atbilstoši Ekonomikas ministrijas skaidrojumam, kas publiski pieejams Būvniecības informācijas sistēmā (https://www.em.gov.lv/lv/skaidrojums-par-saules-paneliem), saules panelis nav būve Būvniecības likuma izpratnē un uz attiecīgo iekārtu nav attiecināms Būvniecības likums. Saules paneļa (iekārtas) uzstādīšanai nevajag būvniecības ieceres dokumentāciju, neatkarīgi no saules paneļu kopējās potenciālās jaudas, saules paneļu formas, skaita vai izvietojuma (uz ēkas, inženierbūves vai uz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spēkā esošais normatīvais regulējums praktiski neierobežo saules paneļu uzstādīšanu jebkurā teritorijā, ja vien tā, piemēram, nav kultūras pieminekļa teritorija vai teritorijas izmantošanai noteikti īpaši nosacījumi vai kritēriji, kas ierobežo vai aizliedz saules paneļu izvietošanu.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apstākļi ir par pamatu lūgumam definēt saules elektrostacijas un iekļaut tās energoapgādes uzņēmumu sarakstā. Pašvaldību ieskatā tieši pašvaldības teritorijas plānojums ir viens no svarīgākajiem instrumentiem, ar kura palīdzību ir nosakāms, kādā veidā teritorija ir izmantojama un tas ir tiesiskais pamats tālāku lēmumu pieņemšanai. Teritorijas plānojuma izstrādes procesā tiek identificētas un izsvērtas dažādas intereses un salāgotas konkrēta nekustamā īpašuma īpašnieka tiesības uz īpašuma netraucētu izmantošanu un sabiedrības intereses sakārtotas apkārtējās vides veidošanā un vides aizsardzībā. Līdz ar to uzskatām, ka vietējai pašvaldībai ir tiesības noteikt teritorijas plānojumā dažādus īpašuma tiesību aprobežojumus saskaņā ar teritorijas plānojumā paredzētajiem teritorijas attīstības virzieniem un sabiedrības vairākuma vēlmēm attiecībā uz teritorijas turpmāko attīstību, savukārt šāda liela mēroga iekārtu nereglamentēta uzstādīšana var radīt būtiskas sekas gan videi, gan iedzīvotājiem un to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atsevišķus saules paneļu parkus plānots izvietot meliorētās vai polderu teritorijās. Ja atbilstoši Ekonomikas ministrijas skaidrojumam paneļu uzstādīšanai, pat betonējot pamatus un izbūvējot piebraucamos ceļus, nav nepieciešama būvniecības dokumentācija, pastāv pamatots risks, ka neveicot projekta izstrādi un saskaņošanu, paneļu uzstādīšanas rezultātā tiks bojātas meliorācijas būves, īpaši drenu sistēmas, kas nodrošina polderu darbību un tas radīs būtiskas un grūti novēršamas ilglaicīgas sekas plašās teritorijās, īpaši Pierīgā kur ir lielākā apdzīvojama koncentrācija un  elektroenerģijas patēriņš. Tāpat, veicot šādu “iekārtu izvietošanu” ar to pavadošo infrastruktūru applūstošajās teritorijās, kas citādi saimnieciski nav izmantojamas vai izmantojamas ļoti ierobežoti, tas var ietekmēt hidroloģisko režīmu apkārtnē, jo uz šādām darbībām neattiecas Aizsargjoslu likuma, tostarp tā 37.panta nosacījumi. Tāpat saules paneļu efektīvas darbības nodrošināšanai paneļu virsmu periodiski ir nepieciešams attīrīt, lai fotoelementus atbrīvotu no putekļiem, utml. piesārņojuma. Šādas darbības tiek veiktas izmantojot bīstamus ķīmiskos savienojumus, bet Latvijā nepastāv tiesiskais regulējums šādām darbībām, līdz ar to pastāv risks, ka to veikšanas rezultātā, jo īpaši ja tas skar liela mēroga saules paneļu parku, tiks būtiski piesārņota gan augsne, gan virszemes un pazemes ūdeņi,  īpaši meliorētajās un polderu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Ekonomikas ministrija, nedz Klimata un enerģētikas ministrija, kā vadošā iestāde klimata un enerģētikas politikas jomu pārvaldībā, līdz šim nav uzskatījušas par nepieciešamu definēt jēdzienu “saules parks” un noteikt kritērijus to izmantošanai un apsaimniekošanai. Arī Ekonomikas ministrija, kā kompetentā institūcija būvniecības jomā, vairākkārtīgi publiskajā telpā ir paudusi viedokli, ka saules paneļi ir definējami kā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publiski pieejamai informācijai Latvijā jau šobrīd darbojas vairāki industriālie saules parki, kas nodrošina “zaļās” elektroenerģijas ieguvi, kas atbilst arī Eiropas “zaļā” kursa uzstādījumiem par globāli klimatam draudzīgas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saules paneļi tiek mazgāti izmantojot bīstamus ķīmiskos savienojumus. Vēršam uzmanību, ka darbības ar bīstamām ķīmiskām vielām reglamentē Ķīmisko vielu likums, kura mērķis ir nepieļaut, aizkavēt vai mazināt tā kaitējuma iespējamību, ko ķīmiskās vielas un maisījumi tiem piemītošo īpašību dēļ var nodarīt videi, cilvēku veselībai un īpašumam.  Likums noteic arī administratīvo atbildību par pārkāpumiem, kuru kontroli atbilstoši likumā noteiktajai kompetencei veic Valsts vides dienests vai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4.pielikumā  Tirdzniecības vai pakalpojumu objektu apbūves (12002) aprakstu no kura attiecībā uz automazgātavām ir izņemts precizējošais nosacījums - </w:t>
            </w:r>
            <w:r w:rsidR="00000000" w:rsidRPr="00000000" w:rsidDel="00000000">
              <w:rPr>
                <w:b w:val="1"/>
                <w:i w:val="1"/>
                <w:u w:val="single"/>
                <w:rtl w:val="0"/>
              </w:rPr>
              <w:t xml:space="preserve">pašapkalpošanās automazgātavas</w:t>
            </w:r>
            <w:r w:rsidR="00000000" w:rsidRPr="00000000" w:rsidDel="00000000">
              <w:rPr>
                <w:rtl w:val="0"/>
              </w:rPr>
              <w:t xml:space="preserve">, kas tās nošķir no citām, specializētajām automazgātavām, kas ir minētas grupā Transporta apkalpojošā infrastruktūra (14003). Vēršam uzmanību, ka arī specializētās automazgātavas var būt gan slēgtas, gan atklātas.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tirdzniecības vai pakalpojumu objektu apbūve ir visplašāk izplatītā publiskās apbūves grupa funkcionālajos zonējumos, tostarp dzīvojamajā apbūvē.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atvērta tipa automazgātava rada ne tikai troksni, bet arī gaisa piesārņojumu, jo atklātā vidē ar augstspiediena ūdens strūklu nomazgājot mazgāšanas līdzekļus no automašīnas, daļa no tiem aerosolu veidā paceļas gaisā un izplatās teritorijās ap atklāto automazgātuvi. Tāpat, darbojoties 24/7 režīmā, nakts laikā tās ir izgaismotas, kas rada papildus gaismas piesārņojumu apkārtējās teritorijās. Savukārt, pašapkalpošanās automazgātuves parasti ir mazāka apjoma objekti kā specializētās auto mazgātavas (tipiski slēgtas pašapkalpošanās automazgātuves  ir viens vai divi boksi), līdz ar to ar tām saistāma arī mazāka auto plūsma un attiecīgi mazāka tās nelabvēlīgā ietekme uz pieguļošajām teritorijām, īpaši dzīvojamo apbūvi.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tirdzniecības vai pakalpojumu objektu apbūve (12002) ir visplašāk izplatītā publiskās apbūves grupa funkcionālajos zonējumos, tostarp dzīvojamajā apbūvē, lai saglabātu vides kvalitāti, lūdzam saglabāt ierobežojumus, kas jau ir noteikti - proti </w:t>
            </w:r>
            <w:r w:rsidR="00000000" w:rsidRPr="00000000" w:rsidDel="00000000">
              <w:rPr>
                <w:b w:val="1"/>
                <w:i w:val="1"/>
                <w:u w:val="single"/>
                <w:rtl w:val="0"/>
              </w:rPr>
              <w:t xml:space="preserve">saglabāt prasību, ka tās ir slēgtas vai atklātas pašapkalpošanās auto mazgātavas.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4.pielikuma izmantošanas veida </w:t>
            </w:r>
            <w:r w:rsidR="00000000" w:rsidRPr="00000000" w:rsidDel="00000000">
              <w:rPr>
                <w:i w:val="1"/>
                <w:rtl w:val="0"/>
              </w:rPr>
              <w:t xml:space="preserve">Tirdzniecības vai pakalpojumu objektu apbūve (kods 12002) </w:t>
            </w:r>
            <w:r w:rsidR="00000000" w:rsidRPr="00000000" w:rsidDel="00000000">
              <w:rPr>
                <w:rtl w:val="0"/>
              </w:rPr>
              <w:t xml:space="preserve">apraksts precizēts atbilstoši iebildumā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noliktavas </w:t>
            </w:r>
            <w:r w:rsidR="00000000" w:rsidRPr="00000000" w:rsidDel="00000000">
              <w:rPr>
                <w:b w:val="1"/>
                <w:rtl w:val="0"/>
              </w:rPr>
              <w:t xml:space="preserve">personīgo</w:t>
            </w:r>
            <w:r w:rsidR="00000000" w:rsidRPr="00000000" w:rsidDel="00000000">
              <w:rPr>
                <w:rtl w:val="0"/>
              </w:rPr>
              <w:t xml:space="preserve"> mantu glabāšanai, degvielas uzpildes stacijas, </w:t>
            </w:r>
            <w:r w:rsidR="00000000" w:rsidRPr="00000000" w:rsidDel="00000000">
              <w:rPr>
                <w:b w:val="1"/>
                <w:rtl w:val="0"/>
              </w:rPr>
              <w:t xml:space="preserve">minimāla transporta apkopes servisa objekti, riepu maiņa, </w:t>
            </w:r>
            <w:r w:rsidR="00000000" w:rsidRPr="00000000" w:rsidDel="00000000">
              <w:rPr>
                <w:rtl w:val="0"/>
              </w:rPr>
              <w:t xml:space="preserve"> slēgta un vaļēja tipa </w:t>
            </w:r>
            <w:r w:rsidR="00000000" w:rsidRPr="00000000" w:rsidDel="00000000">
              <w:rPr>
                <w:b w:val="1"/>
                <w:rtl w:val="0"/>
              </w:rPr>
              <w:t xml:space="preserve">pašapkalpošanās </w:t>
            </w:r>
            <w:r w:rsidR="00000000" w:rsidRPr="00000000" w:rsidDel="00000000">
              <w:rPr>
                <w:rtl w:val="0"/>
              </w:rPr>
              <w:t xml:space="preserve">automazgātavas.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vai pakalpojumu objektu apbūves (12002) izmantošanas veida aprakstā ir iekļauti spēļu nami un kazino. Pašvaldības ir norādījušas, ka viņu ieskatā azartspēļu objektu apbūve – </w:t>
            </w:r>
            <w:r w:rsidR="00000000" w:rsidRPr="00000000" w:rsidDel="00000000">
              <w:rPr>
                <w:b w:val="1"/>
                <w:rtl w:val="0"/>
              </w:rPr>
              <w:t xml:space="preserve">spēļu nami un kazino nav tirdzniecības un pakalpojumu objekti </w:t>
            </w:r>
            <w:r w:rsidR="00000000" w:rsidRPr="00000000" w:rsidDel="00000000">
              <w:rPr>
                <w:rtl w:val="0"/>
              </w:rPr>
              <w:t xml:space="preserve">un tiem 4. Pielikuma sadaļā 12 “Publiskā apbūve un teritorijas izmantošana” būtu jāveido atsevišķs teritorijas izmantošanas veids – </w:t>
            </w:r>
            <w:r w:rsidR="00000000" w:rsidRPr="00000000" w:rsidDel="00000000">
              <w:rPr>
                <w:b w:val="1"/>
                <w:rtl w:val="0"/>
              </w:rPr>
              <w:t xml:space="preserve">Azartspēļu objektu apbūve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šādu Azartspēļu objektu apbūves grupu MK noteikumu Nr. 240 4.1. apakšnodaļā “Funkcionālo zonu iedalījums un noteikšana” jānosaka, kādās funkcionālajās zonās šāda izmantošana atļauta - </w:t>
            </w:r>
            <w:r w:rsidR="00000000" w:rsidRPr="00000000" w:rsidDel="00000000">
              <w:rPr>
                <w:i w:val="1"/>
                <w:rtl w:val="0"/>
              </w:rPr>
              <w:t xml:space="preserve">balstoties uz Satversmes tiesas 04.04.2024. sprieduma lietā Nr. 2023-27-03 atziņām, ka azartspēļu organizēšanas ierobežojumus var noteikt mazstāvu un daudzstāvu dzīvojamās apbūves teritorijās, kā arī izglītības, kultūras, sporta iestāžu un aktīvās atpūtas vietu tuvumā, pašvaldības uzskata, ka Azartspēļu objektu apbūve nevar tikt paredzēta DzS, DzM, DzD, P un DA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pašvaldību ieskatā azartspēles nav vienkāršs sadzīves pakalpojums, jo tā sniegšana ir saistīta ar sociālām un ekonomiskām sekām gan pašvaldības iedzīvotajiem (finanšu grūtības zaudējot mājsaimniecības vai personīgo naudu; negatīvi ietekmētas savstarpējās attiecības vai to iziršana strīdu un vardarbības, vai nevērības pret ģimeni rezultātā, atkarību attīstība ģimenē un iespējama iesaistīšanās noziedzībā), gan pašvaldībai kā tādai, kurai nākas risināt problēmas saistība ar sociālā budžeta izdevumu palielināšanu psiholoģiskās palīdzības un atkarību novēršanas atbalstam, kā arī noziedzības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azartspēļu organizatoriem, gan pašvaldību iedzīvotajiem būtu skaidri un nepārprotami saprotams, kurās funkcionālās zonās iespējams organizēt azartspēles, vadoties no jau minētajām Satversmes tiesas sprieduma atziņām, lūdzam veikt augstāk minētā noregulējuma iekļaušanu MK noteikumos Nr. 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organizēšanas kārtību un azartspēļu pakalpojumu sniegšanas kārtību nosaka Azartspēļu un izložu likums. Atbilstoši minētā likuma 4.panta otrās daļas 11.punktam, azartspēles nav atļauts organizēt attiecīgās pašvaldības vietās vai teritorijās, kuras noteiktas pašvaldības saistošajos noteikumos, savukārt likuma 42.panta desmitā daļa noteic, ka pašvaldībai ir tiesības izdot saistošos noteikumus, ar kuriem tiek noteiktas vietas un teritorijas, kurās azartspēles nav atļauts organizēt. Lemjot par azartspēļu atļaušanu vai aizliegumu, likums noteic pašvaldības domei pienākumu izvērtēt to, vai azartspēļu organizēšana konkrētajā vietā nerada būtisku valsts un attiecīgās administratīvās teritorijas iedzīvotāju interešu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pašvaldība var risināt azartspēļu organizēšanas jautājumu izdodot speciālus saistošos noteikumus, līdzīgi kā to darījušas Talsu novada (Talsu novada domes 2024. gada 25. janvāra saistošie noteikumi Nr. 5 "Par azartspēļu organizēšanu"; https://likumi.lv/ta/id/350532), Daugavpils valstspilsētas (Daugavpils pilsētas domes 2024. gada 31. oktobra saistošie noteikumi Nr. 35 "Par vietām un teritorijām Daugavpilī, kurās nav atļauts organizēt azartspēles"; https://likumi.lv/ta/id/356140), Gulbenes novada  (Gulbenes novada domes 2024. gada 27. decembra saistošie noteikumi Nr. 26 "Par vietām un teritorijām Gulbenes novadā, kurās nav atļauts organizēt azartspēles"; https://likumi.lv/ta/id/357725)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Rīgas valstspilsētas  (Rīgas domes 2025. gada 26. marta saistošie noteikumi Nr. RD-25-330-sn "Par azartspēļu organizēšanas ierobežojumiem Rīgas valstspilsētas pašvaldības administratīvajā teritorijā"; https://likumi.lv/ta/id/359587)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pilsētās Tirdzniecības vai pakalpojumu objektu apbūve (12002) ir visplašāk izplatītā publiskās apbūves grupa funkcionālajos zonējumos, tostarp dzīvojamajā apbūvē. Pašvaldībās, tostarp Rīgā, kur ir spēkā teritorijas plānojumi, kas izstrādāti rēķinoties ar šobrīd spēkā esošo apraksts formulējumu “minimāla transporta apkopes servisa objekti (riepu maiņa, pašapkalpošanās automazgātavas, elektromobiļu uzlādes stacijas)” nav paredzēta iespēja veidot šajā izmantošanā tādus autoservisa pakalpojumus, kā, piemēram, motora diagnostika, apkope un remonts, bremžu sistēmu diagnostika, apkope un remonts, virsbūves diagnostika, ģeometrijas atjaunošana un remonts, automašīnu krāsošana, kam jau MK 22.04.2004. noteikumi Nr. 380 “Vides prasības mehānisko transportlīdzekļu remontdarbnīcu un automazgātavu izveidei un darbībai” nosaka specifiskas prasības attiecībā uz piesārņojuma kontroli, gaisa un notekūdeņu attīrīšanu,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šādu darbību atļaušana dzīvojamas apbūves teritorijās bez jebkādiem ierobežojumiem objekta izvietojuma ziņā vai sabiedrības iespējam izteikt viedokli par šādas funkcijas iederību, piemēram, dzīvojamā vidē, viennozīmīgi nav atbalstāma. Praktiskā pašvaldību darba pieredze rāda, ka VVD nespēj kontrolēt un panākt jau esošo nelegālo autoservisu slēgšanu, līdz ar to šāds papildus darba apjoma pieaugums saistībā ar piesārņojošo darbību atļauju izsniegšanu un pārbaudi varētu situāciju  autoservisu darbības kontroli  vēl vairāk pasliktināt.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240 19.prim punktā noteiktās iespējas samazināt atļautās izmantošanas veidus pašvaldība var piemērot tikai izstrādājot jaunu teritorijas plānojumu vai tā grozījumus (vai lokālplānojumu). Tipiski tas ir process vairāku gadu garumā, līdz pašvaldība var ieviest saprātīgus ierobežojumus autoservisu būvniecībai visās, tostarp, dzīvojamās apbūves teritorijās, kur ir atļauta tirdzniecības vai pakalpojumu objektu apbūve. Līdz ar to, laika posmā līdz jaunā plānošanas dokumentā ietvertā regulējuma ieviešanai, autoservisus varēs būvēt bez ierobežojumiem, jo, saskaņā ar Viedās administrācijas un reģionālās ministrijas skaidrojumiem – Mknoteikumu Nr. 240 grozījumu piemērošanā jāņem vērā Oficiālo publikāciju un tiesiskās informācijas likumā noteiktā kārtība, kādā piemēro ārējos normatīvos aktus, ja rodas konstatēta pretruna. Minētā likuma 9.panta sestās daļas 1.punkts noteic, ka konstatējot pretrunu starp dažāda juridiska spēka tiesību normām, piemēro to tiesību normu, kurai ir augstāks juridiskais spēks. Sekojoši, konstatējot pretrunu starp Ministru kabineta noteikumiem un pašvaldības saistošajiem noteikumiem, piemērojams Ministru kabineta noteikumos noteiktais regulējums - tātad MK noteikumu Nr.240 jauno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svītrot no noteikumu projekta  jēdzienu “autoservisa uzņēmums”, saglabājot formulējumu” “minimāla transporta apkopes servisa objekti – riepu maiņa, pašapkalpošanās automazgātavas”, vai noteikt pārejas noteikumu, ka autoservisa uzņēmums ir atļauts kā grupā Tirdzniecības vai pakalpojumu objektu apbūve (12002) atļautā izmantošana tikai jauna plānošanas dokumenta izstrādes gadījumā, kad iespējams piemērot MK noteikumu Nr. 240 19.prim punkta nosacījumus, attiecībā uz  pašvaldības iespējam izvērtēt nepieciešamību sašaurināt MK noteikumu Nr.240 noteikto aprakstu un izvērtēt, kurās teritorijās un ar kādiem nosacījumiem ir atļaujami autoservisa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Tirdzniecības vai pakalpojumu objektu apbūve (kods 12002) apraksts saistībā ar transporta apkopes servisa objektiem sagalbāts esošajā redakcjā.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Tirdzniecības vai pakalpojumu objektu apbūve (kods 12002) apraksts precizēts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noliktavas </w:t>
            </w:r>
            <w:r w:rsidR="00000000" w:rsidRPr="00000000" w:rsidDel="00000000">
              <w:rPr>
                <w:b w:val="1"/>
                <w:rtl w:val="0"/>
              </w:rPr>
              <w:t xml:space="preserve">personīgo </w:t>
            </w:r>
            <w:r w:rsidR="00000000" w:rsidRPr="00000000" w:rsidDel="00000000">
              <w:rPr>
                <w:rtl w:val="0"/>
              </w:rPr>
              <w:t xml:space="preserve">mantu glabāšanai, degvielas uzpildes stacijas, </w:t>
            </w:r>
            <w:r w:rsidR="00000000" w:rsidRPr="00000000" w:rsidDel="00000000">
              <w:rPr>
                <w:b w:val="1"/>
                <w:rtl w:val="0"/>
              </w:rPr>
              <w:t xml:space="preserve">minimāla transporta apkopes servisa objekti, riepu maiņa, </w:t>
            </w:r>
            <w:r w:rsidR="00000000" w:rsidRPr="00000000" w:rsidDel="00000000">
              <w:rPr>
                <w:rtl w:val="0"/>
              </w:rPr>
              <w:t xml:space="preserve"> slēgta un vaļēja tipa </w:t>
            </w:r>
            <w:r w:rsidR="00000000" w:rsidRPr="00000000" w:rsidDel="00000000">
              <w:rPr>
                <w:b w:val="1"/>
                <w:rtl w:val="0"/>
              </w:rPr>
              <w:t xml:space="preserve">pašapkalpošanās</w:t>
            </w:r>
            <w:r w:rsidR="00000000" w:rsidRPr="00000000" w:rsidDel="00000000">
              <w:rPr>
                <w:rtl w:val="0"/>
              </w:rPr>
              <w:t xml:space="preserve"> automazgātavas.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4. Pielikuma Vieglās rūpniecības uzņēmumu apbūves (13001) aprakstu nav viennozīmīgi saprotams vai šajā teritorijas izmantošanas veidā ietilpst arī - kosmētikas un higiēnas preču ražošana; sadzīves preču montāža un ražošana; papīra un kartona izstrādājumu ražošana; rotaslietu un aksesuāru ražošana; sporta un brīvā laika preču ražošana; spēļu un rotaļlietu ražošana; keramika, stikla pūšana, dekoratīvā apstrāde, ja nav industriāla mēroga piesārņojuma; dārza humusa maisījumu ražošana no kūdras, utt., vai arī tās izvietojamas Smagās rūpniecības un pirmapstrādes uzņēmumu apbūvei (13002) paredzētajās teritorijās. Frāze “un citu rūpniecības uzņēmumu apbūve un infrastruktūra” ir izvietota tekstā tādā pozīcijā, ka uz to neattiecas ierobežojums “…kas ražošanas procesā izmanto tikai fizikālās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vieglās rūpniecības uzņēmumu apbūve (kods 13001) </w:t>
            </w:r>
            <w:r w:rsidR="00000000" w:rsidRPr="00000000" w:rsidDel="00000000">
              <w:rPr>
                <w:rtl w:val="0"/>
              </w:rPr>
              <w:t xml:space="preserve">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rūpniecības, tekstilizstrādājumu, apģērbu un ādas izstrādājumu ražošanas, kokapstrādes un mēbeļu ražošanas, poligrāfijas, ķīmiskās rūpniecības uzņēmumi, kas ražošanas procesā izmanto tikai fizikālās metodes (sajaukšana, atšķaidīšana) un pēc vienlaicīgi uzglabātā bīstamo ķīmisko vielu apjoma neatbilst rūpniecisko avāriju riska objektam, tai skaitā ūdeņraža ražošana elektrolīzes procesā, kā arī industriālo un tehnoloģisko parku un citu </w:t>
            </w:r>
            <w:r w:rsidR="00000000" w:rsidRPr="00000000" w:rsidDel="00000000">
              <w:rPr>
                <w:b w:val="1"/>
                <w:rtl w:val="0"/>
              </w:rPr>
              <w:t xml:space="preserve">vieglās</w:t>
            </w:r>
            <w:r w:rsidR="00000000" w:rsidRPr="00000000" w:rsidDel="00000000">
              <w:rPr>
                <w:rtl w:val="0"/>
              </w:rPr>
              <w:t xml:space="preserve"> rūpniecības uzņēmumu apbūve un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Grozījumu projektā papildināto 4.Pielikuma Tirdzniecības vai pakalpojuma objektu apbūves (12002) atļautās teritorijas izmantošanas veida aprakstu ar “noliktavas mantu glabāšanai” neizmantotu ļaunprātīgi, ierosinām pilnveidot tā formulējumu - “noliktava personīgo mantu glabāšanai” vai “noliktava personīgo mantu glabāšanas pakalpojumiem” – lai regulējums vairāk attiektos uz uzglabāšanu bez aktīvas tirdzniecības vai loģistikas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Tirdzniecības vai pakalpojuma objektu apbūves (12002) teritorijas izmantošanas veida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tirdzniecības vai pakalpojuma objektu apbūve (kods 12002) </w:t>
            </w:r>
            <w:r w:rsidR="00000000" w:rsidRPr="00000000" w:rsidDel="00000000">
              <w:rPr>
                <w:rtl w:val="0"/>
              </w:rPr>
              <w:t xml:space="preserve">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 ko veido veikali, aptiekas (tai skaitā veterinārās aptiekas), tirdzniecības centri (tai skaitā autotirdzniecības centri ar autoservisu), tirgi, tirgus paviljoni, kioski, segtie stendi, sezonas rakstura tirdzniecības vai pakalpojumu objekti, sabiedriskās ēdināšanas uzņēmumi, restorāni, bāri, kafejnīcas, spēļu nami, kazino, kā arī sadzīves un citu pakalpojumu objekti, tai skaitā noliktavas </w:t>
            </w:r>
            <w:r w:rsidR="00000000" w:rsidRPr="00000000" w:rsidDel="00000000">
              <w:rPr>
                <w:b w:val="1"/>
                <w:rtl w:val="0"/>
              </w:rPr>
              <w:t xml:space="preserve">personīgo</w:t>
            </w:r>
            <w:r w:rsidR="00000000" w:rsidRPr="00000000" w:rsidDel="00000000">
              <w:rPr>
                <w:rtl w:val="0"/>
              </w:rPr>
              <w:t xml:space="preserve"> mantu glabāšanai, degvielas uzpildes stacijas, </w:t>
            </w:r>
            <w:r w:rsidR="00000000" w:rsidRPr="00000000" w:rsidDel="00000000">
              <w:rPr>
                <w:b w:val="1"/>
                <w:rtl w:val="0"/>
              </w:rPr>
              <w:t xml:space="preserve">minimāla transporta apkopes servisa objekti, riepu maiņa,</w:t>
            </w:r>
            <w:r w:rsidR="00000000" w:rsidRPr="00000000" w:rsidDel="00000000">
              <w:rPr>
                <w:rtl w:val="0"/>
              </w:rPr>
              <w:t xml:space="preserve"> slēgta un vaļēja tipa </w:t>
            </w:r>
            <w:r w:rsidR="00000000" w:rsidRPr="00000000" w:rsidDel="00000000">
              <w:rPr>
                <w:b w:val="1"/>
                <w:rtl w:val="0"/>
              </w:rPr>
              <w:t xml:space="preserve">pašapkalpošanās</w:t>
            </w:r>
            <w:r w:rsidR="00000000" w:rsidRPr="00000000" w:rsidDel="00000000">
              <w:rPr>
                <w:rtl w:val="0"/>
              </w:rPr>
              <w:t xml:space="preserve"> automazgātavas.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4. Pielikuma Rindu māju apbūves (11005) aprakstā </w:t>
            </w:r>
            <w:r w:rsidR="00000000" w:rsidRPr="00000000" w:rsidDel="00000000">
              <w:rPr>
                <w:i w:val="1"/>
                <w:rtl w:val="0"/>
              </w:rPr>
              <w:t xml:space="preserve">“Dzīvojamā apbūve, ko veido </w:t>
            </w:r>
            <w:r w:rsidR="00000000" w:rsidRPr="00000000" w:rsidDel="00000000">
              <w:rPr>
                <w:b w:val="1"/>
                <w:i w:val="1"/>
                <w:rtl w:val="0"/>
              </w:rPr>
              <w:t xml:space="preserve">trīs </w:t>
            </w:r>
            <w:r w:rsidR="00000000" w:rsidRPr="00000000" w:rsidDel="00000000">
              <w:rPr>
                <w:i w:val="1"/>
                <w:rtl w:val="0"/>
              </w:rPr>
              <w:t xml:space="preserve">un vairāk lineāri bloķētas individuālās dzīvojamās mājas </w:t>
            </w:r>
            <w:r w:rsidR="00000000" w:rsidRPr="00000000" w:rsidDel="00000000">
              <w:rPr>
                <w:b w:val="1"/>
                <w:i w:val="1"/>
                <w:rtl w:val="0"/>
              </w:rPr>
              <w:t xml:space="preserve">vai divu</w:t>
            </w:r>
            <w:r w:rsidR="00000000" w:rsidRPr="00000000" w:rsidDel="00000000">
              <w:rPr>
                <w:i w:val="1"/>
                <w:rtl w:val="0"/>
              </w:rPr>
              <w:t xml:space="preserve"> vai vairāku dzīvokļu mājas ar atsevišķu ieeju katram dzīvoklim, iekļaujot nepieciešamās palīgbūves un labiekārtojumu. Šo apbūvi var veidot arī viena dzīvojamā ēka </w:t>
            </w:r>
            <w:r w:rsidR="00000000" w:rsidRPr="00000000" w:rsidDel="00000000">
              <w:rPr>
                <w:b w:val="1"/>
                <w:i w:val="1"/>
                <w:rtl w:val="0"/>
              </w:rPr>
              <w:t xml:space="preserve">ar trim</w:t>
            </w:r>
            <w:r w:rsidR="00000000" w:rsidRPr="00000000" w:rsidDel="00000000">
              <w:rPr>
                <w:i w:val="1"/>
                <w:rtl w:val="0"/>
              </w:rPr>
              <w:t xml:space="preserve"> vai vairāk dzīvokļiem ar atsevišķu ieeju katram dzīvoklim”</w:t>
            </w:r>
            <w:r w:rsidR="00000000" w:rsidRPr="00000000" w:rsidDel="00000000">
              <w:rPr>
                <w:rtl w:val="0"/>
              </w:rPr>
              <w:t xml:space="preserve"> nav saprotams, kāpēc tiek atrunāts gadījums par </w:t>
            </w:r>
            <w:r w:rsidR="00000000" w:rsidRPr="00000000" w:rsidDel="00000000">
              <w:rPr>
                <w:i w:val="1"/>
                <w:rtl w:val="0"/>
              </w:rPr>
              <w:t xml:space="preserve">“…divu vai vairāku dzīvokļu mājas ar atsevišķu ieeju katram dzīvoklim…”</w:t>
            </w:r>
            <w:r w:rsidR="00000000" w:rsidRPr="00000000" w:rsidDel="00000000">
              <w:rPr>
                <w:rtl w:val="0"/>
              </w:rPr>
              <w:t xml:space="preserve">, kas pēc būtības drīzāk ir dvīņu mājai (divas bloķētas individuālās mājas) atbilstošs apbūves risinājums, vērtējot izmantošanu un apbūves raksturu pēc būtības, attiecīgi pareizāk to būtu ieskaitīt savrupmāju apbūves veidā nevis rindu māju apbūves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aktualizējās, jo rindu māju apbūve nav atļauta savrupmāju zonējumā, bet divu bloķētu individuālo māju gadījums faktiski neatšķiras no divu dzīvokļu mājas ar atsevišķām ieejām. Vienlaikus, minētā klasifikācija tāpat neatbilst būvju klasifikācijas noteikumiem (kur rindu māja klasificējas arī kā savienotas individuālās mājas viendzīvokļu māju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pretrunas lūdzam noteikt vienādi – trīs individuālās mājas un arī trīs vai vairāku dzīvokļu mājas.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rindu māju apbūve (kods 11005)</w:t>
            </w:r>
            <w:r w:rsidR="00000000" w:rsidRPr="00000000" w:rsidDel="00000000">
              <w:rPr>
                <w:rtl w:val="0"/>
              </w:rPr>
              <w:t xml:space="preserve"> 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apbūve, ko veido trīs un vairāk lineāri bloķētas individuālās dzīvojamās mājas vai </w:t>
            </w:r>
            <w:r w:rsidR="00000000" w:rsidRPr="00000000" w:rsidDel="00000000">
              <w:rPr>
                <w:b w:val="1"/>
                <w:rtl w:val="0"/>
              </w:rPr>
              <w:t xml:space="preserve">trīs</w:t>
            </w:r>
            <w:r w:rsidR="00000000" w:rsidRPr="00000000" w:rsidDel="00000000">
              <w:rPr>
                <w:rtl w:val="0"/>
              </w:rPr>
              <w:t xml:space="preserve"> vai vairāku dzīvokļu mājas ar atsevišķu ieeju katram dzīvoklim, iekļaujot nepieciešamās palīgbūves un labiekārtojumu. Šo apbūvi var veidot arī viena dzīvojamā ēka ar trim vai vairāk dzīvokļiem ar atsevišķu ieeju katram dzīvoklim.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 Pielikumā Savrupmāju apbūves (11001) teritorijas izmantošanas veida aprakstā nav skaidri definēts, ka savrupmāja var būt arī divu dzīvokļu māja. Piedāvājam šo skaidrojumu izteikt sekojoši – </w:t>
            </w:r>
            <w:r w:rsidR="00000000" w:rsidRPr="00000000" w:rsidDel="00000000">
              <w:rPr>
                <w:b w:val="1"/>
                <w:i w:val="1"/>
                <w:rtl w:val="0"/>
              </w:rPr>
              <w:t xml:space="preserve">dzīvojamā apbūve, ko veido brīvi stāvošas viena vai divu dzīvokļu dzīvojamās mājas (tostarp dvīņu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apbūve, ko veido brīvi stāvošas viena vai divu dzīvokļu dzīvojamās mājas (tostarp dvīņu mājas), ietverot nepieciešamās palīgbūves un labiekārtojumu.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dzīvojamā apbūve un teritorijas izmantošana (kods11001) </w:t>
            </w:r>
            <w:r w:rsidR="00000000" w:rsidRPr="00000000" w:rsidDel="00000000">
              <w:rPr>
                <w:rtl w:val="0"/>
              </w:rPr>
              <w:t xml:space="preserve">apraksts precizēts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dzīvojamā apbūve, ko veido brīvi stāvošas viena vai divu dzīvokļu dzīvojamās mājas, tostarp dvīņu mājas.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pašvaldību ieskatā 4.Pielikuma Tirdzniecības vai pakalpojumu objektu apbūves (12002) izmantošanas veida aprakstā nepieciešams iekļaut arī mājražošanu — neliela apjoma ražošanu, kurai nav nepieciešama piesārņojošās darbības atļauja, tādējādi nodrošinot iedzīvotājiem iespēju legāli nodarboties ar, piemēram, pārtikas kūpināšanu un suvenīru izgatavošanu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4.Pielikuma Tirdzniecības vai pakalpojumu objektu apbūves (12002) Teritorijas izmantošanas veida aprakstu ar mājražošanu — neliela apjoma ražošanu, kurai nav nepieciešama piesārņojošās darbības atļauja, tādējādi nodrošinot iedzīvotājiem iespēju legāli nodarboties ar, piemēram, pārtikas kūpināšanu un suvenīru izgatavošanu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12. novembra noteikumiem Nr. 711 "Grozījumi Ministru kabineta 2013. gada 30. aprīļa noteikumos Nr. 240 “Vispārīgie teritorijas plānošanas, izmantošanas un apbūves noteikumi”” funkcionālās zonas </w:t>
            </w:r>
            <w:r w:rsidR="00000000" w:rsidRPr="00000000" w:rsidDel="00000000">
              <w:rPr>
                <w:i w:val="1"/>
                <w:rtl w:val="0"/>
              </w:rPr>
              <w:t xml:space="preserve">Publiskās apbūves teritorija (P)</w:t>
            </w:r>
            <w:r w:rsidR="00000000" w:rsidRPr="00000000" w:rsidDel="00000000">
              <w:rPr>
                <w:rtl w:val="0"/>
              </w:rPr>
              <w:t xml:space="preserve"> atļauto izmantošanu uzskaitījums tika papildināts ar teritorijas izmantošanas veidu </w:t>
            </w:r>
            <w:r w:rsidR="00000000" w:rsidRPr="00000000" w:rsidDel="00000000">
              <w:rPr>
                <w:i w:val="1"/>
                <w:rtl w:val="0"/>
              </w:rPr>
              <w:t xml:space="preserve">vieglās rūpniecības uzņēmumi (kods 13001)</w:t>
            </w:r>
            <w:r w:rsidR="00000000" w:rsidRPr="00000000" w:rsidDel="00000000">
              <w:rPr>
                <w:rtl w:val="0"/>
              </w:rPr>
              <w:t xml:space="preserve">, pamatojot to ar nepieciešamību papildus publiska rakstura apbūvei, kas noteikta kā galvenais izmantošanas veids šajā zonā, attīstīt arī mājražošanu, amatniecību vai nelielu uzņēmumu, kas ražošanas procesā nerada piesārņojumu. Lai neliktu šķēršļus šādai uzņēmējdarbībai, izmantošanas veids </w:t>
            </w:r>
            <w:r w:rsidR="00000000" w:rsidRPr="00000000" w:rsidDel="00000000">
              <w:rPr>
                <w:i w:val="1"/>
                <w:rtl w:val="0"/>
              </w:rPr>
              <w:t xml:space="preserve">vieglās rūpniecības uzņēmumu apbūve (kods13001)</w:t>
            </w:r>
            <w:r w:rsidR="00000000" w:rsidRPr="00000000" w:rsidDel="00000000">
              <w:rPr>
                <w:rtl w:val="0"/>
              </w:rPr>
              <w:t xml:space="preserve"> tika noteikts kā papildizmantošana.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mājražošana, kurai nav nepieciešama piesārņojošās darbības atļauja vai reģistrācija, ir pieļaujama visās teritorijās, bet līdz ko uzņēmējdarbību nepieciešams reģistrēt kā C kategorijas piesārņojošo darbību vai nepieciešama B kategorijas atļauja, tā vairs nav uzskatāma par mājražošanu.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4.Pielikumā Dzīvojamā apbūve uz ūdens (11007) aprakstā ļoti pietrūkst norādes – tā ir sezonas rakstura apbūve vai tomēr pieļaujama dzīvojamā apbūve pastāvīgai dzīvošanai, kas būtiski mainītu pieļāvumu, tāpat nav definēts vai dzīvojamā apbūve uz ūdens var būt arī daudzdzīvokļu, kā arī daudzstāvu.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teritorijas izmantošanas veida apraksta papildinājumu, lai novērstu neskaidrības ko rada šī brīža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Ministru kabineta 2014. gada 2. septembra noteikumiem Nr. 529 “Ēku būvnoteikumi” (1.1 4. apakšpunkts noteic, ka sezonas ēka ir vienstāva ēka (piemēram, siltumnīca, nojume, lapene, paviljons, kiosks, kafejnīca, pirts), kuras ekspluatācijas laiks nav ilgāks par vienu gadu un kuru nojauc līdz minētā termiņa beigām, ietverot nojaukšanas laiku), MKN 240 izpratnē būves, kas paredzētas tikai sezonas rakstura izmantošanai, tiek saprastas kā būves, kas netiek izmantotas visu gadu, bet sezonāli.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būvniecības jomas regulējums noteic būvju (būvdarbu rezultātā radusies ar zemi vai gultni saistīta ķermeniska lieta (ēka vai inženierbūve), kurai nosakāms būves lietošanas veids) būvniecības kārtību, bet peldbūves nav būves Būvniecības likuma izpratnē. Peldbūves definīcija sniegta MKN 240 2.22. apakšpunktā un no skaidrojuma izriet, ka peldbūve MKN 240 kontekstā ir peldoša konstrukcija, kas nav reģistrējama Kuģu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teritorijas izmantošanas veida </w:t>
            </w:r>
            <w:r w:rsidR="00000000" w:rsidRPr="00000000" w:rsidDel="00000000">
              <w:rPr>
                <w:i w:val="1"/>
                <w:rtl w:val="0"/>
              </w:rPr>
              <w:t xml:space="preserve">dzīvojamā apbūve uz ūdens (kods 11007</w:t>
            </w:r>
            <w:r w:rsidR="00000000" w:rsidRPr="00000000" w:rsidDel="00000000">
              <w:rPr>
                <w:rtl w:val="0"/>
              </w:rPr>
              <w:t xml:space="preserve">) apraksts nenotiec ierobežojumu sezonālai vai pastāvīgai izmantošanai, regulējums nenoteic arī stāvu skaita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MKN 240 73. punkts noteic iespēju teritorijas plānojumā vai lokālplānojumā publiskajos ūdeņos  noteikt teritorijas, kurās atļauts izvietot peldbūves pakalpojumu objektu ierīkošanai. Sekojoši, publiskajos ūdeņos dzīvojamā funkcija peldbūvēs nav pieļaujama. Šis ierobežojums nav attiecināms uz ūdeņiem, kas nav publiskie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ir pietiekami elastīgs un nodrošina pašvaldībai iespēju pašai noteikt nosacījumus dzīvojamai apbūvei uz ūdens, kas atbilstoši Civillikumam nav publiskie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4.Pielikuma Vieglās rūpniecības uzņēmumu apbūves (kods 13001) apraksts ir nesaprotams un grūti piemērojams. Pašvaldību būvvaldes norāda, ka izskatot būvniecības ieceres dokumentāciju ir grūti spriest par plānoto būvniecību (vai to attiecīgajā teritorijā pieļauj, vai nepieļauj)  izvērtējot pēc aprakstā noteiktajiem kritērijiem - uzņēmumi, kas ražošanas procesā izmanto tikai fizikālās metodes (sajaukšana, atšķaidīšana) un pēc vienlaicīgi uzglabātā bīstamo ķīmisko vielu apjoma neatbilst rūpniecisko avāriju riska objektam, tai skaitā ūdeņraža ražošana elektrolīzes procesā - jo šādus kritērijus izvērtē Valsts Vides dienests nevis pašvaldības būvvalde.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grozījumu projektā noteikto kritēriju piemērošanu būvniecības ieceres izvērtēšanas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izmantošanas veida apraksts papildināts un precizēts atbilstoši praksē konstatētajām problēmsituācijām un saskaņots ar normatīvo regulējumu vides aizsardzības jomā. Jāmin, ka apraksts kalpo ne tikai būvvaldei un Valsts vides dienestam, bet arī attīstītājam vai būvniecības ieceres īstenotājam, lai radītu priekšstatu un sapratni, vai iecerētā ražošanas veida īstenošana ir iespējama konkrētā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 marta noteikumi Nr. 131 “Rūpniecisko avāriju riska novērtēšanas kārtība un riska samazināšanas pasākumi” noteic bīstamās ķīmiskās vielas un bīstamos maisījumus (atkarībā no to daudzuma un bīstamības pakāpes) uz kuriem  attiecas noteikumos noteiktā rūpniecisko avāriju riska novērtēšanas kārtība un riska samazināšanas pasākumi, savukārt noteikumu pielikumā dots bīstamo vielu kvalificējošo daudzumu uzskaitījums. Viens no MKN 240 grozījumu mērķiem ir atvieglot “zaļā” ūdeņraža ražošanas ieviešanu, nosakot skaidrāku regulējumu. Attiecībā uz ūdeņradi, kas ražots elektrolīzes procesā, šāds kvalificējošais daudzums ir piecas (5) tonnas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Ķīmiskā rūpniecība ir viena no svarīgākajām un daudzveidīgākajām rūpniecības nozarēm, kas nodrošina plašu produktu klāstu gan patēriņam, gan citu nozaru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patēriņa vai ikdienas preču (piemēram, mazgāšanas līdzekļu, kosmētikas, krāsu, u.c.) ražošana attiecināma uz vieglo rūpniecību, jo tās savā ražošanas procesā pamatā izmanto fizikālās metodes – vielu sajaukšanu vai atšķaidīšanu.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uzanību, ka attīstības priekšlikuma īstenotājs Valsts vides dienesta tehniskos noteikumus var lūgt pirms būvatļaujas saņemšanas, kas nozīmē, ka sākotnējo priekšlikuma izvērtējumu veic Valsts vides dienests pie nosacījuma, ka Valsts vides dienestā tiek iesniegta pilna dokumentācija par plānoto uzņēmējdarbību, ieskaitot tehnoloģiju, jaudas, izejmateriālus, utt. Būvniecības likuma 14. panta trešā prim daļa noteic, ka Būvvalde var atteikt izdot būvatļauju, ja  ja atbilstoši normatīvajiem aktiem nav veikts ietekmes uz vidi novērtejums, kas nozīmē arīietekmes sākotnējo izvērtējumu. Vienlaikus, ja pašvaldības būvvaldei nav pārliecības par kādas darbības atbilstību teritorijas plānojumam, tā var vērsties Valsts vide dienestā, lūdzot skaidrojumu vai konsultāciju.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4.Pielikuma Lauksaimnieciskās ražošanas uzņēmumu apbūves (13003) aprakstu nesašaurinot to ar mehānisko </w:t>
            </w:r>
            <w:r w:rsidR="00000000" w:rsidRPr="00000000" w:rsidDel="00000000">
              <w:rPr>
                <w:b w:val="1"/>
                <w:rtl w:val="0"/>
              </w:rPr>
              <w:t xml:space="preserve">sauszemes transportlīdzekļu</w:t>
            </w:r>
            <w:r w:rsidR="00000000" w:rsidRPr="00000000" w:rsidDel="00000000">
              <w:rPr>
                <w:rtl w:val="0"/>
              </w:rPr>
              <w:t xml:space="preserve"> remontdarbnīcām, jo praksē var būt gadījumi kur zem Lauksaimnieciskās ražošanas uzņēmumu apbūves var būt nepieciešamība arī ūdens transportlīdzekļu un gaisa transportlīdzekļu remontdarbnīcām.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4.Pielikuma Lauksaimnieciskās ražošanas uzņēmumu apbūves (13003)teritorijas izmantošanas veida aprakstā vārdus "mehānisko sauszemes transportlīdzekļu, tai skaitā lauksaimniecības tehnikas remontdarbnīcas" aizstājot ar "mehānisko sauszemes, ūdens un gaisa transportlīdzekļu, tai skaitā lauksaimniecības tehnikas remontdarbnīcas"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lauksaimnieciskās ražošanas uzņēmumu apbūve (kods 13003)</w:t>
            </w:r>
            <w:r w:rsidR="00000000" w:rsidRPr="00000000" w:rsidDel="00000000">
              <w:rPr>
                <w:rtl w:val="0"/>
              </w:rPr>
              <w:t xml:space="preserve"> apraksts precizēts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lauksaimnieciskās ražošanas un ar to saistīto uzņēmumu apbūve un infrastruktūra, ietverot pārtikas ražošanas uzņēmumus, kokapstrādes uzņēmumus, servisa uzņēmumus, mehānisko sauszemes, </w:t>
            </w:r>
            <w:r w:rsidR="00000000" w:rsidRPr="00000000" w:rsidDel="00000000">
              <w:rPr>
                <w:b w:val="1"/>
                <w:rtl w:val="0"/>
              </w:rPr>
              <w:t xml:space="preserve">ūdens un gaisa</w:t>
            </w:r>
            <w:r w:rsidR="00000000" w:rsidRPr="00000000" w:rsidDel="00000000">
              <w:rPr>
                <w:rtl w:val="0"/>
              </w:rPr>
              <w:t xml:space="preserve"> transportlīdzekļu, tai skaitā lauksaimniecības tehnikas remontdarbnīcas, kaltes, pagrabus, noliktavas, saldētavas, kautuves, siltumnīcu kompleksus, akvakultūras ražošanas būves un tamlīdzīgus objektus.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riskiem, ko var radīt 4.Pielikumā Dzīvnieku aprūpes iestāžu apbūves (12010) apraksta papildināšana ar mājas (istabas) dzīvnieku audzētavām, proti, ja dzīvojamā rajonā ir veterinārā klīnika, tas nerada būtisku ietekmi, bet, ja tur atrodas kaķu, suņu, vai mājas dekoratīvo žurku audzētava – tas var radīt daudz lielāku ietekmi un sabiedrības neapmierinātību. Norādām, ka pašvaldību ieskatā aprūpe un audzētava ir divas dažādas lietas, ko nebūtu vēlams likt zem viena teritorijas izmantošanas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teritorijas izmantošanas veida aprakstu saglabāt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aprūpes iestāžu apbūves (12010) - Apbūve, ko veido veterinārmedicīniskās prakses iestādes dzīvnieku aprūpei, dzīvnieku viesnīcas un patversmes, izņemot lauksaimniecības dzīvnieku vai savvaļas dzīvnieku turēšanai vai audzēšanai paredzētas 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audzētavas ir vieta, kur tiek turēti, kopti un bieži vien arī audzēti dažādi mājdzīvnieki — piemēram, kaķi, suņi, truši, grauzēji, putni vai eksotiski dzīvnieki. Šādas audzētavas var būt gan profesionālas, gan privātas, un to mērķi var atšķirties: no dzīvnieku pavairošanas līdz pat glābšanai un adopcijai.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mājas (istabas) dzīvnieku audzētāju organizācijas reģistrēšanas kārtību un atbilstības kritērijus noteic Ministru kabineta 2019. gada 8. janvāra noteikumi Nr. 10 “Šķirnes mājas (istabas) dzīvnieku audzētāju organizācijas reģistrēšanas un atzīšanas kārtība, kā arī šķirnes mājas (istabas) dzīvnieku ciltsgrāmatas kārtošanas, ciltsrakstu izsniegšanas un audzēšanas programmas apstiprināšanas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noteic, ka  organizāciju, kas audzētavā īsteno audzēšanas programmu, atzīst un tās audzēšanas programmu apstiprina Lauku atbalsta dienesta izveidota komisija, kurā  iekļauti pārstāvji no Lauku atbalsta dienesta, Zemkopības ministrijas, Latvijas Biozinātņu un tehnoloģiju universitātes, kā arī dzīvnieku audzēšanas nozares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Izmantošanas veida </w:t>
            </w:r>
            <w:r w:rsidR="00000000" w:rsidRPr="00000000" w:rsidDel="00000000">
              <w:rPr>
                <w:i w:val="1"/>
                <w:rtl w:val="0"/>
              </w:rPr>
              <w:t xml:space="preserve">dzīvnieku aprūpes iestāžu apbūve (kods 12010) </w:t>
            </w:r>
            <w:r w:rsidR="00000000" w:rsidRPr="00000000" w:rsidDel="00000000">
              <w:rPr>
                <w:rtl w:val="0"/>
              </w:rPr>
              <w:t xml:space="preserve">apraksta papildināšana rada skaidrāku regulējuma piemērošanu, jo šādas audzētavas praksē eksistē un to darbību regulē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pašvaldību bažām par izdarītajiem grozījumiem 4.Pielikuma Viensētu apbūves (11004) izmantošanas veida aprakstā, izslēdzot noteikumu, ka tā var atrasties vienīgi lauku teritorijā, jo tā kā viensētu teritorijās var būt vairākas dzīvojamās mājas, tas var radīt situācijas kurās ciemu teritorijās lielos gabalos tiek veikta vairāku dzīvojamo māju celtniecība bez atbilstošas infrastruktūras. Tāpat nav skaidrības par šādas pieejas ietekmi uz adresāciju, jo viensētām ir raksturīgi nosaukumi nevis adreses ar piesaisti ielai, bet adresācijas noteikumi neparedz pilsētās un ciemos piešķirt nosaukumus.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detalizētus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izvērstāku skaidrojumu, pievienojot informāciju par konkrētiem piemēriem, kur teritorijas plānojumā noteikta indeksēta </w:t>
            </w:r>
            <w:r w:rsidR="00000000" w:rsidRPr="00000000" w:rsidDel="00000000">
              <w:rPr>
                <w:i w:val="1"/>
                <w:rtl w:val="0"/>
              </w:rPr>
              <w:t xml:space="preserve">lauksaimniecības teritorijas (L)</w:t>
            </w:r>
            <w:r w:rsidR="00000000" w:rsidRPr="00000000" w:rsidDel="00000000">
              <w:rPr>
                <w:rtl w:val="0"/>
              </w:rPr>
              <w:t xml:space="preserve"> apakšzona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Indeksētā </w:t>
            </w:r>
            <w:r w:rsidR="00000000" w:rsidRPr="00000000" w:rsidDel="00000000">
              <w:rPr>
                <w:i w:val="1"/>
                <w:rtl w:val="0"/>
              </w:rPr>
              <w:t xml:space="preserve">lauksaimniecības teritorijas (L) </w:t>
            </w:r>
            <w:r w:rsidR="00000000" w:rsidRPr="00000000" w:rsidDel="00000000">
              <w:rPr>
                <w:rtl w:val="0"/>
              </w:rPr>
              <w:t xml:space="preserve">apakšzona pilsētā un ciemos, kur atļauta viensētu apbūve noteikta gan Skrīveru novada teritorijas plānojumā (https://geolatvija.lv/geo/tapis?#document_16521), gan Rēzeknes novada teritorijas plānojumā (https://geolatvija.lv/geo/tapis?#document_19631), gan Jēkabpils novada teritorijas plānojumā (https://geolatvija.lv/geo/tapis?#document_32373), gan Jaunjelgavas novada teritorijas plānojuma 2013.-2024.gada grozījumos (https://geolatvija.lv/geo/tapis?#document_7050), gan citu novadu teritoriju plānojumos. Šādās teritorijās atļauta gan viensētu apbūve, gan ražošana, gan noteikta lielāka minimālā jaunveidojamā zemes gabala platība, piemēram, no 2500m2 līdz 5000m2.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nereti ir būtisks tieši ražošanas apjoms, kas mazos apmēros var tikt uzskatīts par vieglo ražošanu, bet liela ražošanas apjoma gadījumā pieskaitāms pie smagās ražošanas. Lūdzam Anotācijas 1.3. sadaļas 7.rindkopu papildināt ar piemēriem par apjomu, kā arī norādīt, ja pašvaldībai ir tiesības apbūves noteikumos noteikt šādu iedalījumu (pēc apjoma). Lūdzam precizēt, ka vieglās rūpniecības uzņēmumu apbūves teritorijā pieļaujami uzņēmumi, kas ražo produktus no jau gataviem materiāliem, kas netiek ražoti uz vietas, tai skaitā - vai mobilās cementa ražotnes ar ražošanas jaudu līdz 20 000 tonnām gadā, kā arī iekārtas betona un betona izstrādājumu ražošanai ar jaudu līdz 20 000 m³ gadā ir uzskatāmas par vieglās rūpniecības uzņēmumiem un tādējādi attiecināmas uz vieglās rūpniecības uzņēmumu apbūves teritoriju. Ja minētais piemērs atbilst vieglās rūpniecības uzņēmuma definējumam, lūdzam ar to papildināt grozījumu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Jebkurai attīstības iecerei, kura ietver ražošanas uzsākšanu, sākotnēji būtu jāvēršas Valsts vides dienestā, lai saņemtu tehniskos noteikumus un noskaidrotu vai nepieciešama piesārņojošas darbības A vai B kategorijas atļauja,  vai darbība reģistrējama kā C kategorijas piesārņojošā darbība. Ministru kabineta 2010. gada 30. novembra noteikumu Nr. 1082 “Kārtība, kādā piesakāmas A, B un C kategorijas piesārņojošas darbības un izsniedzamas atļaujas A un B kategorijas piesārņojošo darbību veikšanai” pielikumā noteiktas piesārņojošās darbības, ņemot vērā dažādus raksturlielumus, tai skaitā jaudu, tilpumu, kā arī noteiktu iekārtu veidus. Vienlaicīgi akcentējams, ka katra attīstības iecere ir skatāma individuāli, ņemot vērā gan plānotās jaudas, gan ražošanas tehnoloģijas, gan ražošanas procesā izmantojamās ķīmiskās vielas, to bīstamību, uzglabāšanas apjomus, u.c.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neuzskata par nepieciešamu anotācijā norādīt konkrētus ražošanas veidus ar noteiktiem ražošanas apjomiem kā piemērus, jo laika gaitā var mainīties normatīvais regulējums, var mainīties ražošanas procesā izmantojamās tehnoloģijas un konkrētā anotācijas sadaļa vairs nebūs piemērojama un būs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MK noteikumu Nr. 240 4. Pielikumu, ķīmiskās rūpniecības uzņēmumu apbūve šobrīd ir iekļauta atļautajos izmantošanas veidos smagās rūpniecības un pirmapstrādes uzņēmumu apbūvē (13002). Ar grozījumiem tiek plānots, ka noteikta veida ražošana, kas izmanto tikai vielu sajaukšanu vai atšķaidīšanu, nav pieskaitāma smagajai rūpniecībai, kas rada preces tiešam patēriņam, nevis izejvielas, un kas ir atbalstāms. Anotācijas 1.3. sadaļas 7 rindkopā kā piemēri minēti uzņēmumi, kas ražo krāsas uz ūdens bāzes, kūdras substrātus, logu mazgāšanas šķidrumus.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papildināt anotāciju, vai kosmētikas, ziepju un mazgāšanas līdzekļu (sajaukšanai vai atšķaidīšanai) arī ir skaidrojama kā vieglā ražošana un būtu atļaujama vieglās rūpniecības uzņēmumu apbūves teritorijā. Papildus lūdzam skaidrot, vai teritorijas plānojumā nepieciešams atsevišķi definēt vieglās rūpniecības izmantošanas veidu uzņēmumiem, kas nodarbojas tikai ar organisko un neorganisko ķīmisko vielu, ķīmisko produktu vai starpproduktu uzglabāšanu, ja šajās teritorijās ražošanas procesi (t.sk. sajaukšanu un atšķaidīšanu) netiek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konkrētu gadījumu vispārīgs skaidrojums anotācijā netiks sniegts, jo tas var radīt piemērošanas problēmsituācijas.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precizēt Anotācijā informāciju saistībā ar norādīto: "Jāmin, ka atbilstoši MKN 131 1. pielikuma 2. tabulas 15. punktam ūdeņradis kvalificējas kā bīstamā ķīmiskā viela un apjoms, kas atbilst  zemākajam bīstamo vielu kvalificējošajam apjomam un piešķir uzņēmumam rūpniecisko avāriju riska objekta statusu, ir piecdesmit tonnas. No minētā izriet, ka ūdeņraža ražošana un attiecīgi arī glabāšana līdz piecdesmit tonnām pieskaitāma vieglajai rūpniecībai, bet ražošana un uzglabāšana lielākos apjomos būs pieskaitāma smagajai rūpniecībai."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bīstamas ķīmiskas vielas klasificē un marķē saskaņā ar Eiropas Parlamenta un Padomes 2008. gada 16.decembra Regulu (EK) Nr. 1272/2008 par vielu un maisījumu klasificēšanu, marķēšanu un iepakošanu un ar ko groza un atceļ Direktīvas 67/548/EEK un 1999/45/EK un groza Regulu (EK) Nr. 1907/2006 (CLP regula). Atbilstoši CLP regulas VI pielikumā 3. tabulā norādītajam Bīstamo vielu harmonizētās klasifikācijas un marķējuma sarakstam, ūdeņradis ar CAS Nr. 1333-74-0 klasificēts kā bīstama ķīmiska viela (Uzliesmojošas gāzes, 1.A kategorija H220 un Gāzes zem spiediena).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uzņēmums savā teritorijā vienlaicīgi uzglabā MKN 131 1. pielikuma 1. un 2. tabulā minētās bīstamās ķīmiskās vielas tādos apjomos, kas atbilst </w:t>
            </w:r>
            <w:r w:rsidR="00000000" w:rsidRPr="00000000" w:rsidDel="00000000">
              <w:rPr>
                <w:u w:val="single"/>
                <w:rtl w:val="0"/>
              </w:rPr>
              <w:t xml:space="preserve">vismaz zemākajam bīstamo vielu kvalificējošajam apjomam</w:t>
            </w:r>
            <w:r w:rsidR="00000000" w:rsidRPr="00000000" w:rsidDel="00000000">
              <w:rPr>
                <w:rtl w:val="0"/>
              </w:rPr>
              <w:t xml:space="preserve">, uzņēmums ir rūpniecisko avāriju riska objekts. Atbilstoši ar MKN 131 1. pielikuma 2. tabulas 15. punktam zemākais ūdeņraža bīstamo ķīmisko vielu kvalificējošais daudzums, lai piemērotu MKN 131 prasības, kas attiecas uz zemāka riska līmeņa rūpniecisko avāriju riska objektiem </w:t>
            </w:r>
            <w:r w:rsidR="00000000" w:rsidRPr="00000000" w:rsidDel="00000000">
              <w:rPr>
                <w:u w:val="single"/>
                <w:rtl w:val="0"/>
              </w:rPr>
              <w:t xml:space="preserve">ir piecas tonnas </w:t>
            </w:r>
            <w:r w:rsidR="00000000" w:rsidRPr="00000000" w:rsidDel="00000000">
              <w:rPr>
                <w:rtl w:val="0"/>
              </w:rPr>
              <w:t xml:space="preserve">nevis piecdesmit tonnas. Līdz ar to lūdzam precizēt visā tekstā - Ja saražotais un uzglabātais udeņraža apjoms nesasniedz MKN 131 1. pielikuma 2. tabulas 15. punktā noteikto zemāko bīstamo vielu kvalificējošo apjomu - </w:t>
            </w:r>
            <w:r w:rsidR="00000000" w:rsidRPr="00000000" w:rsidDel="00000000">
              <w:rPr>
                <w:u w:val="single"/>
                <w:rtl w:val="0"/>
              </w:rPr>
              <w:t xml:space="preserve">5 tonnas</w:t>
            </w:r>
            <w:r w:rsidR="00000000" w:rsidRPr="00000000" w:rsidDel="00000000">
              <w:rPr>
                <w:rtl w:val="0"/>
              </w:rPr>
              <w:t xml:space="preserve">, šāda ražošana un uzglabāšana būs pieskaitāma vieglajai rūpniecībai.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anotācijā norādīto atsauci uz Eiropas Parlamenta un Padomes 2024. gada 24. aprīļa direktīvu 2024/1785/ES ar ko groza Eiropas Parlamenta un Padomes Direktīvu 2010/75/ES par rūpnieciskajām emisijām (piesārņojuma integrēta novēršana un kontrole) un Padomes Direktīvu 1999/31/EK par atkritumu poligoniem (Dokuments attiecas uz EEZ) kontekstā ar ietekmes uz vidi novērtējuma (IVN) procedūru, jo minētā direktīvā neregulē IVN procedūras piemērošanu, tostarp nenosaka, ka ūdeņraža ražošanai, pie noteiktajiem apjomiem, nav piemērojama ietekmes uz vidi novērtējuma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 svītrojot atsauci uz Eiropas Parlamenta un Padomes 2024.gada 24.aprīļa direktīvu 2024/1785/ES ar ko groza Eiropas Parlamenta un Padomes Direktīvu 2010/75/ES par rūpnieciskajām emisijām (piesārņojuma integrēta novēršana un kontrole) un Padomes Direktīvu 1999/31/EK par atkritumu poligoniem..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aicina pārvērtēt iespēju autoostu teritorijās atrasties ķīmiskās nozares uzņēmumiem, ražot un uzglabāt alternatīvo degvielu. Autoostu teritorijas salīdzinājumā ar lidostu un ostu teritorijām ir atvērtas, tās ir pieejamas ikvienam cilvēkam, tādejādi rūpniecisko avāriju riskiem būs pakļauti daudz vairāk cilvēku, tāpat ķīmisko vielu ražošanas un uzglabāšanas iekārtu drošība samazināsies daudzkārt, jo nepiederošām personām būs piekļuve iekārtām. Lūdzam veikt attiecīgus papildinājumus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2.1.apakšsadaļu, norādot, ka noteikumu projekts attiecas uz mājas (istabas) dzīvnieku īpašniekiem (fiziskām vai juridiskajām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apakšsadaļa, norādot, ka noteikumu projekts attiecas uz mājas (istabas) dzīvnieku īpašniekiem, gan fiziskām, gan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anotācijā ietvertajam aprakstam par sabiedrības līdzdalību jāatspoguļo sabiedrības līdzdalības iespēju rezultāts, attiecīgi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lūdzam papildināt 6.3.apakšpunktu. Ņemot vērā, ka noteikumu projekta publiskās apspriešanas laikā saņemti skaitliski daudz vairāk viedokļu gan no iedzīvotājiem, gan biedrībām (nevis tikai biedrības "Latvijas Lielo pilsētu asociācija" viedoklis kā minēts šobrīd), Valsts kanceleja aicina papildināt noteikumu projekta anotācijas 6.3. apakšpunktā ietverto aprakstu pēc būtības atspoguļojot publiskās apspriešanas norisi (laika ietvars), saņemtos viedokļus (to skaitā, viena satura viedokļi, to būtība, tā sniedzēju raksturojums, saņemto viedokļu skaits) un ministrijas viedokli par tiem kopumā (neskatoties uz to, ka ministrijas viedoklis sniegts arī apkopojumā).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apakšsadaļa papildināta atbilstoši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4. pielikumā Mežsaimnieciskas teritorijas izmantošanas aprakstu papildināt ar atsauci par plantāciju mežu, jo saskaņā ar anotācijā minēto, </w:t>
            </w:r>
            <w:r w:rsidR="00000000" w:rsidRPr="00000000" w:rsidDel="00000000">
              <w:rPr>
                <w:i w:val="1"/>
                <w:rtl w:val="0"/>
              </w:rPr>
              <w:t xml:space="preserve">“teritorijas izmantošanas veida mežsaimnieciska izmantošana (kods 21001) apraksts nesatur atsauci uz plantāciju mežiem, kā vienu no mežsaimnieciskās izmantošanas veidiem”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koda 21001 </w:t>
            </w:r>
            <w:r w:rsidR="00000000" w:rsidRPr="00000000" w:rsidDel="00000000">
              <w:rPr>
                <w:u w:val="single"/>
                <w:rtl w:val="0"/>
              </w:rPr>
              <w:t xml:space="preserve">apraksts ne pašlaik spēkā esošajā, ne grozījumu redakcijā nesatur atsauci uz meža apsaimniekošanu</w:t>
            </w:r>
            <w:r w:rsidR="00000000" w:rsidRPr="00000000" w:rsidDel="00000000">
              <w:rPr>
                <w:rtl w:val="0"/>
              </w:rPr>
              <w:t xml:space="preserve">, bet gan uzskaita dažādus infrastruktūras un specifiskas izmantošanas veidus. </w:t>
            </w:r>
            <w:r w:rsidR="00000000" w:rsidRPr="00000000" w:rsidDel="00000000">
              <w:rPr>
                <w:u w:val="single"/>
                <w:rtl w:val="0"/>
              </w:rPr>
              <w:t xml:space="preserve">Aprakstā minētie “malkas mežs”, “celulozes mežs” un “lietaskoku mežs” nav definēti un netiek lietoti meža nozares normatīvajā regulējumā</w:t>
            </w:r>
            <w:r w:rsidR="00000000" w:rsidRPr="00000000" w:rsidDel="00000000">
              <w:rPr>
                <w:rtl w:val="0"/>
              </w:rPr>
              <w:t xml:space="preserve">. Ierosinām mežsaimnieciskas izmantošanas aprakstu veidot līdzīgi kā lauksaimnieciskas un ūdenssaimnieciskas izmantošanas teritorijām – minot arī meža apsaimniekošanu un izslēdzot normatīvajā regulējumā nelietotus un nedefinētus meža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21001, Mežsaimnieciska izmantošana: Meža ilgtspējīga apsaimniekošana, kas balstīta Meža politikā, kā arī ietver meža apsaimniekošanai, izmantošanai un aizsardzībai nepieciešamo meža un medību infrastruktūru, rekreācijas objektus, savvaļas dzīvnieku dārzus, kā arī plantāciju meža, Ziemassvētku eglīšu un citu meža produktu audzēšanu un ciršanu.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 pielikuma izmantošanas veida </w:t>
            </w:r>
            <w:r w:rsidR="00000000" w:rsidRPr="00000000" w:rsidDel="00000000">
              <w:rPr>
                <w:i w:val="1"/>
                <w:rtl w:val="0"/>
              </w:rPr>
              <w:t xml:space="preserve">mežsaimnieciska izmantošana (kods 21001) </w:t>
            </w:r>
            <w:r w:rsidR="00000000" w:rsidRPr="00000000" w:rsidDel="00000000">
              <w:rPr>
                <w:rtl w:val="0"/>
              </w:rPr>
              <w:t xml:space="preserve">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meža un meža zemes ilgtspējīga apsaimniekošana, ietverot meža apsaimniekošanai, izmantošanai un aizsardzībai nepieciešamo meža un medību infrastruktūru, rekreācijas objektus, iežogotas meža platības savvaļas dzīvnieku turēšanai nebrīvē,  u.c. normatīvajos aktos noteiktu meža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4.Pielikuma Aizsardzības un drošības iestāžu apbūves  (12006) aprakstu nav nepieciešams papildināt ar slēgtā tipa patvēruma meklētāju uzturēšanas un izmitināšanas centriem, ko pārvalda Valsts robežsardze, un atvērtā tipa patvēruma meklētāju centriem, kas darbojas Iekšlietu ministrijas pārraudzībā.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un anotācija precizēti atbilstoši Iekšlietu ministrijas priekšlikumam (skat, izziņas 45.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Aizsardzības un drošības iestāžu apbūves (kods 12006) </w:t>
            </w:r>
            <w:r w:rsidR="00000000" w:rsidRPr="00000000" w:rsidDel="00000000">
              <w:rPr>
                <w:rtl w:val="0"/>
              </w:rPr>
              <w:t xml:space="preserve">precizētais apraksts - apbūve, ko veido brīvības atņemšanas iestādes, aizsardzības spēku, policijas, ugunsdzēsības un glābšanas dienesti un ugunsdzēsēju depo, katastrofu pārvaldības centri, kazarmas un citas valsts aizsardzības un drošības iestādes un to funkcijām nepieciešamās ēkas un būves, </w:t>
            </w:r>
            <w:r w:rsidR="00000000" w:rsidRPr="00000000" w:rsidDel="00000000">
              <w:rPr>
                <w:b w:val="1"/>
                <w:rtl w:val="0"/>
              </w:rPr>
              <w:t xml:space="preserve">tai skaitā patvēruma meklētāju un aizturēto ārzemnieku izmitināšanas centri.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Dzīvojamajā apbūvē un Publiskajā apbūvē ietilpstošo Teritorijas izmantošanas veidu aprakstus ar patvertnēm ņemot vērā, ka tām ir publiskā funkcija un tām nav obligāti jābūt tieši saistītām ar konkrētām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var būt kā daļa no dzīvojamās vai publiskās ēkas, kā arī atsevišķi stāvošas civilās aizsardzības būves. Kā patvertnes var tikt izmantotas citam lietošanas veidam būvētas būves, piemēram, noliktavas, sporta zāles. Vienlaicīgi patvertnes kā atsevišķi stāvošas civilās aizsardzības būves ir piederīgas teritorijas izmantošanas veidam </w:t>
            </w:r>
            <w:r w:rsidR="00000000" w:rsidRPr="00000000" w:rsidDel="00000000">
              <w:rPr>
                <w:i w:val="1"/>
                <w:rtl w:val="0"/>
              </w:rPr>
              <w:t xml:space="preserve">aizsardzības un drošības iestāžu apbūve (kods 12006)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Ministru kabineta 2025. gada 22. jūlija noteikumu Nr. 451 “Patvertņu būvnormatīvs LBN 210-25”, kas noteic prasības patvertnēm atkarībā no to spējas aizsargāt cilvēkus no dažādiem ieročiem, anotācijā, Latvijā netiek paredzēta centralizēta patvertņu tīkla izbūve cilvēku drošai patveršanai militārās agresijas un uzbrukuma gadījumā. Būvnormatīvs paredz jaunu ēku un būvju projektēšanā iekļaut patvertnes funkcijas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4.Pielikuma Noliktavu apbūves (14004) aprakstā (vai detalizēti paskaidrot anotācijā), kā interpretējams </w:t>
            </w:r>
            <w:r w:rsidR="00000000" w:rsidRPr="00000000" w:rsidDel="00000000">
              <w:rPr>
                <w:i w:val="1"/>
                <w:rtl w:val="0"/>
              </w:rPr>
              <w:t xml:space="preserve">“…videi nekaitīgu atkritumu (kas nerada ietekmi uz vidi vai draudus cilvēku veselībai) uzglabāšanai…”</w:t>
            </w:r>
            <w:r w:rsidR="00000000" w:rsidRPr="00000000" w:rsidDel="00000000">
              <w:rPr>
                <w:rtl w:val="0"/>
              </w:rPr>
              <w:t xml:space="preserve">, lai novērstu neskaidrību, vai teritorijā, kur atļauta šī izmantošana (“noliktavu apbūve”), būtu pieļaujama atkritumu apsaimniekošana, kam nepieciešams saņemt atbilstošu atkritumu apsaimniekošanas atļauju, un ja tas tā tiek paredzēts, tad kā būs iespējams nošķirt paredzamo ietekmi – veicot sākotnējo ietekmes novērtējumu, vai pēc kādiem konkrēti definētiem kritērijiem, un vai tas būtu pašvaldības vai vides institūciju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normu būtu iespējams piemērot atbilstoši, lūdzam veikt 4.Pielikuma Noliktavu apbūves (14004) apraksta precizējumu, vai to detalizēti paskaidrot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kur teritorijas atļautā izmantošana ir noliktavu apbūve (kods 14004), kur cita starpā atļauta iepakojumu un videi nekaitīgu atkritumu (kas nerada ietekmi uz vidi vai draudus cilvēku veselībai) uzglabāšana, kā piemērs minama metāllūžņu savākšana un uzglabāšana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apsaimniekošanas likuma 1. panta 16. punkts definē, ka atkārtota izmantošana ir jebkura darbība, kuras rezultātā produktus vai to sastāvdaļas, kas nav atkritumi, izmanto vēlreiz tādam pašam nolūkam, kādam tie bija paredzēti. Ministru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saskaņā ar 2. punktu attiecas uz melno un krāsaino metālu izstrādājumiem un to daļām, kas lūzumu, griezumu, nodiluma vai citu iemeslu dēļ nav izmantojami paredzētajam mērķim un kuri saskaņā ar normatīvajiem aktiem par atkritumu klasifikatoru un īpašībām, kas padara atkritumus bīstamus, nav klasificēti kā bīstamie atkritumi; lūžņiem, kas radušies, veicot saimniecisko darbību rūpniecībā, būvniecībā, lauksaimniecībā vai citās tautsaimniecības nozarēs, kā arī sadzīvē; atkārtoti neizmantojamām ēku, inženierbūvju vai citu infrastruktūras objektu vai to daļu metāla konstrukcijām, kas klasificētas kā būvniecības vai būvju nojaukšanas atkritumi un kuras saskaņā ar normatīvajiem aktiem par atkritumu klasifikatoru un īpašībām, kas padara atkritumus bīstamus, nav klasificētas kā bīstamie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Metāllūžņu iepirkšanai Valsts vides dienestā saņemama licence, kā arī piesārņojošās darbības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 gada 19. aprīļa noteikumi Nr. 302 “Noteikumi par atkritumu klasifikatoru un īpašībām, kuras padara atkritumus bīstamus” cita starpā noteic īpašības,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30. aprīļa noteikumos Nr. 240 "Vispārīgie teritorijas plānošanas, izmantošanas un apbūves noteikumi" (Latvijas Vēstnesis, 2013, 96. nr.; 2019, 203. nr.; 2020, 200. nr.; 2024, 223.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4.Pielikuma teritorijas izmantošanas veida Smagā rūpniecība (13002) aprakstu saistībā ar ķīmisko rūpniecību, lai nebūtu pārpratumu lūdzam to papildināt ar vārdiem </w:t>
            </w:r>
            <w:r w:rsidR="00000000" w:rsidRPr="00000000" w:rsidDel="00000000">
              <w:rPr>
                <w:i w:val="1"/>
                <w:rtl w:val="0"/>
              </w:rPr>
              <w:t xml:space="preserve">“izņemot uzņēmumus, kas ražošanas procesā izmanto tikai fizikālās metodes”</w:t>
            </w:r>
            <w:r w:rsidR="00000000" w:rsidRPr="00000000" w:rsidDel="00000000">
              <w:rPr>
                <w:rtl w:val="0"/>
              </w:rPr>
              <w:t xml:space="preserve">, jo šī darbība ir atļauta pie vieglās rūpniecības.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normatīvā akta normas, tās jāskata kompleksi, neizraujot vienu normu no visa kopējā normatīvā akta satura konteksta. Ja teritorijas izmantošanas veida </w:t>
            </w:r>
            <w:r w:rsidR="00000000" w:rsidRPr="00000000" w:rsidDel="00000000">
              <w:rPr>
                <w:i w:val="1"/>
                <w:rtl w:val="0"/>
              </w:rPr>
              <w:t xml:space="preserve">vieglās rūpniecības uzņēmumu apbūve (kods 13001)</w:t>
            </w:r>
            <w:r w:rsidR="00000000" w:rsidRPr="00000000" w:rsidDel="00000000">
              <w:rPr>
                <w:rtl w:val="0"/>
              </w:rPr>
              <w:t xml:space="preserve"> aprakstā minēts, ka tajā ietilpst “ķīmiskās rūpniecības uzņēmumi, kas ražošanas procesā izmanto tikai fizikālās metodes (sajaukšana, atšķaidīšana) un pēc vienlaicīgi uzglabātā bīstamo ķīmisko vielu apjoma neatbilst rūpniecisko avāriju riska objektam”, tad saprotams, ka izmantošanas veidā </w:t>
            </w:r>
            <w:r w:rsidR="00000000" w:rsidRPr="00000000" w:rsidDel="00000000">
              <w:rPr>
                <w:i w:val="1"/>
                <w:rtl w:val="0"/>
              </w:rPr>
              <w:t xml:space="preserve">smagās rūpniecības un pirmapstrādes uzņēmumu apbūve (kods 13002)</w:t>
            </w:r>
            <w:r w:rsidR="00000000" w:rsidRPr="00000000" w:rsidDel="00000000">
              <w:rPr>
                <w:rtl w:val="0"/>
              </w:rPr>
              <w:t xml:space="preserve"> ietilpst pārējie ķīmiskās rūpniecības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anotāciju, ņemot vērā, ka TAP portālā saskaņošanā ir MK noteikumu projekts "Grozījumi Ministru kabineta 2010. gada 30. novembra noteikumos Nr. 1082 "Kārtība, kādā piesakāmas A, B un C kategorijas piesārņojošas darbības un izsniedzamas atļaujas A un B kategorijas piesārņojošo darbību veikšanai" (25-TA-1776), kurā  paredzēts, ka ķīmisko vielu uzglabāšanas un transportēšanas trauku un tvertņu tīrīšanai paredzētās mazgāšanas iekārtas tiek izslēgtas no B kategorijas piesārņojošo darbības saraksta, jo gadījumos, kad notekūdeņus novada centralizētā kanalizācijas sistēmā, prasības priekšattīrīšanai nosaka līgums starp notekūdeņu radītāju un notekūdeņu attīrīšanas iekārtu apsaimniekotāju, savukārt, ja attīrītos notekūdeņus novada vidē, tad šādām darbībām jau ir paredzēta prasība saņemt B kategorijas piesārņojošās darbības atļauju vai veikt C kategorijas darbības reģistrāciju kā notekūdeņu attīrīšanas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priekšlikumā minētajam, svītrojot atsauci uz Ministru kabineta 2010. gada 30. novembra noteikumu Nr. 1082 “Kārtība, kādā piesakāmas A, B un C kategorijas piesārņojošas darbības un izsniedzamas atļaujas A un B kategorijas piesārņojošo darbību veikšanai” 1. pielikuma 8.7.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ievērtēt un papildināt ar to, ka Ministru kabineta noteikumos Nr.131 "Rūpniecisko avāriju riska novērtēšanas kārtība un riska samazināšanas pasākumi" (turpmāk - MK noteikumi Nr.131) noteiktais drošības attālums un drošības aizsargjosla Aizsargjoslu likuma izpratnē ir divi dažādi jēdzieni un pielietojums tiem arī ir dažāds. Drošības aizsargjosla, kas izriet no Aizsargjoslu likuma, nosaka automātisku ierobežojumu teritorijas plānojumā, kas var mainīties atbilstoši no apjomiem, bet drošības attālums MK noteikumu Nr.131 izpratnē ir konkrētā objekta/uzņēmuma riska novērtējumā iegūtais minimālais attālums, lai cilvēku netiktu pakļauti nepieļaujamam riskam, kas arī ir tehniski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precizēta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iepazinās ar publiskās apspriešanas laikā saņemto iedzīvotāju un biedrību priekšlikumiem un aicina papildināt noteikumu projekta anotācijas 6.1.apakšpunktu, uzskaitot visas noteikumu projekta izstrādē iesaistījušās biedrības. Papildus norādāms, ka uzskaitījums papildināts arī attiecībā uz biedrībām, kas iesaistījušās saskaņošanas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priekšlikumā minētajam, norādot, ka viena no Projekta izstrādē iesaistītajām institūcijām ir arī Latvijas Lielo pilsētu asociācija, kuras publiskās apspriešanas laikā izteiktie iebildumi tika ņemti vērā un iekļauti MKN 240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tehnoloģiju attīstību un arvien biežākiem jautājumiem no teritoriju attīstītāju puses un pašvaldību būvvalžu pieredzes, izvērtējot būvniecības ieceres, pašvaldības norāda uz nepieciešamību noteikumos iestrādāt informāciju par BESS sistēmām (Elektroenerģiju uzkrājošās bateriju sistēmas), paredzot kurās teritorijās šādu sistēmu būvniecība tiek pieļauta.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Elektroenerģijas tirgus likuma1. panta 27. punktā  ietvertās definīcijas izriet, ka elektroenerģijas uzkrātuve ir iekārta vai iekārtu kopums, kurā notiek enerģijas uzkrāšana vēlākai izmantošanai elektroenerģijas pārvades vai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sniegto skaidrojumu enerģijas uzkrāšanas akumulators (elektroenerģijas uzkrātuve) ir iekārta, kas uzkrāj noteikta veida enerģiju, kas tiek uzstādīta un ekspluatēta atbilstoši ražotāja izstrādātajai instrukcijai, ievērojot visus elektrodrošības un ugunsdrošības pasākumus gan uzstādīšanas, gan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elektroenerģijas uzkrāšanas baterijas (akumulatori) tiek izvietoti konteinerā, tad tā tiek uzskatīta par iekārtu, un šādas iekārtas uzstādīšanai vai izvietošanai būvē vai citur nav piemērojams būvniecības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iekārtas funkcionēšanai, uzstādīšanai vai izvietošanai ir nepieciešams veikt būvdarbus, piemēram, ierīkot ārējos vai iekšējos inženiertīklus, cietā seguma laukumus, ēkas būvniecību, piemērojams būvniecības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elektroenerģijas uzkrātuve atbilst iepriekš minētajiem kritērijiem un secināms, ka tā ir iekārta, tās izvietošana nav MKN 240 tvērumā, un uz to izvietošanu nav attiecināmi ierobežojoši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MKN 240 5.4. apakšpunkts noteic, ka esošo un plānoto objektu funkciju nodrošināšanai visās teritorijās atļauta inženiertīklu un objektu izbūve, savukārt teritorijas izmantošanas veids Tehniskā apbūve un teritorijas izmantošana iekļauj izmantošanas veidu </w:t>
            </w:r>
            <w:r w:rsidR="00000000" w:rsidRPr="00000000" w:rsidDel="00000000">
              <w:rPr>
                <w:i w:val="1"/>
                <w:rtl w:val="0"/>
              </w:rPr>
              <w:t xml:space="preserve">energoapgādes uzņēmumu apbūve (kods 14006)</w:t>
            </w:r>
            <w:r w:rsidR="00000000" w:rsidRPr="00000000" w:rsidDel="00000000">
              <w:rPr>
                <w:rtl w:val="0"/>
              </w:rPr>
              <w:t xml:space="preserve">, kurā atļauta enerģijas ražošanas un energoapgādes objektu apbūve, kā arī izmantošanas veidu </w:t>
            </w:r>
            <w:r w:rsidR="00000000" w:rsidRPr="00000000" w:rsidDel="00000000">
              <w:rPr>
                <w:i w:val="1"/>
                <w:rtl w:val="0"/>
              </w:rPr>
              <w:t xml:space="preserve">inženiertehniskā infrastruktūra (kods 14001)</w:t>
            </w:r>
            <w:r w:rsidR="00000000" w:rsidRPr="00000000" w:rsidDel="00000000">
              <w:rPr>
                <w:rtl w:val="0"/>
              </w:rPr>
              <w:t xml:space="preserve">, kas ietver elektroenerģijas pārvadei, uzglabāšanai, sadalei un pievadei nepieciešamās būves un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MKN 240 regulējums ir pietiekams un 4. pielikuma aprakstos nav nepieciešams īpaša atsauce uz elektroenerģiju uzkrājošo bateriju (BESS) sistēmām, jo to izvietošana saistīta ar elektroenerģiju ražojošu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publiski pieejamas informācijas šobrīd Latvijā ir aptuveni 900 šādu bateriju sistēmu ar kopējo jaudu 8,4 megavati un tiek prognozēts, ka arī privātās mājsaimniecības varētu uzstādīt šādas bateriju sistēmas, lai līdzsvarotu elektroenerģijas padevi tīklā un samazinātu izmaksas par pirkto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teritorijas plānošanas, izmantošanas un apbūves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atzinumu tiesiskums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procesā pašvaldības ir obligāti jāsaskaņo teritorijas plānojumi ar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var sniegt negatīvu atzinumu, kas pašvaldībai ir saistošs, un plānojums bez šī saskaņojuma nevar tikt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šobrīd neprasa, lai institūcija precīzi pamato savu negatīvo atzinumu, atsaucoties uz konkrētu normatīvo aktu vai nosakot skaidri ietekmēto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bieži parādās atzinumi ar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atbalstīt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zonējuma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apbūve 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nav norādīts, kāpēc, uz kā pamata un kāds konkrēts tiesiskais regulējums tiek pārkāpts.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nenoteiktība: pašvaldība nevar zināt, kāpēc priekšlikums ir noraidīts, jo trūkst atsauces uz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Patvaļīgas prasības: institūcijas var pieprasīt izmaiņas, kas nav balstītas tiesību normās, bet uzskatās kā saistošas, jo tās ir “negatīvs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vilcināšana: plānojumu apstiprināšana tiek kavēta, jo pašvaldība spiesta “minēt” iemeslus un atkārtoti saskaņot, pat ja tiesiskais pamats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iespējas pārsūdzēt: negatīvs atzinums faktiski ir veto, bet tam nav tiesiski pārbaudāma pamatojuma, kas padara to praktiski nepārsūdzamu.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normu , ka negatīvs atzinums ir spēkā tikai tad, ja tajā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normatīvais akts un tiesību norma (pants, punkts), uz kuru institūcija balsta savu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ietekmētā teritorija (kadastra apzīmējums, robeža, kartes fragments), kurā šis regulējums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informācija nav norādīta, atzinums ir uzskatāms par rekomendējošu, nevis 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Vācija: negatīvam atzinumam (Stellungnahme) obligāti jāpievieno atsauce uz BauGB vai BauNVO normu; ja tās nav, atzinums ir tikai informatīvs.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Somija: institūcijas drīkst iebilst tikai uz tiesību normu pamata, pretējā gadījumā atzinums klasificējas kā “ieteikums” (lausunto).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Igaunija: negatīvs atzinums derīgs tikai tad, ja tas ir saskaņots ar likumu un pamatots ar konkrētiem faktiem vai datiem (piemēram, aizsargājamo biotopu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nodrošinātu tiesisko noteiktību, jo pašvaldība precīzi zinātu, uz kā pamata jāveic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novērstu patvaļīgas prasības un nodrošinātu, ka iestāžu iebildumi ir juridiski pārbaudāmi.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Paātrinātu teritorijas plānojumu saskaņošanas procesu un samazinātu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Paaugstinātu iedzīvotāju un investoru uzticību plānošanas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atzinumi teritorijas plānošanā ir būtiska daļa no teritorijas plānošanas procesa, kas nodrošina dažādu valsts un pašvaldību iestāžu iesaisti un interešu saskaņošanu. Institūciju sadarbību plānošanas dokumentu izstrādē noteic Ministru kabineta 2014. gada 14. oktobra noteikumi Nr. 628 “Noteikumi par pašvaldību teritorijas attīstības plānošanas dokumentiem” (turpmāk – MKN 628). MKN 628 59. punkts noteic, ka atzinumā institūcija izvērtē, vai plānošanas dokumenta risinājums atbilst attiecīgo nozari reglamentējošiem normatīvajiem aktiem un politikas plānošanas dokumentiem un institūcijas sniegtajiem nosacījumiem. Regulējums noteic pašvaldībai pienākumu izvērtēt  institūciju atzinumus un sagatavot ziņojumu par nosacījumu un atzinumu vērā ņemšanu vai noraidīšanu, norādot noraidījuma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birokrātiskā sloga samazināšanas uzdevumu izpildi, MKN 628 regulējumā noteikts, ka institūcija nosacījumus sniedz pēc iespējas īsākā termiņā, bet ne vēlāk kā 20 darbdienu laikā no TAPIS pieprasījuma saņemšanas brīža, savukārt atzinumu  sniedz termiņā, kas sakrīt ar publiskās apspriešanas norises laiku. Ja institūcija objektīvu iemeslu dēļ nevar sniegt atzinumu noteiktajā termiņā, tā var informēt pašvaldību par atzinuma sniegšanas termiņa pagarināšanu līdz trim darbdienām (Ministru kabineta 2024. gada 3. decembra noteikumi Nr. 777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normatīvajos aktos netiek skaidri nošķirts, kas ir saistoša informācija (apbūves tiesības, aprobežojumi), un kas ir tikai informatīva (piemēram, trokšņu modelējums, VES ietekmes zonas). Rezultātā pašvaldību plānojumos kartēs parādās “pusjuridiski” dati, kas rada maldinošas situācijas iedzīvotājiem un investoram – vai tā ir tiesiski saistoša zona vai tikai informatīva.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rodas tiesvedības riski, jo cilvēki atsaucas uz informatīvām kartēm kā uz juridiski saistošām.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ieviešot oficiālu terminu “informatīvā karte”, tiek nošķirts, kas ir saistošs (zonējums, aprobežojumi), un kas ir tikai papildinformācija.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definīcija: būtiski nostiprināt, ka visi apgrūtinājumi un aprobežojumi tiek uzturēti vienotā valsts sistēmā, kur dati ir aktuāli. Tas novērš dublēšanos pašvaldību plānos un administratīvo slogu, jo pašvaldībai nav jāgroza TP katru reizi, kad izmainās aizsargjoslu robeža vai cits aprobežojums.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Igaunijā visi apgrūtinājumi tiek fiksēti valsts sistēmā “Keskkonnaregister” (vides reģistrs), Somijā – “LUPA” sistēmā. Pašvaldības plānos tikai atsaucas uz šiem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Apgrūtināto teritoriju informācijas sistēma (</w:t>
            </w:r>
            <w:r w:rsidR="00000000" w:rsidRPr="00000000" w:rsidDel="00000000">
              <w:rPr>
                <w:rtl w:val="0"/>
              </w:rPr>
              <w:t xml:space="preserve">ATIS) – valsts informācijas sistēma, kurā reģistrē ar normatīvajiem aktiem noteiktos apgrūtinājumus un aprobežojumus; ATIS dati ir izmantojami kā oficiālais avots teritorijas plānojuma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karte</w:t>
            </w:r>
            <w:r w:rsidR="00000000" w:rsidRPr="00000000" w:rsidDel="00000000">
              <w:rPr>
                <w:rtl w:val="0"/>
              </w:rPr>
              <w:t xml:space="preserve"> – plānojuma papildmateriāls sabiedrības informēšanai; tā nav juridiski saistoša un tajā var attēlot tehniskos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RACA apgalvojumam, Teritorijas attīstības plānošanas likums un tam pakārtotie Ministru kabineta noteikumi skaidri noteic to datu vai informācijas apjomu, kas apstiprinot teritorijas plānojumu vai lokālplānojumu tiek noteikta ar ārējo normatīvo aktu – saistošajiem noteikumiem. Ar ārējo normatīvo aktu tiek apstiprināti teritorijas izmantošanas un apbūves noteikumi un grafiskā daļa, kurā noteikts funkcionālais zonējums, teritorijas ar īpašiem noteikumiem un apgrūtinātās teritorijas, kuru noteikšana ir pašvaldību kompetencē un aizsargjoslas pašvaldību pārziņā esošajiem objektiem, kuriem nosaka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informācija par teritorijas plānošanas dokumentiem vienuviet pieejama ģeoportāla (Ģeolatvija.lv) sadaļā Teritorijas izmantošana. Lai nodrošinātu pēc iespējas plašākas aktuālas, ar teritorijas plānošanu saistītās informācijas pieejamību, ģeoportālā pieejami aktuālie kadastra un adrešu reģistra dati, aktuālie dati no dabas datu sistēmas Ozols, no ATIS, dati par nacionālo interešu objektiem,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VARAM ir uzsākusi darbu pie viena no teritorijas attīstības plānošanas sistēmas pilnveides uzdevumiem - apgrūtinājuma slāņa nodalīšana no teritorijas plānojuma, kas konceptuāli atbilst RACA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Stājoties spēkā jaunam teritorijas plānojumam, lokālplānojumam vai detālplānojumam, var turpināt likumīgi uzsākto teritorijas izmantošanu. Jebkuru jaunu teritorijas izmantošanu veic atbilstoši spēkā esošajam teritorijas plānojumam, lokālplānojumam vai detālplānojumam.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noteiktas stingras minimālās platības lauku un pilsētu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šie skaitļi ne vienmēr atbilst reālajai situācijai. Piemēram, nelielos ciemos 2000 m² var būt nesamērīgs minimums, savukārt lauksaimniecības teritorijā 2 ha var būt pārāk daudz vai pārāk maz atkarībā no saimniecības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noteikt, ka pašvaldība nosaka minimālās platības, pamatojoties uz infrastruktūru un apbūves raksturu.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Vācijā zemes vienību lielumu nosaka pašvaldības plāni. Somijā – tas ir detālplānojuma jautājums, nav vienotas valsts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6.punktu ar apakšpunktu: Zemes vienību minimālās platības nosaka pašvaldība savos teritorijas izmantošanas un apbūves noteikumos , ņemot vērā apbūves raksturu, infrastruktūras nodrošinājumu un vietējās attīstības vajadzības. Valsts noteiktās platību normas ir rekomendējošas un piemērojamas tikai gadījumos, ja pašvaldība nav noteikusi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240 nosaka minimālās jaunveidojamās zemes vienības platību (2 ha ar noteiktiem izņēmumiem) tikai lauku teritorijai, t.i., teritorijai ārpus pilsētām un ciemiem. Īstenojot likumā noteikto autonomo kompetenci teritorijas plānošanā, pašvaldība nosaka savas administratīvās teritorijas izmantošanu pēc saviem ieskatiem, tai skaitā, plāno pilsētu un ciemu attīstību. MKN 240 10. punkts noteic, ka pašvaldība konkrētām funkcionālām zonām var noteikt jaunveidojamo zemes vienību minimālo platību, bet atbilstoši MKN 240 24.2. apakšpuntam, jaunveidojamo zemes vienību minimālo platību obligāti nosaka savrupmāju apbūves teritorijās. Citās teritorijās tā nosakāma pēc nepieciešamības. Tas nozīmē, ka regulējums ierobežo jaunveidojamās zemes vienības platību tikai lauku teritorijā (ja citos normatīvos aktos nav noteikta lielāka platība), savukārt pilsētās un ciemos pašvaldības to nosaka ņemot vērānormatīvos aktus, pašvaldības stratēģiskos mērķus, konkrēto situāciju, zemes īpašnieku vēlmes un attīstības ieceres.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Stājoties spēkā jaunam teritorijas plānojumam, lokālplānojumam vai detālplānojumam, var turpināt likumīgi uzsākto teritorijas izmantošanu. Jebkuru jaunu teritorijas izmantošanu veic atbilstoši spēkā esošajam teritorijas plānojumam, lokālplānojumam vai detālplānojumam.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Stājoties spēkā jaunam teritorijas plānojumam, lokālplānojumam vai detālplānojumam, var turpināt likumīgi uzsākto teritorijas izmantošanu. Jebkuru jaunu teritorijas izmantošanu veic atbilstoši spēkā esošajam teritorijas plānojumam, lokālplānojumam vai detālplānojumam.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esošo punktu ar apakšpunktu, pamatojoties uz:Pamatojums: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240 praksē liek pašvaldībām jau teritorijas plānojuma līmenī noteikt minimālās platības, apbūves parametrus un detalizētus noteikumus. Tas nozīmē, ka TP kļūst pārlieku detalizēts, un katra izmaiņa prasa TP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teritorijas plānojumam kā stratēģiskam dokumentam vajadzētu būt ilgtermiņa redzējumam (piemēram, kā attīstās ciems), nevis mikroregulējumam. Mikroregulējums (stāvu skaits, intensitāte, min. gabalu izmēri) būtu jālemj detālplānojumā vai lokālplānojumā.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papildināt 6. punktu, ka TP nosaka tikai stratēģisku līmeni, bet detalizācija – lokālplānojumos.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Vācijā “Flächennutzungsplan” (vispārīgais plāns) nosaka tikai galveno funkcionālo sadalījumu; konkrētās prasības nosaka “Bebauungsplan” (detālplānojums). Līdzīga sistēma arī Somijā (vispārplāns vs. detalplāns).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plānojuma risinājumi nosakāmi stratēģiskā detalizācijas līmenī. Apbūves precīzie parametri un citi konkrētības jautājumi risināmi lokālplānojuma vai detālplānojuma līmenī. Ar normatīvajiem aktiem noteiktie apgrūtinājumi tiek izmantoti no ATIS un nav atkārtoti jāfiksē teritorijas plānojumā.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par teritorijas plānojuma dokumentu kā stratēģisku ieteikumu dokumentu ir neatbilstošs šī brīža teritorijas attīstības plānošanas sistēmai un likumdošanai. Latvija ir viena no valstīm, kur persona var īstenot būvniecību neizstrādājot detālplānojumu vai lokālplānojumu, kas nozīmē – ietaupot nozīmīgus gan administratīvus, gan finansiālus resursus. Šobrīd teritorijas plānojums nosaka pietiekami elastīgus, taču arī skaidrus kritērijus teritorijas attīstībai, kas ļauj gan sabiedrībai, gan uzņēmējam saprast kāda veida attīstība iespējama konkrētā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Stājoties spēkā jaunam teritorijas plānojumam, lokālplānojumam vai detālplānojumam, var turpināt likumīgi uzsākto teritorijas izmantošanu. Jebkuru jaunu teritorijas izmantošanu veic atbilstoši spēkā esošajam teritorijas plānojumam, lokālplānojumam vai detālplānojumam.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 teritorijas plānojumā vai lokālplānojumā konkrētām funkcionālajām zonām var noteikt jaunveidojamo zemes vienību minimālo platību, kā arī pieļaujamās atkāpes no tās. Ja pieļaujamās atkāpes nav noteiktas attiecīgi teritorijas plānojuma vai lokālplānojuma teritorijas izmantošanas un apbūves noteikumos (turpmāk – apbūves noteikumi), ievēro noteikto minimālo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VVD un citas institūcijas bieži prasa pašvaldībām mainīt minimālās platības vai zonējumu, kaut gan likumiski tā ir pašvaldības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rodas situācijas, kad valsts iestāde faktiski pārņem pašvaldības lēmumu pieņemšanas funkciju, kas neatbilst subsidiaritātes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nostiprināt, ka minimālās zemes vienību platības, ciemu robežas un funkcionālais zonējums ir pašvaldības ekskluzīva kompetence. Valsts institūcijas var sniegt tikai ieteikumus, bet ne uzspiest.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Igaunijā, Somijā, Vācijā pašvaldības pašas nosaka zemes izmantošanas intensitāti un robežas; valsts iestādes saskaņo tikai tajos gadījumos, kad ir tieša ietekme uz nacionālajām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10.^1 punktu: “Pašvaldības ekskluzīvā kompetence ir ciemu robežu noteikšana, funkcionālā zonējuma izvēle un zemes vienību minimālo platību noteikšana apdzīvotās vietās. Valsts institūciju ieteikumi šajos jautājumos ir rekomendējoši.”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pašvaldības autonomajām funkcijām ir noteikt attiecīgās pašvaldības administratīvās teritorijas zemes izmantošanu un apbūvi izstrādājot teritorijas plānojumu. Tas ietver gan funkcionālā zonējuma, gan apbūves parametru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sniedzot atzinumu, cita starpā izvērtē, vai plānošanas dokumenta risinājums atbilst attiecīgo nozari reglamentējošiem normatīvajiem aktiem un politikas plānošanas dokumentiem. Institūcija atzinumā var norādīt labākos vēlamos risinājumus, kas pieņemami kā ieteikumi, kā arī norādīt neatbilstības normatīvo aktu prasībām, kas pašvaldībai jāņem vērā un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ciemu robežu paplašināšanas gadījumā teritorijas plānojuma paskaidrojuma rakstā pašvaldībai jāpamato paplašināšanas nepieciešamība un atbilstība pašvaldības ilgtermiņa attīstības stratēģijai. Ciemu robežu paplašināšana vai samazināšana, ja vien tas nav piekrastes ciems uz ko attiecināmas Aizsargjoslu likuma prasības, ir absolūts pašvaldības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piemēram Dabas aizsardzības pārvalde savus atzinumus par plānošanas dokumentiem strukturē divās daļās, pirmajā norādot neatbilstības normatīvo aktu prasībām un otrajā daļā norādot ieteikumus dokumenta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 teritorijas plānojumā vai lokālplānojumā konkrētām funkcionālajām zonām var noteikt jaunveidojamo zemes vienību minimālo platību, kā arī pieļaujamās atkāpes no tās. Ja pieļaujamās atkāpes nav noteiktas attiecīgi teritorijas plānojuma vai lokālplānojuma teritorijas izmantošanas un apbūves noteikumos (turpmāk – apbūves noteikumi), ievēro noteikto minimālo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Funkcionālās zonas un to apzīmējumi: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17.punkts nosaka 12 funkcionālās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tām ir ļoti detalizētas (piem., DzS, DzM, DzD – trīs dažādas dzīvojamās apbūves teritorijas), bet citās gadījumos zonas tiek nodalītas pēc šauriem kritērijiem (TA – tehniskā apbūve, DA – dabas un apstādījumu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piespiež pašvaldības mākslīgi iedalīt teritorijas vairākās kategorijās, pat ja praktiski apbūves vai izmantošanas nosacījumi būtu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Pārmērīga fragmentācija: dzīvojamā apbūve tiek sadalīta 3–4 veidos, sabiedriskā apbūve ir nodalīta no jauktā centra, TA (tehniskā apbūve) bieži pārklājas ar R (ražošana) vai T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jauktais zonējums: teritorijas, kur dzīvojamā, komercapbūve un sabiedriskā apbūve funkcionē kopā (piemēram, pilsētu centri, ciematu kodoli), nevar juridiski korekti atspoguļot, jo likums to neatļauj elastīgi kombinēt.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neelastīgus plānojumus, kas bieži noveco jau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funkcionālo teritoriju skaitu, apvienojot līdzīgās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DzS, DzM, DzD → Dz (dzīvojamās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un JC → JC (jauktā centra un sabiedriskās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 un TA → T (transporta un tehniskās infrastruktūras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 un M → D (dabas, rekreācijas un mežu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~9 pamata kategorijas (Dz, JC, S, R, L, M/D, T, 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jaunu punktu, ka pašvaldības TIAN var noteikt apakšzonas un jauktas teritorijas (piem., dzīvojamā + sabiedriskā, ražošanas +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Vācijā (BauNVO): ap 10 pamata zonām, iespējamas jauktas teritorijas (Mischgebiet).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Somijā: valsts nosaka tikai pamatgrupas (residential, commercial, industrial, green), jauktas zonas ir atļautas.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pašvaldības nosaka vispārīgas kategorijas un var veidot jauktus režīmus vietējos plān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punkts: “Teritorijas plānojumā nosaka šādas pamata funkcionālās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dzīvojamās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JC – jauktās centra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sabiedriskās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ražošanas un komercdarbības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lauksaimniecības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mežu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transporta un inženierinfrastruktūras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 – ūdeņu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dabas un rekreācijas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savos teritorijas izmantošanas un apbūves noteikumos var noteikt apakšzonas un jauktas zonējuma teritorijas (piemēram, dzīvojamā + sabiedriskā apbūve; ražošanas + komercdarbības apbūve), ja tas atbilst vietējām attīstības vajadzībām un ir nodrošināta inženierinfrastruktūra.”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ietvertās funkcionālās zonas sākotnēji izstrādātas kopā ar pašvaldībām, apkopojot tā brīža teritorijas plānojumos visbiežāk izmantotos zonējuma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MKN 240 spēkā stāšanās brīža regulējums noteic vienotu funkcionālo zonu un tajās atļauto izmantošanas veidu uzskaitījumu. Viens no regulējuma mērķiem ir informācijas pieejamība elektronisko datu veidā, kas savukārt nosaka nepieciešamību veidot strukturētus datus informācija atlasei, meklēšanai un salīdzināšanai. Šobrīd visi teritorijas plānošanas dokumenti tiek izstrādāti Teritorijas attīstības plānošanas informācijas sistēmā strukturētu datu veidā un publiski pieejami Ģeoportālā.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konkrētajai situācijai un izvēlētajai detalizācijas pakāpei pašvaldība var teritorijas plānojumā vai lokālplānojumā veidot indeksētas apakšzonas, pielāgojot arī tajā atļautos izmantošanas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Funkcionālās zonas un to apzīmējumi: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lauku teritorijās jaunveidojamās zemes vienības minimālo platību, kas šobrīd nedrīkst būt mazāka par 2ha, veicot tās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regulējums par 2 ha kā jaunveidojamās zemes vienības platību lauku teritorijā, vienlaicīgi pieļaujot vairākus izņēmumus, ieviests, lai novērstu lauksaimniecības un meža zemju fragmentēšanu un neracionālu izmantošanu. VARAM ir organizējis diskusiju ar LPS, plānošanas ekspertiem un  Zemkopības ministriju, kur secināts, ka spēkā esošais MKN 240 regulējums ir atbilstošs mērķim - mežu un lauksaimniecības teritoriju nesadrumstalošanai un šobrīd tā pārskatīšana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Esošo un plānoto ielu sarkanās līnijas nosaka teritorijas plānojuma vai lokālplānojuma apbūves noteikumos vai detālplānojuma teritorijas izmantošanas un apbūves nosacījumos un atkarībā no detalizācijas pakāpes attēlo grafiskajā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grafiskajā daļā tiek attēloti gan zonējumi, gan informatīvas teritorijas, kas bieži maldina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cilvēki nespēj nošķirt – kas ir tiesiski saistošs, kas tikai informatīvs. Turklāt apgrūtinājumu dublēšana rada nesaskaņotību starp TP un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noteikt, ka grafikā obligāti ir tikai funkcionālais zonējums un saistošie noteikumi. Apgrūtinājumi – skatāmi ATIS, un uz to izdarāma atsauce. Informatīvās zonas – tikai atsevišķā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Igaunijā un Somijā plāna grafiskajā daļā ir tikai juridiski saistošais; visi pārējie dati ir kā informatīvie pielikumi vai pieejami valsts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punktu: Teritorijas plānojuma grafiskajā daļā attēlo tikai funkcionālās zonas un pašvaldības teritorijas izmantošanas un apbūves noteikumos paredzētos izmantošanas nosacījumus. Informatīvas teritorijas (piemēram, trokšņu ietekmes zonas, vizuālās ietekmes zonas, plūdu riska teritorijas) var pievienot atsevišķā informatīvā kartē. Īpašie aprobežojumi un apgrūtinājumi skatāmi Apgrūtināto teritoriju informācijas sistēmā (ATIS) un nav atkārtoti attēlojami teritorijas plānojuma grafiskajā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MKN 240 4. pielikuma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uzsākusi darbu pie viena no teritorijas attīstības plānošanas sistēmas pilnveides uzdevumiem - apgrūtinājuma slāņa nodalīšana no teritorijas plānojuma, kas konceptuāli atbilst RACA priekšlikumam.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Esošo un plānoto ielu sarkanās līnijas nosaka teritorijas plānojuma vai lokālplānojuma apbūves noteikumos vai detālplānojuma teritorijas izmantošanas un apbūves nosacījumos un atkarībā no detalizācijas pakāpes attēlo grafiskajā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precizēt teritorijas izmantošanas veida aprakstu teritorijas izmantošanas veidam ar kodu 21001 "Mežsaimnieciska izmantošana", jo atbilstoši normatīvajiem aktiem nav tādu meža izmantošanas veidu kā malkas meži un celulozes meži. Tāpat plantāciju meži ir reģistrēti Meža valsts reģistrā kā mežs un ir ietverti apsaimniekošanas mērķī "meža ilgtspējīgai apsaimniekošanai".  Meža ilgtspējīga apsaimniekošana atbilstoši normatīvajiem aktiem ietver jebkuru no mērķiem, kam mežā izaudzētā koksne tiek izmantota, tāpēc kāda viena vai divu mērķu nosaukšana sašaurina meža izmantošanas iespējas. Lai skaidri nodalītu no 21002 koda, piedāvājam izmantošanas veida aprakstu izteikt šādā redakcijā "Meža un meža zemes apsaimniekošana atbilstoši normatīvajiem aktiem ārpus īpaši aizsargājamām dabas teritorijām". Izsakot izmantošanas veida aprakstu iepriekšminētajā redakcijā atbalstoši normatīvajiem aktiem būs atļauts jebkurš no noteikumu projektā piedāvātajā redakcijā uzskaitītajiem mērķiem, tostarp medību infrastruktūra ierīkošana, meža izmantošana rekreācijai, savvaļas dzīvnieku turēšana nebrīvē, koksnes audzēšana malkai, papīrmalkai vai zāģbaļķiem, Ziemassvētku eglīšu audzēšana vai plantāciju meža ierīkošana un vēl daudzi citi meža izmantošanas veidi atbilstoši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un meža zemes apsaimniekošana atbilstoši normatīvajiem aktiem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240 4.pielikuma izmantošanas veida </w:t>
            </w:r>
            <w:r w:rsidR="00000000" w:rsidRPr="00000000" w:rsidDel="00000000">
              <w:rPr>
                <w:i w:val="1"/>
                <w:rtl w:val="0"/>
              </w:rPr>
              <w:t xml:space="preserve">Mežsaimnieciska izmantošana (kods 21001) </w:t>
            </w:r>
            <w:r w:rsidR="00000000" w:rsidRPr="00000000" w:rsidDel="00000000">
              <w:rPr>
                <w:rtl w:val="0"/>
              </w:rPr>
              <w:t xml:space="preserve">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meža un meža zemes ilgtspējīga apsaimniekošana, ietverot meža apsaimniekošanai, izmantošanai un aizsardzībai nepieciešamo meža un medību infrastruktūru, rekreācijas objektus, iežogotas meža platības savvaļas dzīvnieku turēšanai nebrīvē,  u.c. normatīvajos aktos noteiktu meža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paredz skaidrāk definēt teritorijas izmantošanas veidu aprakstus, lūdzam papildināt MKN 240 4. pielikuma teritorijas izmantošanas veida "</w:t>
            </w:r>
            <w:r w:rsidR="00000000" w:rsidRPr="00000000" w:rsidDel="00000000">
              <w:rPr>
                <w:i w:val="1"/>
                <w:rtl w:val="0"/>
              </w:rPr>
              <w:t xml:space="preserve">aizsardzības un drošības iestāžu apbūve"</w:t>
            </w:r>
            <w:r w:rsidR="00000000" w:rsidRPr="00000000" w:rsidDel="00000000">
              <w:rPr>
                <w:rtl w:val="0"/>
              </w:rPr>
              <w:t xml:space="preserve"> (kods 12006) aprakstu ar atsauci arī uz tādām būvēm kā aizturēto ārzemnieku izmitināšanas centrs. Un, ņemot vērā, ka migrācijas un patvēruma politika ir atsevišķa politikas joma, kuru atbilstoši Ministru kabineta 2021.gada 27.maija noteikumiem Nr.321 "Pilsonības un migrācijas lietu pārvaldes nolikums" īsteno Pilsonības un migrācijas lietu pārvalde, kas nav drošības iestāde, ar atsauci arī uz patvēruma meklētāju izmitināšanas centriem, jo Iekšlietu ministrijas skatījumā arī šāda veida apbūve paiet zem attiecīgā teritorijas izmitināšanas veida.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un anotācija precizēti atbilstoši Iekšlietu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Aizsardzības un drošības iestāžu apbūves (kods 12006) </w:t>
            </w:r>
            <w:r w:rsidR="00000000" w:rsidRPr="00000000" w:rsidDel="00000000">
              <w:rPr>
                <w:rtl w:val="0"/>
              </w:rPr>
              <w:t xml:space="preserve">precizētais apraksts - apbūve, ko veido brīvības atņemšanas iestādes, aizsardzības spēku, policijas, ugunsdzēsības un glābšanas dienesti un ugunsdzēsēju depo, katastrofu pārvaldības centri, kazarmas un citas valsts aizsardzības un drošības iestādes un to funkcijām nepieciešamās ēkas un būves, </w:t>
            </w:r>
            <w:r w:rsidR="00000000" w:rsidRPr="00000000" w:rsidDel="00000000">
              <w:rPr>
                <w:b w:val="1"/>
                <w:rtl w:val="0"/>
              </w:rPr>
              <w:t xml:space="preserve">tai skaitā patvēruma meklētāju un aizturēto ārzemnieku izmitināšanas centri.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25-TA-1714</w:t>
    </w:r>
    <w:r>
      <w:br/>
    </w:r>
    <w:r w:rsidR="00000000" w:rsidRPr="00000000" w:rsidDel="00000000">
      <w:rPr>
        <w:rtl w:val="0"/>
      </w:rPr>
      <w:t xml:space="preserve">05.01.2026. 11.07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25-TA-1714</w:t>
    </w:r>
    <w:r>
      <w:br/>
    </w:r>
    <w:r w:rsidR="00000000" w:rsidRPr="00000000" w:rsidDel="00000000">
      <w:rPr>
        <w:rtl w:val="0"/>
      </w:rPr>
      <w:t xml:space="preserve">05.01.2026. 11.07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Izziņa_25-TA-1714.docx</dc:title>
</cp:coreProperties>
</file>

<file path=docProps/custom.xml><?xml version="1.0" encoding="utf-8"?>
<Properties xmlns="http://schemas.openxmlformats.org/officeDocument/2006/custom-properties" xmlns:vt="http://schemas.openxmlformats.org/officeDocument/2006/docPropsVTypes"/>
</file>