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24-TA-2781: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2.0 Likumi.lv (06.11.2024.)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grozījumi paredz paplašināt atbalstāmo uzņēmumu loku, paredzot atbalstu arī alkoholisko dzērienu tirdzniecības komersantiem, vēršam uzmanību, ka 2025. gada 9. janvārī Saeimā trešajā lasījumā atbalstīja grozījumus Alkoholisko dzērienu aprites likumā, kas paredz ievērojamas izmaiņas alkoholisko dzērienu tirdzniecībā, izplatīšanā un reklāmā, kuru mērķis ir sasniegt politikas plānošanas dokumentos (</w:t>
            </w:r>
            <w:r w:rsidR="00000000" w:rsidRPr="00000000" w:rsidDel="00000000">
              <w:rPr>
                <w:i w:val="1"/>
                <w:rtl w:val="0"/>
              </w:rPr>
              <w:t xml:space="preserve">Sabiedrības veselības pamatnostādnēs 2021.-2027.gadam, Alkoholisko dzērienu patēriņa mazināšanas un alkoholisma ierobežošanas rīcības plānā 2020.– 2022.gadam</w:t>
            </w:r>
            <w:r w:rsidR="00000000" w:rsidRPr="00000000" w:rsidDel="00000000">
              <w:rPr>
                <w:rtl w:val="0"/>
              </w:rPr>
              <w:t xml:space="preserve">) uzstādītos mērķus un rezultatīvos rādītājus, kas paredz samazināt reģistrētā absolūtā alkohola patēriņu litros uz vienu 15 gadus vecu un vecāku iedzīvotāju un samazināt pēdējā gada laikā riskanto un pārmērīgo alkohola lietošanu, lūdzam minētos grozījumus saskaņot arī ar Veselības ministriju. Turklāt informējam, ka alkohola ražošanas vai tirdzniecības uzņēmumu atbalstīšanu no ES fondiem nevar uzskatīt par labo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Alkohola tirdzniecība noteikumu projektā iekļauta kā neatbalstāma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tam saskaņā ar Valsts ieņēmumu dienesta administrēto nodokļu (nodevu) parādnieku publiskajā datubāzē pieejamo informāciju uz pieteikuma un tā precizējumu, ja attiecināms, iesniegšanas dienu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izmantot ar Ministru kabineta 2023. gada 10. janvāra noteikumiem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noteikumi Nr. 10) saskanīgu terminoloģiju. Proti, aicinām projektā konsekventi izmantot terminu "atbalsta pieteikums" (sk. noteikumu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un anotācijā izvērstāk skaidrot, kādēļ nepieciešams noteikumu projekta 2. un 15. punktā ietverto prasību attiecināt tieši uz pieteikuma un tā precizējumu iesniegšanas dienu, nevis lēmuma pieņemšanas dienu v.tml., ņemot vērā, ka parāds var izveidoties arī vēlāk. Aicinām arī skaidrot, vai iestādei ir iespējams projekta 2. un 15. punktā ietvertās prasības izpildi pārbaudīt, ņemot vērā, ka lēmums par pieteikuma apstiprināšanu vai noraidīšanu varētu tikt pieņemts vēlākā laika posmā. Papildus lūdzam precizēt anotācijā ietverto skaidrojumu ("</w:t>
            </w:r>
            <w:r w:rsidR="00000000" w:rsidRPr="00000000" w:rsidDel="00000000">
              <w:rPr>
                <w:i w:val="1"/>
                <w:rtl w:val="0"/>
              </w:rPr>
              <w:t xml:space="preserve">MK noteikumu projekta 2. punkts paredz MK noteikumu Nr. 10 34.3. apakšpunktu papildināt, </w:t>
            </w:r>
            <w:r w:rsidR="00000000" w:rsidRPr="00000000" w:rsidDel="00000000">
              <w:rPr>
                <w:i w:val="1"/>
                <w:u w:val="single"/>
                <w:rtl w:val="0"/>
              </w:rPr>
              <w:t xml:space="preserve">nosakot, ka LIAA nodokļu (nodevu) parādus pārbauda uz atbalsta pieteikuma saņemšanas dienu</w:t>
            </w:r>
            <w:r w:rsidR="00000000" w:rsidRPr="00000000" w:rsidDel="00000000">
              <w:rPr>
                <w:i w:val="1"/>
                <w:rtl w:val="0"/>
              </w:rPr>
              <w:t xml:space="preserve">. Ja gala labuma guvējs iesniedz atbalsta pieteikuma precizējumus, tad </w:t>
            </w:r>
            <w:r w:rsidR="00000000" w:rsidRPr="00000000" w:rsidDel="00000000">
              <w:rPr>
                <w:i w:val="1"/>
                <w:u w:val="single"/>
                <w:rtl w:val="0"/>
              </w:rPr>
              <w:t xml:space="preserve">LIAA nodokļu (nodevu) parādu pārbaudi veic uz precizējumu saņemšanas dienu</w:t>
            </w:r>
            <w:r w:rsidR="00000000" w:rsidRPr="00000000" w:rsidDel="00000000">
              <w:rPr>
                <w:i w:val="1"/>
                <w:rtl w:val="0"/>
              </w:rPr>
              <w:t xml:space="preserve">.</w:t>
            </w:r>
            <w:r w:rsidR="00000000" w:rsidRPr="00000000" w:rsidDel="00000000">
              <w:rPr>
                <w:rtl w:val="0"/>
              </w:rPr>
              <w:t xml:space="preserve">"), jo pašreiz tas nav atbilstošs noteikumu projekta 2. un 15. 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noteikumu projekta anotācijā skaidrot noteikumu projektā paredzēto grozījumu ietekmi uz jau iesniegtajiem atbalsta pieteikumiem un uzsāktajiem projektiem, ja tādi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atgriezta sākotnējā redakcija un anotācija precizēta, nenorādot nodokļu pārbaudes veikšanas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tam saskaņā ar Valsts ieņēmumu dienesta administrēto nodokļu (nodevu) parādnieku publiskajā datubāzē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spēkā vienošanās līgums saskaņā ar likuma "Par nodokļiem un nodevām" 41.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Komisijas regulas Nr. </w:t>
            </w:r>
            <w:r w:rsidR="00000000" w:rsidRPr="00000000" w:rsidDel="00000000">
              <w:rPr>
                <w:rtl w:val="0"/>
              </w:rPr>
              <w:t xml:space="preserve">651/2014</w:t>
            </w:r>
            <w:r w:rsidR="00000000" w:rsidRPr="00000000" w:rsidDel="00000000">
              <w:rPr>
                <w:rtl w:val="0"/>
              </w:rPr>
              <w:t xml:space="preserve">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noteikumu projekta 5. punktā ietvertā noteikumu Nr. 10 60.1. apakšpunkta papildinājuma ("izņemot finanšu tehnoloģiju uzņēmumus jeb tādus uzņēmumus, kas attīsta jaunus biznesa modeļus, iedzīvina inovācijas, veido jaunus finanšu produktus un pakalpojumus, pilnveido pakalpojumu sniegšanas veidus un biznesa modeļus") atbilstību Eiropas Komisijas 2014. gada 17. jūnija Regulas (ES) Nr. 651/2014, ar ko noteiktas atbalsta kategorijas atzīst par saderīgām ar iekšējo tirgu, piemērojot Līguma 107. un 108. pantu, 1. panta 2. punkta "c" un "d" apakšpunktā un 13. panta "a", "b", "c" un "d" apakšpunktā noteiktajām neatbalstāmajām nozarēm un darbībām. Ja atbilstošu skaidrojumu nav iespējams sniegt, lūdzam precizēt projektu, nodrošinot normas atbilstību Eiropas Savienības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60.1. apakšpunktā atgriezta sākotnējā redakcija, neiekļaujot izņēmumu. Papildināts skaidrojums anotācijas 1.3. sadaļā, norādot, ka atbalstāmi ir uzņēmumi, kuri nav reģistrējuši pamatdarbību neatbalstāmajā "Finanšu un apdrošināšanas pakalpojumu" nozarē. Savukārt, ja pamatdarbība ir reģistrēta neatbalstāmā  nozarē, tad, piesakoties atbalstam, uzņēmumam jānošķir neatbalstāmās un atbalstāmās darbības, lai neatbalstāmās darbības negūst labumu no atbalsta. Tāpat, ja nevar nodalīt, tad uzņēmumam ir iespēja pieteikties de minimis atbalstam saskaņā ar Komisijas regulu Nr. 2023/2831, ievērojot MK noteikumu Nr. 10 VI nodaļas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Komisijas regulas Nr. </w:t>
            </w:r>
            <w:r w:rsidR="00000000" w:rsidRPr="00000000" w:rsidDel="00000000">
              <w:rPr>
                <w:rtl w:val="0"/>
              </w:rPr>
              <w:t xml:space="preserve">651/2014</w:t>
            </w:r>
            <w:r w:rsidR="00000000" w:rsidRPr="00000000" w:rsidDel="00000000">
              <w:rPr>
                <w:rtl w:val="0"/>
              </w:rPr>
              <w:t xml:space="preserve"> 1. panta 2. punkta "c" un "d" apakšpunktā un 13. panta "a", "b", "c" un "d" apakšpunktā noteiktajām neatbalstāmajām nozarēm un darbībām, izņemot finanšu tehnoloģiju uzņēmumus jeb tādus uzņēmumus, kas attīsta jaunus biznesa modeļus, iedzīvina inovācijas, veido jaunus finanšu produktus un pakalpojumus, pilnveido pakalpojumu sniegšanas veidus un biznesa modeļus;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Komisijas regulas Nr. 651/2014 13. panta “d” apakšpunktā noteikto, reģionālo atbalstu nevar piešķirt uzņēmumiem, kuru galvenā darbības joma ietilpst NACE 2. red. K iedaļā “Finanšu un apdrošināšanas darbības”. Attiecīgi, ja finanšu tehnoloģiju uzņēmumu galvenā darbība ietilpst Finanšu un apdrošināšanas darbības jomā, atbalstu tam ar Komisijas regulu Nr. 651/2014  14. pantu nevar piešķirt. Ņemot vērā iepriekš minēto, aicinām izvērtēt iespēju, ka šādos gadījumos atbalsts tiek piešķirts kā de minimis atbalsts saskaņā ar Eiropas Komisijas 2023. gada 13. decembra Regulu (ES) Nr. 2023/2831 par Līguma par Eiropas Savienības darbību 107. un 108. panta piemērošanu de minimis atbalstam vai saskaņā ar Komisijas regulas Nr. 651/2014 18. pantu, attiecīgi precizējot noteikumu projekta 60.1.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60.1. apakšpunktā atgriezta sākotnējā redakcija, neiekļaujot izņēmumu. Papildināts skaidrojums anotācijas 1.3. sadaļā, norādot, ka atbalstāmi ir uzņēmumi, kuri nav reģistrējuši pamatdarbību neatbalstāmajā "Finanšu un apdrošināšanas pakalpojumu" nozarē. Savukārt, ja pamatdarbība ir reģistrēta neatbalstāmā  nozarē, tad, piesakoties atbalstam, uzņēmumam jānošķir neatbalstāmās un atbalstāmās darbības, lai neatbalstāmās darbības negūst labumu no atbalsta. Tāpat, ja nevar nodalīt, tad uzņēmumam ir iespēja pieteikties de minimis atbalstam saskaņā ar Komisijas regulu Nr. 2023/2831, ievērojot MK noteikumu Nr. 10 VI nodaļas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ierosināto grozījumu ietekmi uz projekta iesniedzējiem vai finansējuma saņēmējiem, vienlaikus skaidrojot, vai vienošanās par investīciju projekta īstenošanu ir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 ka noteikumu projekts neietekmē finansējuma saņēmēju un nav nepieciešams veikt grozījumus Ekonomikas ministrijas un LIAA vienošanās par investīciju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2024. gada 10. decembra Regulas Nr. 2024/3118 , ar ko groza Regulu (ES) Nr. 1408/2013 par Līguma par Eiropas Savienības darbību 107. un 108. panta piemērošanu de minimis atbalstam lauksaimniecības nozarē preambulas 4. apsvērumā noteikto - “Lai nodrošinātu saskaņotību ar Komisijas Regulu (ES) 2023/2831, laikposms, kas jāņem vērā, novērtējot atbilstību Regulā (ES) Nr. 1408/2013 noteiktajiem maksimālajiem apjomiem, būtu jāmaina no trīs fiskālajiem gadiem uz trim gadiem. Šis laikposms būtu jāvērtē kā slīdošs periods. Attiecībā uz katru jaunu de minimis atbalsta piešķiršanu jāņem vērā de minimis atbalsta kopsumma, kas piešķirta iepriekšējos trīs gados.” -, lai noteikumu projektā iekļautu skaidrus de minimis atbalsta piešķiršanas nosacījumus, lūdzam papildināt anotāciju ar skaidrojumu par to, kā nosakāms trīs gadu laika posms, norādot, ka attiecībā uz katru jaunu de minimis atbalsta piešķiršanu trīs gadu laikposms ir jāvērtē kā slīdošs trīs gadu periods, skaitot no de minimis atbalsta piešķiršanas lēmuma pieņemšanas dienas, piemēram, ja jaunā atbalsta piešķiršanas datums ir 2024. gada 17. jūlijs, trīs gadu periods būs skaitāms līdz 2021. gada 17.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Komisijas regulas Nr. 2024/3118 preambulas 4. apsvēruma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konkrētajiem minēto uzņēmumu piemēriem, detalizētāk aprakstot to darbības sfēru.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60.1. apakšpunktā atgriezta sākotnējā redakcija, neiekļaujot izņēmumu finanšu tehnoloģiju uzņēmumiem. Līdz ar to ar noteikumu projektu netiek ietekmēta nozaru konkurētspēja.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redakcijas 1. atjauninājuma (turpmāk – NACE 2.1. red.) klase 47.63 “Sporta aprīkojuma mazumtirdzniecība”);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6.-8. un 11. punktā ietverto regulējumu, tostarp minēto darbību atbilstību normā norādītajai NACE 2.1. redakcijas grupai vai klasei (sal. lūdzam sk., piemēram, Ministru kabineta 2025. gada 7. janvāra noteikumu Nr. 24 "Noteikumi par produktivitātes aizdevumiem uzņēmumu inovācijām" 53.1. apakšpunktu). Ja nepieciešams, lūdzam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tehniski precizēt anotācijas 5.4. apakšsadaļas 1. tabulā norādīto Eiropas Komisijas 2022. gada 10. oktobra Deleģētās regulas (ES) Nr. 2023/137, ar kuru groza Eiropas Parlamenta un Padomes Regulu (EK) Nr. 1893/2006, ar ko izveido NACE 2. red. saimniecisko darbību statistisko klasifikāciju, vienību, kura ir ieviesta noteikumu Nr. 10 60.2.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 punktā NACE klasifikācijas precizētas, ievērojot Centrālās statistikas pārvaldes kartēšanas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ieroču un munīcijas tirdzniecībai (Saimniecisko darbību statistiskās klasifikācijas Eiropas Kopienā 2. redakcijas 1. atjauninājuma (turpmāk – NACE 2.1. red.) klase 47.63 “Sporta aprīkojuma mazumtirdzniecība”);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gala labuma guvējs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Komisijas regulas Nr. </w:t>
            </w:r>
            <w:r w:rsidR="00000000" w:rsidRPr="00000000" w:rsidDel="00000000">
              <w:rPr>
                <w:rtl w:val="0"/>
              </w:rPr>
              <w:t xml:space="preserve">1408/2013</w:t>
            </w:r>
            <w:r w:rsidR="00000000" w:rsidRPr="00000000" w:rsidDel="00000000">
              <w:rPr>
                <w:rtl w:val="0"/>
              </w:rPr>
              <w:t xml:space="preserve"> 1. pantā noteiktajās nozarēs un šo noteikumu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60.6.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tas var saņemt, ja gala labuma guvējs nodrošina šo nozaru darbību vai uzskaites nodalīšanu, lai saskaņā ar Komisijas regulas Nr. 2023/2831 1. panta 2. punktu vai Komisijas regulas Nr. 1408/2013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Komisijas regulas Nr. 1408/2013 prasību par darbību vai izmaksu nošķiršanu, ja atbalsta saņēmējs saņem atbalstu ar vairākām </w:t>
            </w:r>
            <w:r w:rsidR="00000000" w:rsidRPr="00000000" w:rsidDel="00000000">
              <w:rPr>
                <w:i w:val="1"/>
                <w:rtl w:val="0"/>
              </w:rPr>
              <w:t xml:space="preserve">de minimis</w:t>
            </w:r>
            <w:r w:rsidR="00000000" w:rsidRPr="00000000" w:rsidDel="00000000">
              <w:rPr>
                <w:rtl w:val="0"/>
              </w:rPr>
              <w:t xml:space="preserve"> regulām, nepieciešamas papildināt noteikumu 80. punktā ietverto atsauci ne tikai uz Komisijas regulas Nr. 1408/2013 1. panta 2. punktu, bet arī uz Komisijas regulas Nr. 1408/2013 1.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MK noteikumu Nr. 10 80. punkts papildināts ar Komisijas regulas 1408/2013 1. panta 3. punktu. Anotācijas 5. sadaļa papildināta ar atsauci uz Komisijas regulas 1408/2013 1. panta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gala labuma guvējs vienlaikus darbojas vienā vai vairākās Komisijas regulas Nr. </w:t>
            </w:r>
            <w:r w:rsidR="00000000" w:rsidRPr="00000000" w:rsidDel="00000000">
              <w:rPr>
                <w:rtl w:val="0"/>
              </w:rPr>
              <w:t xml:space="preserve">2023/2831</w:t>
            </w:r>
            <w:r w:rsidR="00000000" w:rsidRPr="00000000" w:rsidDel="00000000">
              <w:rPr>
                <w:rtl w:val="0"/>
              </w:rPr>
              <w:t xml:space="preserve"> 1. panta 1. punkta "a", "b", "c" un "d" apakšpunktā minētajās nozarēs, Komisijas regulas Nr. </w:t>
            </w:r>
            <w:r w:rsidR="00000000" w:rsidRPr="00000000" w:rsidDel="00000000">
              <w:rPr>
                <w:rtl w:val="0"/>
              </w:rPr>
              <w:t xml:space="preserve">1408/2013</w:t>
            </w:r>
            <w:r w:rsidR="00000000" w:rsidRPr="00000000" w:rsidDel="00000000">
              <w:rPr>
                <w:rtl w:val="0"/>
              </w:rPr>
              <w:t xml:space="preserve"> 1. pantā noteiktajās nozarēs un šo noteikumu </w:t>
            </w:r>
            <w:r w:rsidR="00000000" w:rsidRPr="00000000" w:rsidDel="00000000">
              <w:rPr>
                <w:rtl w:val="0"/>
              </w:rPr>
              <w:t xml:space="preserve">60.2.</w:t>
            </w:r>
            <w:r w:rsidR="00000000" w:rsidRPr="00000000" w:rsidDel="00000000">
              <w:rPr>
                <w:rtl w:val="0"/>
              </w:rPr>
              <w:t xml:space="preserve">, </w:t>
            </w:r>
            <w:r w:rsidR="00000000" w:rsidRPr="00000000" w:rsidDel="00000000">
              <w:rPr>
                <w:rtl w:val="0"/>
              </w:rPr>
              <w:t xml:space="preserve">60.3.</w:t>
            </w:r>
            <w:r w:rsidR="00000000" w:rsidRPr="00000000" w:rsidDel="00000000">
              <w:rPr>
                <w:rtl w:val="0"/>
              </w:rPr>
              <w:t xml:space="preserve">, </w:t>
            </w:r>
            <w:r w:rsidR="00000000" w:rsidRPr="00000000" w:rsidDel="00000000">
              <w:rPr>
                <w:rtl w:val="0"/>
              </w:rPr>
              <w:t xml:space="preserve">60.4.</w:t>
            </w:r>
            <w:r w:rsidR="00000000" w:rsidRPr="00000000" w:rsidDel="00000000">
              <w:rPr>
                <w:rtl w:val="0"/>
              </w:rPr>
              <w:t xml:space="preserve">, 60.6. un </w:t>
            </w:r>
            <w:r w:rsidR="00000000" w:rsidRPr="00000000" w:rsidDel="00000000">
              <w:rPr>
                <w:rtl w:val="0"/>
              </w:rPr>
              <w:t xml:space="preserve">60.8.</w:t>
            </w:r>
            <w:r w:rsidR="00000000" w:rsidRPr="00000000" w:rsidDel="00000000">
              <w:rPr>
                <w:rtl w:val="0"/>
              </w:rPr>
              <w:t xml:space="preserve"> apakšpunktā</w:t>
            </w:r>
            <w:r w:rsidR="00000000" w:rsidRPr="00000000" w:rsidDel="00000000">
              <w:rPr>
                <w:rtl w:val="0"/>
              </w:rPr>
              <w:t xml:space="preserve"> minētajās neatbalstāmajās nozarēs un </w:t>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punktā</w:t>
            </w:r>
            <w:r w:rsidR="00000000" w:rsidRPr="00000000" w:rsidDel="00000000">
              <w:rPr>
                <w:rtl w:val="0"/>
              </w:rPr>
              <w:t xml:space="preserve"> minētajās darbībās, atbalstu tas var saņemt, ja gala labuma guvējs nodrošina šo nozaru darbību vai uzskaites nodalīšanu, lai saskaņā ar Komisijas regulas Nr. 2023/2831 1. panta 2. punktu vai Komisijas regulas Nr. 1408/2013 1. panta 2. un 3.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1408/2013</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Viens vienots uzņēmums ir uzņēmums, kas atbilst Komisijas regulas Nr. 1408/2013 2. panta 2. punktā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iekļautu skaidrus de minimis atbalsta piešķiršanas nosacījumus saskaņā ar Eiropas Komisijas 2013. gada 18. decembra Regulu (ES) Nr.1408/2013 par Līguma par Eiropas Savienības darbību 107. un 108. panta piemērošanu de minimis atbalstam lauksaimniecības nozarē (turpmāk – Komisijas regula Nr. 1408/2013), lūdzam papildināt noteikumu projekta 81.1. apakšpunktu ar nosacījumu, kas izriet no precizētās Komisijas regulas Nr. 1408/2013 3. panta 3.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veiktos grozījumus Komisijas regulā Nr. 1408/2013 un ievērojot to, ka noteikumu projektā ir iekļauti precizējumi, kas izriet no grozījumiem Komisijas regulā Nr. 1408/2013 saskaņā ar Komisijas Regulu (ES) 2024/3118 (2024. gada 10. decembris), ar ko groza Regulu (ES) Nr. 1408/2013 par Līguma par Eiropas Savienības darbību 107. un 108. panta piemērošanu de minimis atbalstam lauksaimniecības nozarē, lūdzam noteikumu projektu saskaņot arī ar Zemkopības ministriju Komercdarbības atbalsta kontroles likuma 9. panta otrajā daļā noteiktās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atsauci uz Komisijas regulas Nr. 1408/2013 3. panta 3. punktu, kā arī tiks saskaņots ar Zemkopības ministriju nākamajā noteikumu projekta 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Komisijas regulas Nr. </w:t>
            </w:r>
            <w:r w:rsidR="00000000" w:rsidRPr="00000000" w:rsidDel="00000000">
              <w:rPr>
                <w:rtl w:val="0"/>
              </w:rPr>
              <w:t xml:space="preserve">1408/2013</w:t>
            </w:r>
            <w:r w:rsidR="00000000" w:rsidRPr="00000000" w:rsidDel="00000000">
              <w:rPr>
                <w:rtl w:val="0"/>
              </w:rPr>
              <w:t xml:space="preserve"> 3. panta 2. un 3. punktā noteikto maksimālo </w:t>
            </w:r>
            <w:r w:rsidR="00000000" w:rsidRPr="00000000" w:rsidDel="00000000">
              <w:rPr>
                <w:i w:val="1"/>
                <w:rtl w:val="0"/>
              </w:rPr>
              <w:t xml:space="preserve">de minimis</w:t>
            </w:r>
            <w:r w:rsidR="00000000" w:rsidRPr="00000000" w:rsidDel="00000000">
              <w:rPr>
                <w:rtl w:val="0"/>
              </w:rPr>
              <w:t xml:space="preserve"> atbalsta apmēru, ja atbalstu piešķir saskaņā ar Komisijas regulu Nr. 1408/2013. Viens vienots uzņēmums ir uzņēmums, kas atbilst Komisijas regulas Nr. 1408/2013 2. panta 2. punktā minētajiem kritērijiem;</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(11.07.2024.)</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24-TA-2781</w:t>
    </w:r>
    <w:r>
      <w:br/>
    </w:r>
    <w:r w:rsidR="00000000" w:rsidRPr="00000000" w:rsidDel="00000000">
      <w:rPr>
        <w:rtl w:val="0"/>
      </w:rPr>
      <w:t xml:space="preserve">27.02.2025. 17.38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24-TA-2781</w:t>
    </w:r>
    <w:r>
      <w:br/>
    </w:r>
    <w:r w:rsidR="00000000" w:rsidRPr="00000000" w:rsidDel="00000000">
      <w:rPr>
        <w:rtl w:val="0"/>
      </w:rPr>
      <w:t xml:space="preserve">27.02.2025. 17.38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Izziņa_24-TA-2781.docx</dc:title>
</cp:coreProperties>
</file>

<file path=docProps/custom.xml><?xml version="1.0" encoding="utf-8"?>
<Properties xmlns="http://schemas.openxmlformats.org/officeDocument/2006/custom-properties" xmlns:vt="http://schemas.openxmlformats.org/officeDocument/2006/docPropsVTypes"/>
</file>