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23-TA-3117: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(27.06.2023.)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noteikumu projekts, nedz tā anotācija nesniedz skaidrojumu, kādēļ tieši par noteikumu projekta 15. punktā izteiktajā 53.4. apakšpunktā uzskaitītajiem noziedzīgajiem nodarījumiem nekustamā īpašuma attīstītājam vai citām punktā minētajām personām ir noteikts ierobežojums. Šajā sakarā vēlamies vērst uzmanību, ka ikviens Krimināllikumā paredzētais noziedzīgais nodarījums ir ar lielu sabiedriskās bīstamības pakāpi un tie vienādi skar vai rada potenciālus draudus sabiedrībai vai valsts drošībai kopumā. Līdz ar to lūdzam noteikumu projekta anotācijā pamatot, kādēļ tieši par attiecīgajiem noziedzīgajiem nodarījumiem noteikumu projekta 15. punktā minētajām personām būtu jānoteic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15. punktā noteiktajiem ierobežojumiem vēlamies vērst uzmanību uz tiesībsarga 2019. gada 18. oktobra vēstuli Nr. 1 8/19 Ministru prezidentam par normatīvajos aktos noteiktajiem ierobežojumiem personai izvēlēties sev vēlamu nodarbošanos sakarā ar iepriekš izdarītu noziedzīgu nodarījumu, ar kuru tiek aicināts izvērtēt absolūtu aizlieguma nepieciešamību (sk. Ministru kabineta 2020. gada 3. marta sēdes protokola Nr. 9, 40.§ (TA-2009) "Atbildes projekts tiesībsargam par normatīvajos aktos noteiktajiem ierobežojumiem personai izvēlēties sev vēlamu nodarbošanos sakarā ar iepriekš izdarītu noziedzīgu nodarījumu”)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2024.gada 10.janvāra e pastam, (reģistrēts Nr.3.7-8.1/2024/424S, pievienots kā papildus dokuments), iebildums netiek uzturēts.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sniedz šādu skaidrojumu: atbilstoši 2021.gada 6.jūlija Eiropas Savienības Padomes īstenošanas lēmumam Nr. 10157/21 “Par Latvijas atveseļošanas un noturības plāna novērtējuma apstiprināšanu” starp Latvijas Republiku un Eiropas Komisiju kā donoru ir panākta vienošanās, ka Atveseļošanās fonda finansētajās programmās, tai skaitā 3.1.1.4.i investīcijas ietvaros, horizontāliem izslēgšanas kritērijiem piemēro tādu paši praksi, kāda tā ir attiecībā uz Eiropas Savienības investīcijām, proti, Eiropas Savienības fondu 2021.—2027. gada plānošanas perioda vadības likuma 22.panta pirmās daļas 1.- 4. punktā noteiktos izslēgšanas noteikumus. Attiecīgi, lai nodrošinātu vienotus kritērijus visās Atveseļošanās fonda finansētajās programmās un šo investīciju atbilstību Eiropas Komisijas uzstādījumiem, kā arī vienlaikus mazinātu finanšu korekcijas risku, Ekonomikas ministrija ir ievērojusi iepriekš minētos Eiropas Komisijas uzstādījumus un attiecīgos grozījumus MK noteikumos Nr.459 izstrādājusi un virzījusi saskaņā ar Eiropas Savienības fondu 2021.—2027. gada plānošanas perioda vadības likuma 22.panta pirmās daļas 1.- 4. punktā noteikto. Atbilstoši papildināta arī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ALTUM darbības tvērums saskaņā ar Eiropas Komisijas lēmumu ir ierobežots - ALTUM drīkst sniegt atbalstu tikai tur kur pastāv tirgus nepilnība, tikai tad, ja šo pakalpojumu nenodrošina citi finansētāji tirgū, tādējādi nekropļojot konkurenci tirgū. Anotācijā ir minēts, ka plānots mainīt nosacījumu attiecībā uz atteikuma saņemšanu no cita finansētāja, proti, "noteikumu projekta (grozījumu) anotācijas mērķis ir paredzēt, ka, lai pieteiktos atbalsta saņemšanai sabiedrībā “Altum”, nav obligāti pirms tam vērsties pie cita finansētāja finansējuma saņemšanai. Proti, priekšnoteikums atbalsta saņemšanai nav cita finansētāja izsniegts atteikums aizdevuma piešķiršanai, tai skaitā, nav nepieciešams konstatēt, ka cits finansētājs nav sniedzis atbildi par finansējuma piešķiršanu. Šāda nosacījuma nostiprināšana anotācijā ir būtiska, lai sabiedrība “Altum” var veikt izmaiņas iekšējos noteikumos." Vienlaikus anotācijā ir sniegta informācija par to, ka ALTUM "atbalsts nekustamā īpašuma attīstītājiem netiek sniegts projektiem, kas tiek īstenoti Rīgas valstspilsētā un Jūrmalas valstspilsētā, Baložu pilsētā, Ķekavas pagastā, Olaines pagastā, Mārupes pagastā, Babītes pagastā, Salaspils novadā, Stopiņu pagastā, Garkalnes pagastā un Carnikavas pagastā, proti, teritorijās, kur aizdevumu piešķiršanā ir aktīvi citi finansētāji.", tādējādi norādot, ka minētajos reģionos tirgus nepilnība nepastāv, bet tas nepamato, ka pārējā valsts teritorijā tirgus nepilnība pastāv.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saskaņā ar Eiropas Komisijas lēmumā SA.36904 noteikto ALTUM darbojas tikai un vienīgi pieļautā darbības tvēruma ietvaros, lūdzam anotāciju papildināt ar informāciju, piemēram, ka plānotā jaunā pieeja ir saskaņota ar nozari, piemēram, ar Finanšu nozares asociāciju, proti, ka nozares uzņēmumi apliecina, ka tiem nav interese sniegt aizdevumus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Projekts, kam nav iesniegta visa šo noteikumu 44.punktā minētā dokumentācija vai arī tā ir nepilnīga vai kļūdaina, nepiedalās projektu salīdzināšanā, tai skaitā šo noteikumu 60. un 61.punktā minētajos gadījumos, un prioritāri tiek vērtēti un virzīti uz lēmuma pieņemšanu par aizdevuma piešķiršanu projekti, kam ir iesniegta un ir korekta visa nepieciešamā dokumentācija, arī , ja atbalsta pieteikums iesniegts vēlāk, kā projekts ar nepilnīgu vai kļūdainu dokumentāciju.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projektā paredzētā noteikumu 45.</w:t>
            </w:r>
            <w:r w:rsidR="00000000" w:rsidRPr="00000000" w:rsidDel="00000000">
              <w:rPr>
                <w:vertAlign w:val="superscript"/>
                <w:rtl w:val="0"/>
              </w:rPr>
              <w:t xml:space="preserve">1</w:t>
            </w:r>
            <w:r w:rsidR="00000000" w:rsidRPr="00000000" w:rsidDel="00000000">
              <w:rPr>
                <w:rtl w:val="0"/>
              </w:rPr>
              <w:t xml:space="preserve"> un 45.</w:t>
            </w:r>
            <w:r w:rsidR="00000000" w:rsidRPr="00000000" w:rsidDel="00000000">
              <w:rPr>
                <w:vertAlign w:val="superscript"/>
                <w:rtl w:val="0"/>
              </w:rPr>
              <w:t xml:space="preserve">2 </w:t>
            </w:r>
            <w:r w:rsidR="00000000" w:rsidRPr="00000000" w:rsidDel="00000000">
              <w:rPr>
                <w:rtl w:val="0"/>
              </w:rPr>
              <w:t xml:space="preserve">punkta piemērošanas kārtību, tai skaitā regulējuma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likumam, un nepieciešamības gadījumā svītrot vai precizēt minētās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Administratīvā procesa likuma 56. panta 1.</w:t>
            </w:r>
            <w:r w:rsidR="00000000" w:rsidRPr="00000000" w:rsidDel="00000000">
              <w:rPr>
                <w:vertAlign w:val="superscript"/>
                <w:rtl w:val="0"/>
              </w:rPr>
              <w:t xml:space="preserve">1</w:t>
            </w:r>
            <w:r w:rsidR="00000000" w:rsidRPr="00000000" w:rsidDel="00000000">
              <w:rPr>
                <w:rtl w:val="0"/>
              </w:rPr>
              <w:t xml:space="preserve"> daļu iesniegums atstājams bez virzības tikai tad, ja iesniegums nav parakstīts, ir iesniegts, neievērojot Valsts valodas likuma prasības, vai tam nav pievienoti pilnvarojumu apliecinoši dokumenti. Savukārt, ja iesniegumā nav norādīta visa nepieciešamā informācija vai pievienoti attiecīgi dokumenti, tas nav pamats iesniegumu atstāt bez virzības. Trūkumu novēršana risināma jau ierosinātas administratīvās lietas ietvaros (Administratīvā procesa likuma 59. pants), ja nepieciešams, pagarinot administratīvā akta izdošanas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arī uz to, ka 45.</w:t>
            </w:r>
            <w:r w:rsidR="00000000" w:rsidRPr="00000000" w:rsidDel="00000000">
              <w:rPr>
                <w:vertAlign w:val="superscript"/>
                <w:rtl w:val="0"/>
              </w:rPr>
              <w:t xml:space="preserve">1 </w:t>
            </w:r>
            <w:r w:rsidR="00000000" w:rsidRPr="00000000" w:rsidDel="00000000">
              <w:rPr>
                <w:rtl w:val="0"/>
              </w:rPr>
              <w:t xml:space="preserve">punkta redakcija ir neskaidra, piemēram, šajā normā noteiktais, ka "</w:t>
            </w:r>
            <w:r w:rsidR="00000000" w:rsidRPr="00000000" w:rsidDel="00000000">
              <w:rPr>
                <w:i w:val="1"/>
                <w:rtl w:val="0"/>
              </w:rPr>
              <w:t xml:space="preserve">un  prioritāri tiek vērtēti un virzīti uz lēmuma pieņemšanu par aizdevuma piešķiršanu projekti, kam ir iesniegta un ir korekta visa nepieciešamā dokumentācija, arī , ja atbalsta pieteikums iesniegts vēlāk, kā projekts ar nepilnīgu vai kļūdainu dokumentāciju</w:t>
            </w:r>
            <w:r w:rsidR="00000000" w:rsidRPr="00000000" w:rsidDel="00000000">
              <w:rPr>
                <w:rtl w:val="0"/>
              </w:rPr>
              <w:t xml:space="preserve">" nerada skaidru priekšstatu par projektu 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skaidra 45.</w:t>
            </w:r>
            <w:r w:rsidR="00000000" w:rsidRPr="00000000" w:rsidDel="00000000">
              <w:rPr>
                <w:vertAlign w:val="superscript"/>
                <w:rtl w:val="0"/>
              </w:rPr>
              <w:t xml:space="preserve">1</w:t>
            </w:r>
            <w:r w:rsidR="00000000" w:rsidRPr="00000000" w:rsidDel="00000000">
              <w:rPr>
                <w:rtl w:val="0"/>
              </w:rPr>
              <w:t xml:space="preserve">un 45.</w:t>
            </w:r>
            <w:r w:rsidR="00000000" w:rsidRPr="00000000" w:rsidDel="00000000">
              <w:rPr>
                <w:vertAlign w:val="superscript"/>
                <w:rtl w:val="0"/>
              </w:rPr>
              <w:t xml:space="preserve">2 </w:t>
            </w:r>
            <w:r w:rsidR="00000000" w:rsidRPr="00000000" w:rsidDel="00000000">
              <w:rPr>
                <w:rtl w:val="0"/>
              </w:rPr>
              <w:t xml:space="preserve">punktā ietvertā regulējuma saistība ar noteikumu 60. un 61. punktu (sk. skaidrojumu noteikumu projekta anotācijā), jo noteikumu 60. un 61. punkts paredz projekta vērtēšanas (salīdzināšanas) kritērijus </w:t>
            </w:r>
            <w:r w:rsidR="00000000" w:rsidRPr="00000000" w:rsidDel="00000000">
              <w:rPr>
                <w:u w:val="single"/>
                <w:rtl w:val="0"/>
              </w:rPr>
              <w:t xml:space="preserve">viena mēneša</w:t>
            </w:r>
            <w:r w:rsidR="00000000" w:rsidRPr="00000000" w:rsidDel="00000000">
              <w:rPr>
                <w:rtl w:val="0"/>
              </w:rPr>
              <w:t xml:space="preserve"> ietvaros, savukārt noteikumu projekta 45.</w:t>
            </w:r>
            <w:r w:rsidR="00000000" w:rsidRPr="00000000" w:rsidDel="00000000">
              <w:rPr>
                <w:vertAlign w:val="superscript"/>
                <w:rtl w:val="0"/>
              </w:rPr>
              <w:t xml:space="preserve">2 </w:t>
            </w:r>
            <w:r w:rsidR="00000000" w:rsidRPr="00000000" w:rsidDel="00000000">
              <w:rPr>
                <w:rtl w:val="0"/>
              </w:rPr>
              <w:t xml:space="preserve">punkts pēc būtības paredz lēmuma pieņemšanas termiņa pagarinājumu par diviem mēnešiem.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noteikumu projekta anotācijā minētās problēmas risināšanai apsvērt alternatīvus variantus, piemēram, pieņemt lēmumu par projekta noraidīšanu, ja saprātīgā (projektu salīdzināšanai nepieciešamā) termiņā nekustamā īpašuma attīstītājs nav iesniedzis visu noteikumos paredzēto lēmuma pieņemšanai nepieciešamo informāciju, vienlaikus paredzot iespēju atbalsta pieteikumu un nepieciešamos dokumentus iesniegt atkārtoti.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45.</w:t>
            </w:r>
            <w:r w:rsidR="00000000" w:rsidRPr="00000000" w:rsidDel="00000000">
              <w:rPr>
                <w:vertAlign w:val="superscript"/>
                <w:rtl w:val="0"/>
              </w:rPr>
              <w:t xml:space="preserve">1</w:t>
            </w:r>
            <w:r w:rsidR="00000000" w:rsidRPr="00000000" w:rsidDel="00000000">
              <w:rPr>
                <w:rtl w:val="0"/>
              </w:rPr>
              <w:t xml:space="preserve"> un 45.</w:t>
            </w:r>
            <w:r w:rsidR="00000000" w:rsidRPr="00000000" w:rsidDel="00000000">
              <w:rPr>
                <w:vertAlign w:val="superscript"/>
                <w:rtl w:val="0"/>
              </w:rPr>
              <w:t xml:space="preserve">2</w:t>
            </w:r>
            <w:r w:rsidR="00000000" w:rsidRPr="00000000" w:rsidDel="00000000">
              <w:rPr>
                <w:rtl w:val="0"/>
              </w:rPr>
              <w:t xml:space="preserve"> apakšpunkts un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Sabiedrība "Altum" var izskatīt un pieņemt lēmumu par vēlāk saņemtu projekta atbalsta pieteikumu, kam pievienoti visi šo noteikumu 44.punktā minētie dokumenti, pirms ātrāk iesniegta projekta atbalsta pieteikuma, kam šādi dokumenti nav pievienoti vai pievienoti nepilnīgi.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 kurš atbilst kādam no zemāk norādītajiem izslēgšanas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15.punktu paredzēts precizēt Ministru kabineta 2022. gada 14. jūlija noteikumu Nr. 459 “Noteikumi par atbalstu dzīvojamo īres māju būvniecībai Eiropas Savienības Atveseļošanas un noturības mehānisma plāna 3.1. reformu un investīciju virziena “Reģionālā politika” 3.1.1.4.i. investīcijas “Finansēšanas fonda izveide zemas īres mājokļu būvniecībai” (turpmāk – Noteikumi Nr.459) 53.4.apakšpunktu, paredzot, ka nekustamā īpašuma attīstītājs vai persona, kura ir nekustamā īpašuma attīstītāja valdes vai padomes loceklis vai prokūrists, vai persona, kura ir pilnvarota pārstāvēt nekustamā īpašuma attīstītāju ar filiāli saistītās darbībās, ar tādu prokurora priekšrakstu par sodu vai tiesas spriedumu, kas stājies spēkā un kļuvis neapstrīdams un nepārsūdzams, nedrīkst būt sodīta par noziedzīgiem nodarījumiem vai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projekta 17.punktu paredzēts papildināt Noteikumus Nr.459 ar 53.</w:t>
            </w:r>
            <w:r w:rsidR="00000000" w:rsidRPr="00000000" w:rsidDel="00000000">
              <w:rPr>
                <w:vertAlign w:val="superscript"/>
                <w:rtl w:val="0"/>
              </w:rPr>
              <w:t xml:space="preserve">2</w:t>
            </w:r>
            <w:r w:rsidR="00000000" w:rsidRPr="00000000" w:rsidDel="00000000">
              <w:rPr>
                <w:rtl w:val="0"/>
              </w:rPr>
              <w:t xml:space="preserve"> punktu, paredzot, ka sabiedrība “Altum” par Noteikumu Nr.459 53.4.1., 53.4.2. un 53.4.3.apakšpunktā noteiktajiem gadījumiem ziņas iegūst no Iekšlietu ministrijas Informācijas centra pārziņā esošās valsts informācijas sistēmas “Sodu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5.panta 1.punkta c) apakšpunktā ir ietverts datu minimizēšanas princips, proti,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Iekšlietu ministrijas Informācijas centrs kā valsts informācijas sistēmas “Sodu reģistrs” pārzinis ir atbildīgs par personas datu apstrādes atbilstību Datu regulai. Iekšlietu ministrijas Informācijas centram attiecīgajā gadījumā jābūt precīzi zināmam datu apjomam, ko būs jāsniedz (vai kuru jādara pieejamu), lai sabiedrība “Altum” pārbaudītu, vai nekustamā īpašuma attīstītājs vai persona, kura ir nekustamā īpašuma attīstītāja valdes vai padomes loceklis vai prokūrists, vai persona, kura ir pilnvarota pārstāvēt nekustamā īpašuma attīstītāju ar filiāli saistītās darbībās, atbilst projektā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tiesiskās skaidrības nodrošināšanai, kā arī, lai Iekšlietu ministrijas Informācijas centrs ievērotu datu apstrādes minimizēšanas principu, sniedzot sabiedrībai “Altum” ziņas par administratīvajiem pārkāpumiem vai noziedzīgiem nodarījumiem, precizēt projektu vai projekta sākotnējās ietekmes (</w:t>
            </w:r>
            <w:r w:rsidR="00000000" w:rsidRPr="00000000" w:rsidDel="00000000">
              <w:rPr>
                <w:i w:val="1"/>
                <w:rtl w:val="0"/>
              </w:rPr>
              <w:t xml:space="preserve">ex-ante</w:t>
            </w:r>
            <w:r w:rsidR="00000000" w:rsidRPr="00000000" w:rsidDel="00000000">
              <w:rPr>
                <w:rtl w:val="0"/>
              </w:rPr>
              <w:t xml:space="preserve">) novērtējuma ziņojumu (anotāciju), papildus norādot attiecīgo nozari regulējošo likumu un Krimināllikuma pantus, par kuros paredzētajiem administratīvajiem pārkāpumiem un noziedzīgajiem nodarījumiem nekustamā īpašuma attīstītājs vai persona, kura ir nekustamā īpašuma attīstītāja valdes vai padomes loceklis vai prokūrists, vai persona, kura ir pilnvarota pārstāvēt nekustamā īpašuma attīstītāju ar filiāli saistītās darbībās, nedrīkst būt sodīta.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 kurš atbilst kādam no zemāk norādītajiem izslēgšanas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 kurš atbilst kādam no zemāk norādītajiem izslēgšanas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 un 16. punktā ietvertais tiesiskais regulējums, kas paredz grozīt noteikumu 53.4. apakšpunktu un papildināt noteikumus ar 53.</w:t>
            </w:r>
            <w:r w:rsidR="00000000" w:rsidRPr="00000000" w:rsidDel="00000000">
              <w:rPr>
                <w:vertAlign w:val="superscript"/>
                <w:rtl w:val="0"/>
              </w:rPr>
              <w:t xml:space="preserve">1</w:t>
            </w:r>
            <w:r w:rsidR="00000000" w:rsidRPr="00000000" w:rsidDel="00000000">
              <w:rPr>
                <w:rtl w:val="0"/>
              </w:rPr>
              <w:t xml:space="preserve"> punktu (izslēgšanas noteikumi) ir analoģisks tiesiskajam regulējumam, kas ietverts tiesību akta projektā 23-TA-2246 </w:t>
            </w:r>
            <w:r w:rsidR="00000000" w:rsidRPr="00000000" w:rsidDel="00000000">
              <w:rPr>
                <w:i w:val="1"/>
                <w:rtl w:val="0"/>
              </w:rPr>
              <w:t xml:space="preserve">“Grozījumi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precizēt minētās noteikumu projekta normas un papildināt noteikumu projekta anotāciju, ievērojot par attiecīgajām tiesību akta projekta 23-TA-2246 normām izteiktos Tieslietu ministrijas iebildumus,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anotācijā nepieciešams iekļaut komersantam noteikto ierobežojumu attaisnojamības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ievērot, ka noteikumu projektā (Ministru kabineta noteikumos) nav pieļaujams noteikt ar administratīvo atbildību saistītus ierobežojumus privātpersonām, kā arī likumā esošais pilnvarojums nepiešķir Ministru kabinetam tiesības noteikt šādus atbalsta piešķiršanas nosacījumus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anotācijā skaidrot un attiecīgi precizēt noteikumu projektā ietverto subjektu uzskaitījumu, ņemot vērā, ka nav saprotama noteikumu projektā ietverto sodīto personu izvēle (gan pats komersants, gan ar to saistītas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2024.gada 10.janvāra e pastam (reģistrēts Nr.3.7-8.1/2024/424S, pievienots kā papildus dokuments), iebildums netiek uzturēts.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sniedz šādu skaidrojumu: atbilstoši 2021.gada 6.jūlija Eiropas Savienības Padomes īstenošanas lēmumam Nr. 10157/21 “Par Latvijas atveseļošanas un noturības plāna novērtējuma apstiprināšanu” starp Latvijas Republiku un Eiropas Komisiju kā donoru ir panākta vienošanās, ka Atveseļošanās fonda finansētajās programmās, tai skaitā 3.1.1.4.i investīcijas ietvaros, horizontāliem izslēgšanas kritērijiem piemēro tādu paši praksi, kāda tā ir attiecībā uz Eiropas Savienības investīcijām, proti, Eiropas Savienības fondu 2021.—2027. gada plānošanas perioda vadības likuma 22.panta pirmās daļas 1.- 4. punktā noteiktos izslēgšanas noteikumus. Attiecīgi, lai nodrošinātu vienotus kritērijus visās Atveseļošanās fonda finansētajās programmās un šo investīciju atbilstību Eiropas Komisijas uzstādījumiem, kā arī vienlaikus mazinātu finanšu korekcijas risku, Ekonomikas ministrija ir ievērojusi iepriekš minētos Eiropas Komisijas uzstādījumus un attiecīgos grozījumus MK noteikumos Nr.459 izstrādājusi un virzījusi saskaņā ar Eiropas Savienības fondu 2021.—2027. gada plānošanas perioda vadības likuma 22.panta pirmās daļas 1.- 4. punktā noteikto. Atbilstoši papildināta arī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 kurš atbilst kādam no zemāk norādītajiem izslēgšanas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53.4.1. nekustamā īpašuma attīstītājs vai persona, kura ir nekustamā īpašuma attīstītāja valdes vai padomes loceklis vai prokūrists, vai persona, kura ir pilnvarota pārstāvēt nekustamā īpašuma attīstītāju ar filiāli saistītās darbībās, ar tādu prokurora priekšrakstu par sodu vai tiesas spriedumu, kas stājies spēkā un kļuvis neapstrīdams un nepārsūdzams, ir atzīta par vainīgu jebkurā no šādiem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paustos iebildumus par noteikumu projekta 15.punktā paredzētajiem grozījumiem, jo tie nav ņemti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noteikumu projekta 15. punkts noteic: “53.4.1. nekustamā īpašuma attīstītājs vai persona, kura ir nekustamā īpašuma attīstītāja valdes vai padomes loceklis vai prokūrists, vai persona, kura ir pilnvarota pārstāvēt nekustamā īpašuma attīstītāju ar filiāli saistītās darbībās, ar tādu prokurora priekšrakstu par sodu vai tiesas spriedumu, kas stājies spēkā un kļuvis neapstrīdams un nepārsūdzams, ir atzīta par vainīgu jebkurā no šādiem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53.4.1.1. noziedzīgas organizācijas izveidošana, vadīšana, iesaistīšanās tajā vai tās sastāvā ietilpstošā organizētā grupā vai citā noziedzīgā formējumā vai piedalīšanās šādas organizācijas izdarītos noziedzīgos nodarījumos;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53.4.1.2. kukuļņemšana, kukuļdošana, kukuļa piesavināšanās, starpniecība kukuļošanā, neatļauta labuma pieņemšana vai komerciāla uzpirkšana, prettiesiska labumu pieprasīšana, pieņemšana vai došana, tirgošanās ar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53.4.1.3. krāpšana, piesavināšanās vai noziedzīgi iegūtu līdzekļu legalizēšana;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53.4.1.4. izvairīšanās no nodokļu un tiem pielīdzināto maksājumu nomaksas;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53.4.1.5. terorisms, terorisma finansēšana, teroristu grupas izveide vai organizēšana, ceļošana terorisma nolūkā, terorisma attaisnošana, aicinājums uz terorismu, terorisma draudi vai personas vervēšana, apmācīšana un apmācīšanās terorismam;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53.4.1.6. cilvēku tirdzniecība;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53.4.1.7. tādu preču un vielu pārvietošana pāri Latvijas Republikas valsts robežai, kuru aprite ir aizliegta vai speciāli reglamentēta;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53.4.1.8. neatļauta piedalīšanās mantiskos 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nedz noteikumu projekts, nedz arī noteikumu projekta anotācija nesniedz skaidrojumu, kādēļ tieši par noteikumu projekta 15. punktā uzskaitītajiem noziedzīgajiem nodarījumiem nekustamā īpašuma attīstītājam vai citām punktā minētajām personām ir noteikts ierobežojums. Šajā sakarā vēlamies vērst uzmanību, ka ikviens Krimināllikumā paredzētais noziedzīgais nodarījums ir ar lielu sabiedriskās bīstamības pakāpi un tie vienādi skar vai rada potenciālus draudus sabiedrībai vai valsts drošībai kopumā. Proti, visi Krimināllikumā ietvertie nodarījumi ir vienlīdz bīstami, jo tie apdraud pašas svarīgākās sabiedrības intereses. Līdz ar to lūdzam anotācijā ietvert skaidrojumu, kādēļ tieši par attiecīgajiem noziedzīgajiem nodarījumiem noteikumu projekta 15. punktā minētajām personām būtu jānoteic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saprotams, vai noteikumu projekta 15. punktā noteiktais ierobežojums ir absolūts, proti, noteikts uz neierobežotu laiku vai arī uz laiku līdz tiek dzēsta vai noņemta attiecīgās personas sodāmība. Šajā sakarā vēlamies vērst uzmanību uz tiesībsarga 2019. gada 18. oktobra vēstuli Nr. 1 8/19 Ministru prezidentam par normatīvajos aktos noteiktajiem ierobežojumiem personai izvēlēties sev vēlamu nodarbošanos sakarā ar iepriekš izdarītu noziedzīgu nodarījumu, ar kuru tiek aicināts izvērtēt absolūtā aizlieguma nepieciešamību un apsvērt iespējamību to aizstāt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ierobežojumu, kas ir attiecināms tikai uz tīšiem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ierobežojumu, kas ir attiecināms tikai uz atsevišķiem noziedzīgiem nodarījumiem (piemēram, autortiesību un blakustiesību pārkāpšana saskaņā ar Krimināllikuma 148. pantu, izvairīšanās no nodokļu un tiem pielīdzināto maksājumu nomaksas saskaņā ar Krimināllikuma 218. pantu un būvniecības noteikumu pārkāpšana saskaņā ar Krimināllikuma 239.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ierobežojumu, kas ir attiecināms tikai uz atsevišķu noziedzīgu nodarījumu grupām (piemēram, noziedzīgi nodarījumi pret personas dzīvību un veselību; noziedzīgi nodarījumi pret tikumību un dzimumneaizskaramību; noziedzīgi nodarījumi tautsaimniecībā; noziedzīgi nodarījumi valsts institūciju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ierobežojumu, kas ir attiecināms tikai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sevišķi smagiem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smagiem un sevišķi smagiem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noziegumiem (mazāk smagiem, smagiem un sevišķi smagiem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noziedzīgiem nodarījumiem (kriminālpārkāpumiem un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terminētu ierobežojumu (aizliegumu), proti, tādu, kas beidzas līdz ar sodāmības dzēšanu vai noņemšanu (sīkāk sk. Ministru kabineta 2020. gada 3. marta sēdes protokola Nr. 9, 40.§ (TA-2009) "Atbildes projekts tiesībsargam (par normatīvajos aktos noteiktajiem ierobežojumiem personai izvēlēties sev vēlamu nodarbošanos sakarā ar iepriekš izdarītu noziedzīgu nodarījumu)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2024.gada 10.janvāra e pastam (reģistrēts Nr.3.7-8.1/2024/424S, pievienots kā papildus dokuments), iebildums netiek uzturēts.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sniedz šādu skaidrojumu: atbilstoši 2021.gada 6.jūlija Eiropas Savienības Padomes īstenošanas lēmumam Nr. 10157/21 “Par Latvijas atveseļošanas un noturības plāna novērtējuma apstiprināšanu” starp Latvijas Republiku un Eiropas Komisiju kā donoru ir panākta vienošanās, ka Atveseļošanās fonda finansētajās programmās, tai skaitā 3.1.1.4.i investīcijas ietvaros, horizontāliem izslēgšanas kritērijiem piemēro tādu paši praksi, kāda tā ir attiecībā uz Eiropas Savienības investīcijām, proti, Eiropas Savienības fondu 2021.—2027. gada plānošanas perioda vadības likuma 22.panta pirmās daļas 1.- 4. punktā noteiktos izslēgšanas noteikumus. Attiecīgi, lai nodrošinātu vienotus kritērijus visās Atveseļošanās fonda finansētajās programmās un šo investīciju atbilstību Eiropas Komisijas uzstādījumiem, kā arī vienlaikus mazinātu finanšu korekcijas risku, Ekonomikas ministrija ir ievērojusi iepriekš minētos Eiropas Komisijas uzstādījumus un attiecīgos grozījumus MK noteikumos Nr.459 izstrādājusi un virzījusi saskaņā ar Eiropas Savienības fondu 2021.—2027. gada plānošanas perioda vadības likuma 22.panta pirmās daļas 1.- 4. punktā noteikto. Atbilstoši papildināta arī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53.4.1. nekustamā īpašuma attīstītājs vai persona, kura ir nekustamā īpašuma attīstītāja valdes vai padomes loceklis vai prokūrists, vai persona, kura ir pilnvarota pārstāvēt nekustamā īpašuma attīstītāju ar filiāli saistītās darbībās, ar tādu prokurora priekšrakstu par sodu vai tiesas spriedumu, kas stājies spēkā un kļuvis neapstrīdams un nepārsūdzams, ir atzīta par vainīgu jebkurā no šādiem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53.4.5. nekustamā īpašuma attīstītājs ar tādu attiecīgā jomā kompetentas institūcijas lēmumu par sodu vai tiesas spriedumu, kas stājies spēkā un kļuvis neapstrīdams un nepārsūdzams, ir atzīts par vainīgu un sodīts par pārkāpumu, kas izpaužas kā normatīvajos aktos noteiktajā termiņā neiesniegta informatīvā deklarācija par darbiniekiem, kas iesniedzama par personām, kuras uzsāk darbu.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15.punktu paredzēts precizēt Ministru kabineta 2022. gada 14. jūlija noteikumu Nr. 459 “Noteikumi par atbalstu dzīvojamo īres māju būvniecībai Eiropas Savienības Atveseļošanas un noturības mehānisma plāna 3.1. reformu un investīciju virziena “Reģionālā politika” 3.1.1.4.i. investīcijas “Finansēšanas fonda izveide zemas īres mājokļu būvniecībai” (turpmāk – Noteikumi Nr.459) 53.4.apakšpunktu, paredzot, ka nekustamā īpašuma attīstītājs ar tādu attiecīgā jomā kompetentas institūcijas lēmumu par sodu vai tiesas spriedumu, kas stājies spēkā un kļuvis neapstrīdams un nepārsūdzams, nevar būt atzīts par vainīgu un sodīts par pārkāpumu, kas izpaužas kā normatīvajos aktos noteiktajā termiņā neiesniegta informatīvā deklarācija par darbiniekiem, kas iesniedzama par personām, kuras uzsāk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projektā un projekta sākotnējās ietekmes (</w:t>
            </w:r>
            <w:r w:rsidR="00000000" w:rsidRPr="00000000" w:rsidDel="00000000">
              <w:rPr>
                <w:i w:val="1"/>
                <w:rtl w:val="0"/>
              </w:rPr>
              <w:t xml:space="preserve">ex-ante</w:t>
            </w:r>
            <w:r w:rsidR="00000000" w:rsidRPr="00000000" w:rsidDel="00000000">
              <w:rPr>
                <w:rtl w:val="0"/>
              </w:rPr>
              <w:t xml:space="preserve">) novērtējuma ziņojumā (anotācijā) (turpmāk – anotācija) nav norādīts, no kāda informācijas avota sabiedrība “Altum” plāno saņemt attiecīgo informāciju par nekustamā īpašuma attīstītāja iespējamo sodāmību.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ziņas par personu izdarītajiem administratīvajiem pārkāpumiem vai noziedzīgiem nodarījumiem tiek uzkrātas valsts informācijas sistēmā “Sodu reģistrs”, kura izveidošanas mērķis ir vienotās uzskaites izveide par noziedzīgus nodarījumus un administratīvos pārkāpumus izdarījušām personām, lai veicinātu šo nodarījumu un pārkāpumu novēršanu un atklāšanu, kā arī par tiem personai noteiktā soda izpildes un tiesību ierobežojumu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atbilstoši Sodu reģistra likuma 21.panta pirmās daļas regulējumam valsts informācijas sistēmā “Sodu reģistrs” iekļautās ziņas sniedz izziņas veidā vai tiešsaistes datu pārraides režīmā, ja tiek identificēts ziņu pieprasītājs.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5.panta 1.punkta c) apakšpunktā ir ietverts datu minimizēšanas princips, proti,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Iekšlietu ministrijas Informācijas centrs kā valsts informācijas sistēmas “Sodu reģistrs” pārzinis ir atbildīgs par personas datu apstrādes atbilstību Datu regulai. Iekšlietu ministrijas Informācijas centram attiecīgajā gadījumā jābūt precīzi zināmam datu apjomam, kuru būs jāsniedz (vai kuru jādara pieejamu), lai sabiedrība “Altum” pārbaudītu, vai nekustamā īpašuma attīstītājs atbilst projektā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tiesību normai ir jābūt skaidrai un saprotamai, lai tās lietotājs un piemērotājs gūtu nepārprotamu priekšstatu par savām tiesībām, pienākumiem un juridiskām sekām, precizēt projektu vai projekta anotāciju, norādot projekta 15.punktā ietvertajā Noteikumu Nr.459 53.4.5.apakšpunktā ietvertās informācijas avotu un tās saņemšanas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projekta 15.punktā ietvertajā Noteikumu Nr.459 53.4.5.apakšpunktā ietverto informāciju paredzēts iegūt no valsts informācijas sistēmā “Sodu reģistrs”, tad: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tiesiskās skaidrības nodrošināšanai, kā arī, lai Iekšlietu ministrijas Informācijas centrs ievērotu datu apstrādes minimizēšanas principu, sniedzot ziņas par administratīvajiem pārkāpumiem vai noziedzīgiem nodarījumiem, precizēt projektu vai projekta anotāciju, papildus norādot attiecīgo nozari regulējošo likumu un Krimināllikuma pantus, par kuros paredzētajiem administratīvajiem pārkāpumiem un noziedzīgajiem nodarījumiem nekustamā īpašuma attīstītājs nedrīkst būt sodīts;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projekta 17.punktā ietverto Noteikumu Nr.459 53.</w:t>
            </w:r>
            <w:r w:rsidR="00000000" w:rsidRPr="00000000" w:rsidDel="00000000">
              <w:rPr>
                <w:vertAlign w:val="superscript"/>
                <w:rtl w:val="0"/>
              </w:rPr>
              <w:t xml:space="preserve">2 </w:t>
            </w:r>
            <w:r w:rsidR="00000000" w:rsidRPr="00000000" w:rsidDel="00000000">
              <w:rPr>
                <w:rtl w:val="0"/>
              </w:rPr>
              <w:t xml:space="preserve">punkta pirmo teikumu, papildinot to ar atsauci uz Noteikumu Nr.459 53.4.5.apakšpunktu.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un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53.4.5. nekustamā īpašuma attīstītājs ar tādu attiecīgā jomā kompetentas institūcijas lēmumu par sodu vai tiesas spriedumu, kas stājies spēkā un kļuvis neapstrīdams un nepārsūdzams, ir atzīts par vainīgu un sodīts par pārkāpumu, kas izpaužas kā normatīvajos aktos noteiktajā termiņā neiesniegta informatīvā deklarācija par darbiniekiem, kas iesniedzama par personām, kuras uzsāk darbu.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 Sabiedrība “Altum” nenoraida nekustamā īpašuma attīstītājs atbalsta pieteikumu, ja no dienas, kad kļuvis neapstrīdams un nepārsūdzams: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nepieciešams papildināt noteikumu projekta anotāciju par noteikumu projekta 15. un 16.punktā paredzētajiem grozījumiem (saistībā ar izslēgšanas kritērijiem), vai precizēt noteikumu projektu,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ievērot, ka noteikumu projektā (Ministru kabineta noteikumos) nav pieļaujams noteikt ar administratīvo atbildību saistītus ierobežojumus privātpersonām, kā arī likumā esošais pilnvarojums nepiešķir Ministru kabinetam tiesības noteikt šādus atbalsta piešķiršanas nosacījumus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anotācijā skaidrot un attiecīgi precizēt noteikumu projektā ietverto subjektu uzskaitījumu un sodīto personu izvēli;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pamatot termiņus, kādos personai liegts kandidēt uz atbalstu saistībā ar izdarītajiem pārkāpumiem. Tipiskā gadījumā valsts ierobežojumus noteic vai nu uz sodāmības laiku vai līdz soda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norādīts iepriekš saskaņošanas laikā, risināmā problēma sakrīt ar tiesību akta projektā 23-TA-2246 konstatēto problēmu.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2024.gada 10.janvāra e pastam (reģistrēts Nr.3.7-8.1/2024/424S, pievienots kā papildus dokuments), iebildums netiek uzturēts.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sniedz šādu skaidrojumu: atbilstoši 2021.gada 6.jūlija Eiropas Savienības Padomes īstenošanas lēmumam Nr. 10157/21 “Par Latvijas atveseļošanas un noturības plāna novērtējuma apstiprināšanu” starp Latvijas Republiku un Eiropas Komisiju kā donoru ir panākta vienošanās, ka Atveseļošanās fonda finansētajās programmās, tai skaitā 3.1.1.4.i investīcijas ietvaros, horizontāliem izslēgšanas kritērijiem piemēro tādu paši praksi, kāda tā ir attiecībā uz Eiropas Savienības investīcijām, proti, Eiropas Savienības fondu 2021.—2027. gada plānošanas perioda vadības likuma 22.panta pirmās daļas 1.- 4. punktā noteiktos izslēgšanas noteikumus. Attiecīgi, lai nodrošinātu vienotus kritērijus visās Atveseļošanās fonda finansētajās programmās un šo investīciju atbilstību Eiropas Komisijas uzstādījumiem, kā arī vienlaikus mazinātu finanšu korekcijas risku, Ekonomikas ministrija ir ievērojusi iepriekš minētos Eiropas Komisijas uzstādījumus un attiecīgos grozījumus MK noteikumos Nr.459 izstrādājusi un virzījusi saskaņā ar Eiropas Savienības fondu 2021.—2027. gada plānošanas perioda vadības likuma 22.panta pirmās daļas 1.- 4. punktā noteikto. Atbilstoši papildināta arī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 Sabiedrība “Altum” nenoraida nekustamā īpašuma attīstītājs atbalsta pieteikumu, ja no dienas, kad kļuvis neapstrīdams un nepārsūdzams: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 Sabiedrība “Altum” nenoraida nekustamā īpašuma attīstītājs atbalsta pieteikumu, ja no dienas, kad kļuvis neapstrīdams un nepārsūdzams: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izvērstu un pamatotu skaidrojumu termiņiem, kas liedz personai kandidēt uz atbalstu noteiktu laiku saistībā ar izdarītajiem pārkāpumiem. Tipiskā gadījumā valsts ierobežojumus noteic, vai nu uz sodāmības laiku vai līdz soda izpildei.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2024.gada 10.janvāra e pastam (reģistrēts Nr.3.7-8.1/2024/424S, pievienots kā papildus dokuments), iebildums netiek uzturēts.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sniedz šādu skaidrojumu: atbilstoši 2021.gada 6.jūlija Eiropas Savienības Padomes īstenošanas lēmumam Nr. 10157/21 “Par Latvijas atveseļošanas un noturības plāna novērtējuma apstiprināšanu” starp Latvijas Republiku un Eiropas Komisiju kā donoru ir panākta vienošanās, ka Atveseļošanās fonda finansētajās programmās, tai skaitā 3.1.1.4.i investīcijas ietvaros, horizontāliem izslēgšanas kritērijiem piemēro tādu paši praksi, kāda tā ir attiecībā uz Eiropas Savienības investīcijām, proti, Eiropas Savienības fondu 2021.—2027. gada plānošanas perioda vadības likuma 22.panta pirmās daļas 1.- 4. punktā noteiktos izslēgšanas noteikumus. Attiecīgi, lai nodrošinātu vienotus kritērijus visās Atveseļošanās fonda finansētajās programmās un šo investīciju atbilstību Eiropas Komisijas uzstādījumiem, kā arī vienlaikus mazinātu finanšu korekcijas risku, Ekonomikas ministrija ir ievērojusi iepriekš minētos Eiropas Komisijas uzstādījumus un attiecīgos grozījumus MK noteikumos Nr.459 izstrādājusi un virzījusi saskaņā ar Eiropas Savienības fondu 2021.—2027. gada plānošanas perioda vadības likuma 22.panta pirmās daļas 1.- 4. punktā noteikto. Atbilstoši papildināta arī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 Sabiedrība “Altum” nenoraida nekustamā īpašuma attīstītājs atbalsta pieteikumu, ja no dienas, kad kļuvis neapstrīdams un nepārsūdzams: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projektu vai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1.3.apakšpunktā ietverto tiesību aktu normu uzskaitījumu, par kuros paredzētajiem noziedzīgiem nodarījumiem un administratīvajiem pārkāpumiem persona nedrīkst būt sodīta,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nav norādīts, ka persona nevar būt sodīta par krāpšanu automatizētā datu apstrādes sistēmā (Krimināllikuma 177.</w:t>
            </w:r>
            <w:r w:rsidR="00000000" w:rsidRPr="00000000" w:rsidDel="00000000">
              <w:rPr>
                <w:vertAlign w:val="superscript"/>
                <w:rtl w:val="0"/>
              </w:rPr>
              <w:t xml:space="preserve">1 </w:t>
            </w:r>
            <w:r w:rsidR="00000000" w:rsidRPr="00000000" w:rsidDel="00000000">
              <w:rPr>
                <w:rtl w:val="0"/>
              </w:rPr>
              <w:t xml:space="preserve">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projektā nav norādīts, ka persona nevar būt sodīta par apdrošināšanas krāpšanu (Krimināllikuma 178.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ir norādīts, ka persona nevar būt sodīta par krāpšanu (Krimināllikuma 177.pants).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apakšpunkta pirmajā un otrajā rindkopā norādīts uz jautājumiem, ko "paredz anotācija", "anotācijas mērķi", "nosacījuma nostiprināšana  anotācijā" u.tml. Lūdzam precizēt minēto informāciju, tai skaitā precizēt, vai anotācijas 1.3. apakšpunkta pirmajā un otrajā rindkopā norādītā informācija attiecas uz normatīvā regulējuma izmaiņu nepieciešamību vai arī šai informācijai ir cits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personām saistošus uzvedības noteikumus noteic </w:t>
            </w:r>
            <w:r w:rsidR="00000000" w:rsidRPr="00000000" w:rsidDel="00000000">
              <w:rPr>
                <w:u w:val="single"/>
                <w:rtl w:val="0"/>
              </w:rPr>
              <w:t xml:space="preserve">normatīvajā aktā</w:t>
            </w:r>
            <w:r w:rsidR="00000000" w:rsidRPr="00000000" w:rsidDel="00000000">
              <w:rPr>
                <w:rtl w:val="0"/>
              </w:rPr>
              <w:t xml:space="preserve">, savukārt normatīvā akta projekta </w:t>
            </w:r>
            <w:r w:rsidR="00000000" w:rsidRPr="00000000" w:rsidDel="00000000">
              <w:rPr>
                <w:u w:val="single"/>
                <w:rtl w:val="0"/>
              </w:rPr>
              <w:t xml:space="preserve">anotācija </w:t>
            </w:r>
            <w:r w:rsidR="00000000" w:rsidRPr="00000000" w:rsidDel="00000000">
              <w:rPr>
                <w:rtl w:val="0"/>
              </w:rPr>
              <w:t xml:space="preserve">ir tiesību palīgavots, kas tiesību piemērotājiem palīdz iztulkot tiesību normas. Tai skaitā anotācijā tiek apskatīts projekta izstrādes mērķis, nepieciešamība un plānotā projekta efektivitāte mērķa sasniegšanai. Līdz ar to arī anotācijā ietvertajai informācijai ir jābūt skaidrai un saistītai ar normatīvā akta projektā paredzēto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atbilstoši Finanšu ministrijas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 kura brīža plānots Mājokļu pieejamības fonda finanšu resursus izmantot PVN finansēšanai un kā tiks nodrošināts, ka PVN netiek segts no Atveseļošanas fonda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norādot, ka Mājokļu pieejamības fonda resursi tiks izmantoti pēc tam, kad tie būs pietiekošā apjomā projektu finansēšanai un tiks izmantots atmaksu finansējums no 2.2.1.4.1.apakšaktivitātes. Mājokļa pieejamības fonda resursus veido dažādi finansējuma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6.punkts nosaka, ka pievienotās vērtības nodokļa izmaksām, kas netiek finansētas no Atveseļošanās fonda finansējuma, var izmantot citus resursus. Savukārt, MK noteikumu Nr.459 spēkā esošās 72. un 73.punkta redakcijas paredz attiecināmo izmaksu pozīcijas un limitu, kas var tikt finansēts no Atveseļošanās fonda finansējuma, neietverot pievienotās vērtības nodokļa izmaksas. Attiecīgi ir saprotams, ka pievienotās vērtības nodokļa izmaksas nevar tikt finansētas no Atveseļošanās fonda finansējuma.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kāda ir ar noteikumu projektu plānoto grozījumu ietekme uz jau īstenošanā esošajiem projektiem. Lūdzam papildināt anotāciju ar informāciju par ierosināto grozījumu ietekmi uz uzsākto projektu iesniegumu atlases kārtu un iesniegto projektu vērtēšanu (MK noteikumu 2.1.apakšpunkta izpratnē), ņemot vērā, ka ar grozījumu projektu tiek precizēta projektu iesniegumu vērtēšanas kārtība, kā arī aicinām nepieciešamības gadījumā ietvert pārejas nosacījumus attiecībā uz projektu vērtēšanas kārtības izmaiņām. Vienlaikus, lūdzam veikt visu projektu iesniedzēju informēšana par grozījumiem, pēc to apstiprināšanas MK un grozījumu ietekmi uz to plānotajiem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informāciju, ka tiks veikti grozījumi līgumā par investīcijas īstenošanu, kā arī lūdzam norādīt, vai minētie grozījumi tiek uzskatīti par būtiskiem un ietekmē projekta ietvaros veicamo darbību veidu, projekta mērķus vai īstenošanas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3.1.1.4.i investīcijas ietvaros nav iesniegumu atlases kārtas, projektu pieteikumi var tikt iesniegti un apstiprināti, kamēr ir pieejams finansējums. Šobrīd 3.1.1.4.i investīcijas ietvaros nav īstenošanā esošie projekti. Ir apstiprināti divi projektu pieteikumi (aizdevuma līgumi vēl nav noslēgti, jo nekustamā īpašuma attīstītāji veic nepieciešamās papildus darbības aizdevumu līgumu noslēgšanai). Savukārt, projektu pieteikumi, kuri ir vērtēšanā, pēc savas iniciatīvas var precizēt iesniegto dokumentāciju, tai skaitā, pēc noteikumu projekta spēkā stāšanās pieteikties aizdevumam pievienotās vērtības nodokļa finansēšanai. Noteikumu projekts neparedz ietekmi uz projekta ietvaros veicamo darbību veidu, projekta mērķiem vai īstenošanas nosacījumiem. Savukārt, pēc noteikumu projekta spēkā stāšanās esošie un potenciālie projektu iesniedzēji tiks informēti par atbalsta programmas nosacījumu grozījumiem un projektu iesniedzēju iespējām pieteikties atmaksu finansējumam pievienotās vērtības nodokļa izmaksu finansēšanai.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vai arī izvērtēt un anotācijā apliecināt, ka noteikumu projektā ietvertie grozījumi neietekmē apstiprināto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Sabierība "Altum" ir izvērtējusi, un Ekonomikas ministrija apliecina, ka noteikumu projekts neietekmē apstiprināto programmas rādītāju novērtējumu. Attiecīgi 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pievienotās vērtības nodokļa izmaksām un citām izmaksām, kas netiek finansētas no Atveseļošanas fonda finansējuma un kas nav atgūstamas vispārējā kārtībā, sabiedrība "Altum" var: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investīcija tiek ieviesta kombinētā finanšu instrumenta veidā (ar kapitāla atlaidi), lūdzam anotācijā sniegt skaidrojumu, vai izdevumiem, kas tiek finansēti no šo noteikumu 6.punktā noteiktā finansējuma var tikt piemērota kapitāla atlaide. Gadījumā, ja kapitāla atlaide var tikt piemērota, tad lūdzam papildināt noteikumu projektu ar normu, kas noteiktu pienākumu nekustamo īpašumu attīstītājam iesniegt apliecinājumu, ka PVN izmaksas nav un netiks atgūtas no valsts budžeta priekšnodokļa veidā par finansējuma daļu, kurai tiks piemērota kapitāla atlaide.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MK noteikumu Nr.459  55.1 un 55.2 apakšpunktu, kapitāla atlaide tiek aprēķinā no aizdevumiem, kas finansēti no Atveseļošanās fonda finansējuma (paredz atsauci uz MK noteikumu Nr.459 4.punktu - Atveseļošanās fonda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pievienotās vērtības nodokļa izmaksām un citām izmaksām, kas netiek finansētas no Atveseļošanas fonda finansējuma un kas nav atgūstamas vispārējā kārtībā, sabiedrība "Altum" var: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līgumsodi, kas iekasēti par pārkāpumiem saskaņā ar šo noteikumu 48.2. apakšpunktā minēto uzraudzības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līgumsodu piemērošanu un tās nosacījumus paredz noteikumu 71. punkts, nevis 48.2. apakšpunkts, aicinām tiesiskās skaidrības nolūkos precizēt iekšējo atsauci noteikumu projekta 20.4.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šo noteikumu 71.punktā minētie līgumsodi.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precizējumi nav veicami. Uzraudzības līgumā ir pilnvērtīgi un izvērsti norādīti pārkāpumi, piemērotie līgumsodi un līgumsodu apmērs, kā arī to maksāšanas kārtība sabiedrībai "Possessor" to tālākai pārskaitīšanai Mājokļu pieejamības fondā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līgumsodi, kas iekasēti par pārkāpumiem saskaņā ar šo noteikumu 48.2. apakšpunktā minēto uzraudzības līgumu.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Sabiedrība "Altum" var pieņemt pozitīvu lēmumu par atbalsta piešķiršanu projektam, par kuru ir iesniegta korekta visu šo noteikumu 44.punktā minētā dokumentācija, arī gadījumā, ja projekta atbalsta pieteikums ir iesniegts vēlāk, kā atbalsta pieteikums projektam, kas ir vērtēšanā, ar nepilnīgu vai kļūdainu dokumentāciju.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paredzētā 45.</w:t>
            </w:r>
            <w:r w:rsidR="00000000" w:rsidRPr="00000000" w:rsidDel="00000000">
              <w:rPr>
                <w:vertAlign w:val="superscript"/>
                <w:rtl w:val="0"/>
              </w:rPr>
              <w:t xml:space="preserve">1</w:t>
            </w:r>
            <w:r w:rsidR="00000000" w:rsidRPr="00000000" w:rsidDel="00000000">
              <w:rPr>
                <w:rtl w:val="0"/>
              </w:rPr>
              <w:t xml:space="preserve">punkta redakcija joprojām ir neskaidra, ņemot vērā arī to, ka no noteikumiem kopumā neizriet nosacījums par projekta atbalsta pieteikumu izskatīšanu to saņemšanas secībā.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vai šāda norma vispār ir nepieciešama, un, ja nepieciešama, precizēt noteikumu projektu vienā no šādiem veidiem: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noteikumu projekta 60. un/vai 61.punktu ar jaunu salīdzināšanas kritēriju, piemēram, "</w:t>
            </w:r>
            <w:r w:rsidR="00000000" w:rsidRPr="00000000" w:rsidDel="00000000">
              <w:rPr>
                <w:i w:val="1"/>
                <w:rtl w:val="0"/>
              </w:rPr>
              <w:t xml:space="preserve">60.4. projekta atbalsta pieteikumam pievienoti visi šo noteikumu 44.punktā minētie dokumenti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punktu, nosakot skaidrāku pieteikumu izskatīšanas secību, piemēram: "</w:t>
            </w:r>
            <w:r w:rsidR="00000000" w:rsidRPr="00000000" w:rsidDel="00000000">
              <w:rPr>
                <w:i w:val="1"/>
                <w:rtl w:val="0"/>
              </w:rPr>
              <w:t xml:space="preserve">Sabiedrība "Altum" projekta atbalsta pieteikumus vērtē to saņemšanas secībā. Sabiedrība "Altum" var izskatīt un pieņemt lēmumu par vēlāk saņemtu projekta atbalsta pieteikumu, kam pievienoti visi šo noteikumu 44.punktā minētie dokumenti, pirms ātrāk iesniegta projekta atbalsta pieteikuma, kam šādi dokumenti nav pievienoti vai pievienoti nepilnīgi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izvērtējusi un uzskata, ka par nepieciešamu saglabāt 45.</w:t>
            </w:r>
            <w:r w:rsidR="00000000" w:rsidRPr="00000000" w:rsidDel="00000000">
              <w:rPr>
                <w:vertAlign w:val="superscript"/>
                <w:rtl w:val="0"/>
              </w:rPr>
              <w:t xml:space="preserve">1</w:t>
            </w:r>
            <w:r w:rsidR="00000000" w:rsidRPr="00000000" w:rsidDel="00000000">
              <w:rPr>
                <w:rtl w:val="0"/>
              </w:rPr>
              <w:t xml:space="preserve"> punktu. Vienlaikus ir precizēta 45.</w:t>
            </w:r>
            <w:r w:rsidR="00000000" w:rsidRPr="00000000" w:rsidDel="00000000">
              <w:rPr>
                <w:vertAlign w:val="superscript"/>
                <w:rtl w:val="0"/>
              </w:rPr>
              <w:t xml:space="preserve">1</w:t>
            </w:r>
            <w:r w:rsidR="00000000" w:rsidRPr="00000000" w:rsidDel="00000000">
              <w:rPr>
                <w:rtl w:val="0"/>
              </w:rPr>
              <w:t xml:space="preserve"> 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Sabiedrība "Altum" var izskatīt un pieņemt lēmumu par vēlāk saņemtu projekta atbalsta pieteikumu, kam pievienoti visi šo noteikumu 44.punktā minētie dokumenti, pirms ātrāk iesniegta projekta atbalsta pieteikuma, kam šādi dokumenti nav pievienoti vai pievienoti nepilnīgi.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2</w:t>
            </w:r>
            <w:r w:rsidR="00000000" w:rsidRPr="00000000" w:rsidDel="00000000">
              <w:rPr>
                <w:rtl w:val="0"/>
              </w:rPr>
              <w:t xml:space="preserve"> Ja nekustamā īpašuma attīstītājs divu mēnešu laikā kopš iesniedzis atbalsta pieteikumu nav nodrošinājis sabiedrībai "Altum" pilnīgu un korektu šo noteikumu 44.punktā minēto dokumentāciju projekta izvērtēšanai, sabiedrība "Altum" pieņem lēmumu par atbalsta pieteikuma noraidīšanu, pamatojoties uz nepilnīgi iesniegtu lēmuma pieņemšanai nepieciešamo atbalsta pieteikuma dokumentāciju. Pēc lēmuma saņemšanas par atbalsta pieteikuma noraidīšanu, nekustamā īpašuma attīstītājam ir tiesības iesniegt projekta atbalsta pieteikumu atkārtoti.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vārdus "pamatojoties uz nepilnīgi iesniegtu lēmuma pieņemšanai nepieciešamo atbalsta pieteikuma dokumentāciju", jo tie ir lieki. Proti, atbalsta pieteikuma noraidīšanas pamatojums jau izriet no vārdiem "</w:t>
            </w:r>
            <w:r w:rsidR="00000000" w:rsidRPr="00000000" w:rsidDel="00000000">
              <w:rPr>
                <w:i w:val="1"/>
                <w:rtl w:val="0"/>
              </w:rPr>
              <w:t xml:space="preserve">ja nekustamā īpašuma attīstītājs divu mēnešu laikā kopš iesniedzis atbalsta pieteikumu nav nodrošinājis sabiedrībai "Altum" pilnīgu un korektu šo noteikumu 44.punktā minēto dokumentāciju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vārdu "nodrošinājis" aizstāt ar vārdu "iesniedzis".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45.</w:t>
            </w:r>
            <w:r w:rsidR="00000000" w:rsidRPr="00000000" w:rsidDel="00000000">
              <w:rPr>
                <w:vertAlign w:val="superscript"/>
                <w:rtl w:val="0"/>
              </w:rPr>
              <w:t xml:space="preserve">2</w:t>
            </w:r>
            <w:r w:rsidR="00000000" w:rsidRPr="00000000" w:rsidDel="00000000">
              <w:rPr>
                <w:rtl w:val="0"/>
              </w:rPr>
              <w:t xml:space="preserve"> 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2</w:t>
            </w:r>
            <w:r w:rsidR="00000000" w:rsidRPr="00000000" w:rsidDel="00000000">
              <w:rPr>
                <w:rtl w:val="0"/>
              </w:rPr>
              <w:t xml:space="preserve"> Ja nekustamā īpašuma attīstītājs divu mēnešu laikā kopš iesniedzis atbalsta pieteikumu nav iesniedzis sabiedrībai "Altum" pilnīgu un korektu šo noteikumu 44.punktā minēto dokumentāciju projekta izvērtēšanai, sabiedrība "Altum" pieņem lēmumu par atbalsta pieteikuma noraidīšanu. Pēc lēmuma saņemšanas par atbalsta pieteikuma noraidīšanu, nekustamā īpašuma attīstītājam ir tiesības iesniegt projekta atbalsta pieteikumu atkārtoti.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Sabiedrībai "Altum" un sabiedrībai "Possessor" ir tiesības bez maksas pieprasīt un saņemt tiešu pieeju datiem valsts informācijas sistēmās, datubāzēs un reģistros tādā apjomā, kāds nepieciešams 3.1.1.4.i. investīcijas īstenošanai un atbalsta sniegšanai nekustamā īpašuma attīstītājiem šo noteikumu ietvaros. Lai nodrošinātu pieeju datiem, sabiedrība "Altum" un sabiedrība "Possessor", ja nepieciešams, slēdz vienošanos ar attiecīgo valsts informācijas sistēmas, datubāzes un reģistra turētāju.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 anotācijas izrietošo informāciju, ka sabiedrība "Possessor" veiks vairāku datu uzkrāšanu, tai skaitā informāciju par īrnieka nodarbinātību, deklarēto dzīves vietas adresi, mājsaimniecību un to sastāvu u.c. informāciju, kas attiecīgi ietver arī personas datus, lūdzam noteikumu projektu saskaņot ar Datu valsts inspekciju. Papildus lūdzam anotācijā skaidri norādīt, kādi dati un kādā apjomā tiks uzkrāti.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līdzšinējo Ekonomikas ministrijas praksi MK noteikumos Nr.459 paredzēt normas, kas nosaka institūciju (šajā gadījumā sabiedrības "Altum") tiesības saņemt tiešu pieeju datiem valsts informācijas sistēmās, datubāzēs un reģistros tādā apjomā, kāds nepieciešams 3.1.1.4.i. investīcijas īstenošanai un atbalsta sniegšanai, Ekonomikas ministrijai nav bijusi prakse šādu tiesību paredzēšanu MK noteikumos Nr.459 skaņot ar Datu valsts inspekciju. Arī šajā gadījumā sabiedrībai "Possessor" kā 3.1.1.4.i investīcijas īstenošanu uzraugošanai institūcijai tiek piešķirtas līdzvērtīgas tiesības, kā sabierībai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visu uzkrājamo datu identificēšanu anotācijā, norādām, ka sabiedrības "Possessor" iekšējā uzraudzības sistēma ir izstrādes procesā (praktisku uzraudzību sabiedrība "Possessor" uzsāk tikai pēc īres mājas nodošanas ekspluatācijā), attiecīgi nav samērīgi šobrīd anotācijā stiprināt visus uzkrājamos datus, kas uzraudzības sistēmas izstrādes procesā var mainīties.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papildināta anotācija, norādot, ka datu uzkrāšanas procesā tiks ievērots Fizisko personu datu apstrādes likums, nodrošinot atbilstošu datu aizsardzību.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Sabiedrībai "Altum" un sabiedrībai "Possessor" ir tiesības bez maksas pieprasīt un saņemt tiešu pieeju datiem valsts informācijas sistēmās, datubāzēs un reģistros tādā apjomā, kāds nepieciešams 3.1.1.4.i. investīcijas īstenošanai un atbalsta sniegšanai nekustamā īpašuma attīstītājiem šo noteikumu ietvaros. Lai nodrošinātu pieeju datiem, sabiedrība "Altum" un sabiedrība "Possessor", ja nepieciešams, slēdz vienošanos ar attiecīgo valsts informācijas sistēmas, datubāzes un reģistra turētāju.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53.4.1.2. kukuļņemšana, kukuļdošana, kukuļa piesavināšanās, starpniecība kukuļošanā, neatļauta labuma pieņemšana vai komerciāla uzpirkšana, prettiesiska labumu pieprasīšana, pieņemšana vai došana, tirgošanās ar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198.panta nosaukumā norādīto, aizstāt projekta 15.punktā ietvertajā  Ministru kabineta 2022. gada 14. jūlija noteikumu Nr. 459 “Noteikumi par atbalstu dzīvojamo īres māju būvniecībai Eiropas Savienības Atveseļošanas un noturības mehānisma plāna 3.1. reformu un investīciju virziena “Reģionālā politika” 3.1.1.4.i. investīcijas “Finansēšanas fonda izveide zemas īres mājokļu būvniecībai” 53.4.1.2.apakšpunktā vārdus “neatļauta labuma” ar vārdiem “neatļauta labumu”.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53.4.1.2. kukuļņemšana, kukuļdošana, kukuļa piesavināšanās, starpniecība kukuļošanā, neatļauta labumu pieņemšana vai komerciāla uzpirkšana, prettiesiska labumu pieprasīšana, pieņemšana vai došana, tirgošanās ar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53.4.1.7. tādu preču un vielu pārvietošana pāri Latvijas Republikas valsts robežai, kuru aprite ir aizliegta vai speciāli reglamentēta;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projekta 15.punktā ietvertajā  Ministru kabineta 2022. gada 14. jūlija noteikumu Nr. 459 “Noteikumi par atbalstu dzīvojamo īres māju būvniecībai Eiropas Savienības Atveseļošanas un noturības mehānisma plāna 3.1. reformu un investīciju virziena “Reģionālā politika” 3.1.1.4.i. investīcijas “Finansēšanas fonda izveide zemas īres mājokļu būvniecībai” 53.4.1.7.apakšpunktu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“53.4.1.7. preču un vielu, kuru aprite ir aizliegta vai speciāli reglamentēta, pārvietošana pāri Latvijas Republikas valsts robežai;”.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53.4.1.7. preču un vielu, kuru aprite ir aizliegta vai speciāli reglamentēta, pārvietošana pāri Latvijas Republikas valsts robežai;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23-TA-3117</w:t>
    </w:r>
    <w:r>
      <w:br/>
    </w:r>
    <w:r w:rsidR="00000000" w:rsidRPr="00000000" w:rsidDel="00000000">
      <w:rPr>
        <w:rtl w:val="0"/>
      </w:rPr>
      <w:t xml:space="preserve">11.01.2024. 16.48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23-TA-3117</w:t>
    </w:r>
    <w:r>
      <w:br/>
    </w:r>
    <w:r w:rsidR="00000000" w:rsidRPr="00000000" w:rsidDel="00000000">
      <w:rPr>
        <w:rtl w:val="0"/>
      </w:rPr>
      <w:t xml:space="preserve">11.01.2024. 16.48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Izziņa_23-TA-3117.docx</dc:title>
</cp:coreProperties>
</file>

<file path=docProps/custom.xml><?xml version="1.0" encoding="utf-8"?>
<Properties xmlns="http://schemas.openxmlformats.org/officeDocument/2006/custom-properties" xmlns:vt="http://schemas.openxmlformats.org/officeDocument/2006/docPropsVTypes"/>
</file>